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430D" w14:textId="77777777" w:rsidR="00793ADF" w:rsidRPr="001C2559" w:rsidRDefault="00793ADF" w:rsidP="00F71A49">
      <w:pPr>
        <w:rPr>
          <w:rFonts w:ascii="Tahoma" w:hAnsi="Tahoma" w:cs="Tahoma"/>
          <w:b/>
          <w:sz w:val="22"/>
          <w:szCs w:val="22"/>
        </w:rPr>
      </w:pPr>
    </w:p>
    <w:p w14:paraId="193DF569" w14:textId="77777777" w:rsidR="00793ADF" w:rsidRPr="001C2559" w:rsidRDefault="00CF2671" w:rsidP="009F4FD6">
      <w:pPr>
        <w:jc w:val="right"/>
        <w:rPr>
          <w:rFonts w:ascii="Tahoma" w:hAnsi="Tahoma" w:cs="Tahoma"/>
          <w:sz w:val="22"/>
          <w:szCs w:val="22"/>
        </w:rPr>
      </w:pPr>
      <w:r w:rsidRPr="001C2559">
        <w:rPr>
          <w:rFonts w:ascii="Tahoma" w:hAnsi="Tahoma" w:cs="Tahoma"/>
          <w:sz w:val="22"/>
          <w:szCs w:val="22"/>
        </w:rPr>
        <w:t>Asunció</w:t>
      </w:r>
      <w:r w:rsidR="006836E5" w:rsidRPr="001C2559">
        <w:rPr>
          <w:rFonts w:ascii="Tahoma" w:hAnsi="Tahoma" w:cs="Tahoma"/>
          <w:sz w:val="22"/>
          <w:szCs w:val="22"/>
        </w:rPr>
        <w:t>n,      de       de 20</w:t>
      </w:r>
      <w:r w:rsidR="00650154" w:rsidRPr="001C2559">
        <w:rPr>
          <w:rFonts w:ascii="Tahoma" w:hAnsi="Tahoma" w:cs="Tahoma"/>
          <w:sz w:val="22"/>
          <w:szCs w:val="22"/>
        </w:rPr>
        <w:t>2</w:t>
      </w:r>
      <w:r w:rsidR="00DD71AE" w:rsidRPr="001C2559">
        <w:rPr>
          <w:rFonts w:ascii="Tahoma" w:hAnsi="Tahoma" w:cs="Tahoma"/>
          <w:sz w:val="22"/>
          <w:szCs w:val="22"/>
        </w:rPr>
        <w:t>3</w:t>
      </w:r>
    </w:p>
    <w:p w14:paraId="78FC6CA5" w14:textId="77777777" w:rsidR="009F4FD6" w:rsidRPr="001C2559" w:rsidRDefault="009F4FD6" w:rsidP="009F4FD6">
      <w:pPr>
        <w:jc w:val="right"/>
        <w:rPr>
          <w:rFonts w:ascii="Tahoma" w:hAnsi="Tahoma" w:cs="Tahoma"/>
          <w:sz w:val="22"/>
          <w:szCs w:val="22"/>
        </w:rPr>
      </w:pPr>
    </w:p>
    <w:p w14:paraId="06E0FC4B" w14:textId="77777777" w:rsidR="00F71A49" w:rsidRPr="001C2559" w:rsidRDefault="00F71A49" w:rsidP="00793ADF">
      <w:pPr>
        <w:jc w:val="both"/>
        <w:rPr>
          <w:rFonts w:ascii="Tahoma" w:hAnsi="Tahoma" w:cs="Tahoma"/>
          <w:b/>
          <w:sz w:val="22"/>
          <w:szCs w:val="22"/>
        </w:rPr>
      </w:pPr>
      <w:r w:rsidRPr="001C2559">
        <w:rPr>
          <w:rFonts w:ascii="Tahoma" w:hAnsi="Tahoma" w:cs="Tahoma"/>
          <w:b/>
          <w:sz w:val="22"/>
          <w:szCs w:val="22"/>
        </w:rPr>
        <w:t>VISTO</w:t>
      </w:r>
      <w:r w:rsidR="00650154" w:rsidRPr="001C2559">
        <w:rPr>
          <w:rFonts w:ascii="Tahoma" w:hAnsi="Tahoma" w:cs="Tahoma"/>
          <w:b/>
          <w:sz w:val="22"/>
          <w:szCs w:val="22"/>
        </w:rPr>
        <w:t>:</w:t>
      </w:r>
    </w:p>
    <w:p w14:paraId="003B7096" w14:textId="77777777" w:rsidR="00C75C94" w:rsidRPr="001C2559" w:rsidRDefault="00C75C94" w:rsidP="00793ADF">
      <w:pPr>
        <w:jc w:val="both"/>
        <w:rPr>
          <w:rFonts w:ascii="Tahoma" w:hAnsi="Tahoma" w:cs="Tahoma"/>
          <w:b/>
          <w:sz w:val="22"/>
          <w:szCs w:val="22"/>
        </w:rPr>
      </w:pPr>
    </w:p>
    <w:p w14:paraId="035AEBD5" w14:textId="77777777" w:rsidR="00DE4E42" w:rsidRPr="001C2559" w:rsidRDefault="00D0725B" w:rsidP="006E4973">
      <w:pPr>
        <w:ind w:firstLine="1276"/>
        <w:jc w:val="both"/>
        <w:rPr>
          <w:rFonts w:ascii="Tahoma" w:hAnsi="Tahoma" w:cs="Tahoma"/>
          <w:noProof w:val="0"/>
          <w:sz w:val="22"/>
          <w:szCs w:val="22"/>
          <w:lang w:val="es-PY" w:eastAsia="es-PY"/>
        </w:rPr>
      </w:pPr>
      <w:r w:rsidRPr="001C2559">
        <w:rPr>
          <w:rFonts w:ascii="Tahoma" w:hAnsi="Tahoma" w:cs="Tahoma"/>
          <w:sz w:val="22"/>
          <w:szCs w:val="22"/>
        </w:rPr>
        <w:t>La necesidad de</w:t>
      </w:r>
      <w:r w:rsidR="006E4973" w:rsidRPr="001C2559">
        <w:rPr>
          <w:rFonts w:ascii="Tahoma" w:hAnsi="Tahoma" w:cs="Tahoma"/>
          <w:sz w:val="22"/>
          <w:szCs w:val="22"/>
        </w:rPr>
        <w:t xml:space="preserve"> contar con </w:t>
      </w:r>
      <w:r w:rsidR="00E826D0" w:rsidRPr="001C2559">
        <w:rPr>
          <w:rFonts w:ascii="Tahoma" w:hAnsi="Tahoma" w:cs="Tahoma"/>
          <w:sz w:val="22"/>
          <w:szCs w:val="22"/>
        </w:rPr>
        <w:t>la exigencia de presentación obligatoria de estudios de bioequivalencia a principios activos de estrecho margen terapéutico</w:t>
      </w:r>
      <w:r w:rsidR="001A097B" w:rsidRPr="001C2559">
        <w:rPr>
          <w:rFonts w:ascii="Tahoma" w:hAnsi="Tahoma" w:cs="Tahoma"/>
          <w:sz w:val="22"/>
          <w:szCs w:val="22"/>
        </w:rPr>
        <w:t>.</w:t>
      </w:r>
    </w:p>
    <w:p w14:paraId="52160CD7" w14:textId="77777777" w:rsidR="00FA6331" w:rsidRPr="001C2559" w:rsidRDefault="00FA6331" w:rsidP="00162FA9">
      <w:pPr>
        <w:jc w:val="both"/>
        <w:rPr>
          <w:rFonts w:ascii="Tahoma" w:hAnsi="Tahoma" w:cs="Tahoma"/>
          <w:noProof w:val="0"/>
          <w:sz w:val="22"/>
          <w:szCs w:val="22"/>
          <w:lang w:val="es-PY" w:eastAsia="es-PY"/>
        </w:rPr>
      </w:pPr>
    </w:p>
    <w:p w14:paraId="32F780BD" w14:textId="77777777" w:rsidR="00F71A49" w:rsidRPr="001C2559" w:rsidRDefault="002122D1" w:rsidP="00162FA9">
      <w:pPr>
        <w:jc w:val="both"/>
        <w:rPr>
          <w:rFonts w:ascii="Tahoma" w:hAnsi="Tahoma" w:cs="Tahoma"/>
          <w:b/>
          <w:sz w:val="22"/>
          <w:szCs w:val="22"/>
        </w:rPr>
      </w:pPr>
      <w:r w:rsidRPr="001C2559">
        <w:rPr>
          <w:rFonts w:ascii="Tahoma" w:hAnsi="Tahoma" w:cs="Tahoma"/>
          <w:b/>
          <w:sz w:val="22"/>
          <w:szCs w:val="22"/>
        </w:rPr>
        <w:t>CONSIDERANDO</w:t>
      </w:r>
      <w:r w:rsidR="00D755EF" w:rsidRPr="001C2559">
        <w:rPr>
          <w:rFonts w:ascii="Tahoma" w:hAnsi="Tahoma" w:cs="Tahoma"/>
          <w:b/>
          <w:sz w:val="22"/>
          <w:szCs w:val="22"/>
        </w:rPr>
        <w:t>:</w:t>
      </w:r>
      <w:bookmarkStart w:id="0" w:name="_GoBack"/>
      <w:bookmarkEnd w:id="0"/>
    </w:p>
    <w:p w14:paraId="5C12A42E" w14:textId="77777777" w:rsidR="00F71A49" w:rsidRPr="001C2559" w:rsidRDefault="00F71A49" w:rsidP="00162FA9">
      <w:pPr>
        <w:jc w:val="both"/>
        <w:rPr>
          <w:rFonts w:ascii="Tahoma" w:hAnsi="Tahoma" w:cs="Tahoma"/>
          <w:sz w:val="22"/>
          <w:szCs w:val="22"/>
        </w:rPr>
      </w:pPr>
    </w:p>
    <w:p w14:paraId="52316A87" w14:textId="77777777" w:rsidR="00FA6331" w:rsidRPr="001C2559" w:rsidRDefault="00FA6331" w:rsidP="00162FA9">
      <w:pPr>
        <w:jc w:val="both"/>
        <w:rPr>
          <w:rFonts w:ascii="Tahoma" w:hAnsi="Tahoma" w:cs="Tahoma"/>
          <w:sz w:val="22"/>
          <w:szCs w:val="22"/>
        </w:rPr>
      </w:pPr>
    </w:p>
    <w:p w14:paraId="4CD09382" w14:textId="77777777" w:rsidR="00034B41" w:rsidRPr="001C2559" w:rsidRDefault="00034B41" w:rsidP="00034B41">
      <w:pPr>
        <w:ind w:firstLine="1276"/>
        <w:jc w:val="both"/>
        <w:rPr>
          <w:rFonts w:ascii="Tahoma" w:hAnsi="Tahoma" w:cs="Tahoma"/>
          <w:sz w:val="22"/>
          <w:szCs w:val="22"/>
          <w:lang w:val="es-ES"/>
        </w:rPr>
      </w:pPr>
      <w:bookmarkStart w:id="1" w:name="_Hlk500335987"/>
      <w:r w:rsidRPr="001C2559">
        <w:rPr>
          <w:rFonts w:ascii="Tahoma" w:hAnsi="Tahoma" w:cs="Tahoma"/>
          <w:sz w:val="22"/>
          <w:szCs w:val="22"/>
          <w:lang w:val="es-ES"/>
        </w:rPr>
        <w:t xml:space="preserve">Que, la Constitución Nacional, en su Artículo 72 "Del control de calidad" establece: </w:t>
      </w:r>
      <w:r w:rsidRPr="001C2559">
        <w:rPr>
          <w:rFonts w:ascii="Tahoma" w:hAnsi="Tahoma" w:cs="Tahoma"/>
          <w:i/>
          <w:sz w:val="22"/>
          <w:szCs w:val="22"/>
          <w:lang w:val="es-ES"/>
        </w:rPr>
        <w:t>"El Estado velará por el control de calidad de los productos alimenticios, químicos, farmacéuticos y biológicos, en las etapas de producción, importación y comercialización".</w:t>
      </w:r>
    </w:p>
    <w:p w14:paraId="78B7D397" w14:textId="77777777" w:rsidR="00034B41" w:rsidRPr="001C2559" w:rsidRDefault="00034B41" w:rsidP="00034B41">
      <w:pPr>
        <w:autoSpaceDE w:val="0"/>
        <w:autoSpaceDN w:val="0"/>
        <w:adjustRightInd w:val="0"/>
        <w:ind w:firstLine="1276"/>
        <w:jc w:val="both"/>
        <w:rPr>
          <w:rFonts w:ascii="Tahoma" w:hAnsi="Tahoma" w:cs="Tahoma"/>
          <w:b/>
          <w:sz w:val="22"/>
          <w:szCs w:val="22"/>
          <w:lang w:val="es-ES" w:eastAsia="es-ES"/>
        </w:rPr>
      </w:pPr>
    </w:p>
    <w:p w14:paraId="3F3D413D" w14:textId="77777777" w:rsidR="00034B41" w:rsidRPr="001C2559" w:rsidRDefault="00034B41" w:rsidP="00034B41">
      <w:pPr>
        <w:autoSpaceDE w:val="0"/>
        <w:autoSpaceDN w:val="0"/>
        <w:adjustRightInd w:val="0"/>
        <w:ind w:firstLine="1276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1C2559">
        <w:rPr>
          <w:rFonts w:ascii="Tahoma" w:hAnsi="Tahoma" w:cs="Tahoma"/>
          <w:sz w:val="22"/>
          <w:szCs w:val="22"/>
          <w:lang w:val="es-ES" w:eastAsia="es-ES"/>
        </w:rPr>
        <w:t>Que la Ley Nº 836/1980, "</w:t>
      </w:r>
      <w:r w:rsidRPr="001C2559">
        <w:rPr>
          <w:rFonts w:ascii="Tahoma" w:hAnsi="Tahoma" w:cs="Tahoma"/>
          <w:i/>
          <w:sz w:val="22"/>
          <w:szCs w:val="22"/>
          <w:lang w:val="es-ES" w:eastAsia="es-ES"/>
        </w:rPr>
        <w:t>Código Sanitario</w:t>
      </w:r>
      <w:r w:rsidRPr="001C2559">
        <w:rPr>
          <w:rFonts w:ascii="Tahoma" w:hAnsi="Tahoma" w:cs="Tahoma"/>
          <w:sz w:val="22"/>
          <w:szCs w:val="22"/>
          <w:lang w:val="es-ES" w:eastAsia="es-ES"/>
        </w:rPr>
        <w:t>", en su artículo 3º dispone: “</w:t>
      </w:r>
      <w:r w:rsidRPr="001C2559">
        <w:rPr>
          <w:rFonts w:ascii="Tahoma" w:hAnsi="Tahoma" w:cs="Tahoma"/>
          <w:i/>
          <w:sz w:val="22"/>
          <w:szCs w:val="22"/>
          <w:lang w:val="es-ES" w:eastAsia="es-ES"/>
        </w:rPr>
        <w:t>El Ministerio de Salud Pública y Bienestar Social, que en adelante se denominará el Ministerio, es la más alta dependencia del Estado competente en materia de salud y aspectos fundamentales del bienestar social</w:t>
      </w:r>
      <w:r w:rsidRPr="001C2559">
        <w:rPr>
          <w:rFonts w:ascii="Tahoma" w:hAnsi="Tahoma" w:cs="Tahoma"/>
          <w:sz w:val="22"/>
          <w:szCs w:val="22"/>
          <w:lang w:val="es-ES" w:eastAsia="es-ES"/>
        </w:rPr>
        <w:t>”.</w:t>
      </w:r>
    </w:p>
    <w:p w14:paraId="2BFCA4E4" w14:textId="77777777" w:rsidR="00034B41" w:rsidRPr="001C2559" w:rsidRDefault="00034B41" w:rsidP="00034B41">
      <w:pPr>
        <w:ind w:firstLine="1276"/>
        <w:jc w:val="both"/>
        <w:rPr>
          <w:rFonts w:ascii="Tahoma" w:hAnsi="Tahoma" w:cs="Tahoma"/>
          <w:sz w:val="22"/>
          <w:szCs w:val="22"/>
          <w:lang w:val="es-ES"/>
        </w:rPr>
      </w:pPr>
    </w:p>
    <w:p w14:paraId="164E8F9B" w14:textId="77777777" w:rsidR="00034B41" w:rsidRPr="001C2559" w:rsidRDefault="00034B41" w:rsidP="00034B41">
      <w:pPr>
        <w:ind w:firstLine="1276"/>
        <w:jc w:val="both"/>
        <w:rPr>
          <w:rFonts w:ascii="Tahoma" w:hAnsi="Tahoma" w:cs="Tahoma"/>
          <w:i/>
          <w:sz w:val="22"/>
          <w:szCs w:val="22"/>
          <w:lang w:val="es-ES"/>
        </w:rPr>
      </w:pPr>
      <w:r w:rsidRPr="001C2559">
        <w:rPr>
          <w:rFonts w:ascii="Tahoma" w:hAnsi="Tahoma" w:cs="Tahoma"/>
          <w:sz w:val="22"/>
          <w:szCs w:val="22"/>
          <w:lang w:val="es-ES"/>
        </w:rPr>
        <w:t>Que, la Ley 1119/1997 "</w:t>
      </w:r>
      <w:r w:rsidRPr="001C2559">
        <w:rPr>
          <w:rFonts w:ascii="Tahoma" w:hAnsi="Tahoma" w:cs="Tahoma"/>
          <w:i/>
          <w:sz w:val="22"/>
          <w:szCs w:val="22"/>
          <w:lang w:val="es-ES"/>
        </w:rPr>
        <w:t>De productos para la salud y otros</w:t>
      </w:r>
      <w:r w:rsidRPr="001C2559">
        <w:rPr>
          <w:rFonts w:ascii="Tahoma" w:hAnsi="Tahoma" w:cs="Tahoma"/>
          <w:sz w:val="22"/>
          <w:szCs w:val="22"/>
          <w:lang w:val="es-ES"/>
        </w:rPr>
        <w:t xml:space="preserve">" en su artículo 1° expresa: </w:t>
      </w:r>
      <w:r w:rsidRPr="001C2559">
        <w:rPr>
          <w:rFonts w:ascii="Tahoma" w:hAnsi="Tahoma" w:cs="Tahoma"/>
          <w:i/>
          <w:sz w:val="22"/>
          <w:szCs w:val="22"/>
          <w:lang w:val="es-ES"/>
        </w:rPr>
        <w:t>"1. La presente ley y sus correspondientes reglamentos regulan la fabricación, elaboración, fraccionamiento, control de calidad, distribución, prescripción, dispensación, comercialización, representación, importación, exportación, almacenamiento, uso racional, régimen de precios, información, publicidad y la</w:t>
      </w:r>
      <w:r w:rsidR="001A097B" w:rsidRPr="001C2559">
        <w:rPr>
          <w:rFonts w:ascii="Tahoma" w:hAnsi="Tahoma" w:cs="Tahoma"/>
          <w:i/>
          <w:sz w:val="22"/>
          <w:szCs w:val="22"/>
          <w:lang w:val="es-ES"/>
        </w:rPr>
        <w:t xml:space="preserve"> </w:t>
      </w:r>
      <w:r w:rsidRPr="001C2559">
        <w:rPr>
          <w:rFonts w:ascii="Tahoma" w:hAnsi="Tahoma" w:cs="Tahoma"/>
          <w:i/>
          <w:sz w:val="22"/>
          <w:szCs w:val="22"/>
          <w:lang w:val="es-ES"/>
        </w:rPr>
        <w:t>evaluación, autorización y registro de  los medicamentos de uso humano, drogas, productos químicos, reactivos y todo producto de uso y aplicación en medicina humana, y a los productos considerados como cosméticos y domisanitarios. 2. También regula los principios, normas, criterios y exigencias básicas sobre la eficacia, seguridad y calidad de los productos objeto de esta ley, y la actuación de las personas físicas o jurídicas que intervienen en las actividades mencionadas en el párrafo anterior".</w:t>
      </w:r>
    </w:p>
    <w:p w14:paraId="5EE7D971" w14:textId="77777777" w:rsidR="00034B41" w:rsidRPr="001C2559" w:rsidRDefault="00034B41" w:rsidP="00034B41">
      <w:pPr>
        <w:ind w:firstLine="1276"/>
        <w:jc w:val="both"/>
        <w:rPr>
          <w:rFonts w:ascii="Tahoma" w:hAnsi="Tahoma" w:cs="Tahoma"/>
          <w:sz w:val="22"/>
          <w:szCs w:val="22"/>
          <w:lang w:val="es-ES"/>
        </w:rPr>
      </w:pPr>
    </w:p>
    <w:p w14:paraId="7F8D9D5D" w14:textId="77777777" w:rsidR="00034B41" w:rsidRPr="001C2559" w:rsidRDefault="00034B41" w:rsidP="00034B41">
      <w:pPr>
        <w:autoSpaceDE w:val="0"/>
        <w:autoSpaceDN w:val="0"/>
        <w:adjustRightInd w:val="0"/>
        <w:ind w:firstLine="1276"/>
        <w:jc w:val="both"/>
        <w:rPr>
          <w:rFonts w:ascii="Tahoma" w:hAnsi="Tahoma" w:cs="Tahoma"/>
          <w:sz w:val="22"/>
          <w:szCs w:val="22"/>
          <w:lang w:val="es-ES"/>
        </w:rPr>
      </w:pPr>
      <w:r w:rsidRPr="001C2559">
        <w:rPr>
          <w:rFonts w:ascii="Tahoma" w:hAnsi="Tahoma" w:cs="Tahoma"/>
          <w:sz w:val="22"/>
          <w:szCs w:val="22"/>
          <w:lang w:val="es-ES"/>
        </w:rPr>
        <w:t xml:space="preserve">Que, la citada Ley en su </w:t>
      </w:r>
      <w:r w:rsidRPr="001C2559">
        <w:rPr>
          <w:rFonts w:ascii="Tahoma" w:hAnsi="Tahoma" w:cs="Tahoma"/>
          <w:bCs/>
          <w:sz w:val="22"/>
          <w:szCs w:val="22"/>
          <w:lang w:val="es-ES"/>
        </w:rPr>
        <w:t>Artículo</w:t>
      </w:r>
      <w:r w:rsidR="001A097B" w:rsidRPr="001C2559">
        <w:rPr>
          <w:rFonts w:ascii="Tahoma" w:hAnsi="Tahoma" w:cs="Tahoma"/>
          <w:bCs/>
          <w:sz w:val="22"/>
          <w:szCs w:val="22"/>
          <w:lang w:val="es-ES"/>
        </w:rPr>
        <w:t xml:space="preserve"> </w:t>
      </w:r>
      <w:r w:rsidRPr="001C2559">
        <w:rPr>
          <w:rFonts w:ascii="Tahoma" w:hAnsi="Tahoma" w:cs="Tahoma"/>
          <w:bCs/>
          <w:sz w:val="22"/>
          <w:szCs w:val="22"/>
          <w:lang w:val="es-ES"/>
        </w:rPr>
        <w:t>9</w:t>
      </w:r>
      <w:r w:rsidRPr="001C2559">
        <w:rPr>
          <w:rFonts w:ascii="Tahoma" w:hAnsi="Tahoma" w:cs="Tahoma"/>
          <w:sz w:val="22"/>
          <w:szCs w:val="22"/>
          <w:lang w:val="es-ES"/>
        </w:rPr>
        <w:t xml:space="preserve">º numeral </w:t>
      </w:r>
      <w:r w:rsidRPr="001C2559">
        <w:rPr>
          <w:rFonts w:ascii="Tahoma" w:hAnsi="Tahoma" w:cs="Tahoma"/>
          <w:bCs/>
          <w:sz w:val="22"/>
          <w:szCs w:val="22"/>
          <w:lang w:val="es-ES"/>
        </w:rPr>
        <w:t>1</w:t>
      </w:r>
      <w:r w:rsidRPr="001C2559">
        <w:rPr>
          <w:rFonts w:ascii="Tahoma" w:hAnsi="Tahoma" w:cs="Tahoma"/>
          <w:b/>
          <w:bCs/>
          <w:sz w:val="22"/>
          <w:szCs w:val="22"/>
          <w:lang w:val="es-ES"/>
        </w:rPr>
        <w:t xml:space="preserve">° </w:t>
      </w:r>
      <w:r w:rsidRPr="001C2559">
        <w:rPr>
          <w:rFonts w:ascii="Tahoma" w:hAnsi="Tahoma" w:cs="Tahoma"/>
          <w:bCs/>
          <w:sz w:val="22"/>
          <w:szCs w:val="22"/>
          <w:lang w:val="es-ES"/>
        </w:rPr>
        <w:t>dispone:"</w:t>
      </w:r>
      <w:r w:rsidRPr="001C2559">
        <w:rPr>
          <w:rFonts w:ascii="Tahoma" w:hAnsi="Tahoma" w:cs="Tahoma"/>
          <w:i/>
          <w:sz w:val="22"/>
          <w:szCs w:val="22"/>
          <w:lang w:val="es-ES"/>
        </w:rPr>
        <w:t xml:space="preserve">La autoridad sanitaria nacional reglamentará el tipo de controles exigibles al fabricante para garantizar la calidad de las materias primas, de los productos semielaborados, del proceso de fabricación y del producto final, a efectos de la autorización y registro, manteniéndose </w:t>
      </w:r>
      <w:r w:rsidRPr="001C2559">
        <w:rPr>
          <w:rFonts w:ascii="Tahoma" w:hAnsi="Tahoma" w:cs="Tahoma"/>
          <w:i/>
          <w:sz w:val="22"/>
          <w:szCs w:val="22"/>
          <w:lang w:val="es-ES"/>
        </w:rPr>
        <w:lastRenderedPageBreak/>
        <w:t>dichos controles mientras dure la producción y/o comercialización de la especialidad farmacéutica, sin perjuicio de los cambios o modificaciones tecnológicas que puedan producirse por la evolución de la ciencia y las buenas prácticas de fabricación y control. Dichos cambios o modificaciones deberán ser informados a la autoridad sanitaria nacional para su aprobación y actualización del expediente de la especialidad farmacéutica afectada</w:t>
      </w:r>
      <w:r w:rsidRPr="001C2559">
        <w:rPr>
          <w:rFonts w:ascii="Tahoma" w:hAnsi="Tahoma" w:cs="Tahoma"/>
          <w:sz w:val="22"/>
          <w:szCs w:val="22"/>
          <w:lang w:val="es-ES"/>
        </w:rPr>
        <w:t xml:space="preserve">". </w:t>
      </w:r>
    </w:p>
    <w:p w14:paraId="76DAE667" w14:textId="77777777" w:rsidR="00034B41" w:rsidRPr="001C2559" w:rsidRDefault="00034B41" w:rsidP="00034B41">
      <w:pPr>
        <w:autoSpaceDE w:val="0"/>
        <w:autoSpaceDN w:val="0"/>
        <w:adjustRightInd w:val="0"/>
        <w:ind w:firstLine="1276"/>
        <w:jc w:val="both"/>
        <w:rPr>
          <w:rFonts w:ascii="Tahoma" w:hAnsi="Tahoma" w:cs="Tahoma"/>
          <w:sz w:val="22"/>
          <w:szCs w:val="22"/>
          <w:lang w:val="es-ES"/>
        </w:rPr>
      </w:pPr>
    </w:p>
    <w:p w14:paraId="46C5F3BB" w14:textId="77777777" w:rsidR="00034B41" w:rsidRPr="001C2559" w:rsidRDefault="00034B41" w:rsidP="00034B41">
      <w:pPr>
        <w:pStyle w:val="Ttulo1"/>
        <w:ind w:firstLine="1276"/>
        <w:jc w:val="both"/>
        <w:rPr>
          <w:rFonts w:ascii="Tahoma" w:hAnsi="Tahoma" w:cs="Tahoma"/>
          <w:noProof/>
          <w:sz w:val="22"/>
          <w:szCs w:val="22"/>
          <w:lang w:val="es-ES"/>
        </w:rPr>
      </w:pPr>
      <w:r w:rsidRPr="001C2559">
        <w:rPr>
          <w:rFonts w:ascii="Tahoma" w:eastAsia="Calibri" w:hAnsi="Tahoma" w:cs="Tahoma"/>
          <w:bCs/>
          <w:i w:val="0"/>
          <w:noProof/>
          <w:sz w:val="22"/>
          <w:szCs w:val="22"/>
          <w:lang w:val="es-ES"/>
        </w:rPr>
        <w:t>Que el a</w:t>
      </w:r>
      <w:r w:rsidRPr="001C2559">
        <w:rPr>
          <w:rFonts w:ascii="Tahoma" w:hAnsi="Tahoma" w:cs="Tahoma"/>
          <w:i w:val="0"/>
          <w:noProof/>
          <w:sz w:val="22"/>
          <w:szCs w:val="22"/>
          <w:lang w:val="es-ES"/>
        </w:rPr>
        <w:t>rtículo 6° de la Ley N° 2320/2003 “</w:t>
      </w:r>
      <w:r w:rsidRPr="001C2559">
        <w:rPr>
          <w:rFonts w:ascii="Tahoma" w:hAnsi="Tahoma" w:cs="Tahoma"/>
          <w:noProof/>
          <w:sz w:val="22"/>
          <w:szCs w:val="22"/>
          <w:lang w:val="es-ES"/>
        </w:rPr>
        <w:t>De Promoción de la Utilidad de Medicamentos por su Nombre Genérico</w:t>
      </w:r>
      <w:r w:rsidRPr="001C2559">
        <w:rPr>
          <w:rFonts w:ascii="Tahoma" w:hAnsi="Tahoma" w:cs="Tahoma"/>
          <w:i w:val="0"/>
          <w:noProof/>
          <w:sz w:val="22"/>
          <w:szCs w:val="22"/>
          <w:lang w:val="es-ES"/>
        </w:rPr>
        <w:t>”, Título II De la Demostración de la Equivalencia,expresa:</w:t>
      </w:r>
      <w:r w:rsidRPr="001C2559">
        <w:rPr>
          <w:rFonts w:ascii="Tahoma" w:hAnsi="Tahoma" w:cs="Tahoma"/>
          <w:noProof/>
          <w:sz w:val="22"/>
          <w:szCs w:val="22"/>
          <w:lang w:val="es-ES"/>
        </w:rPr>
        <w:t xml:space="preserve"> "El Ministro de Salud Pública y Bienestar Social, a través de la DNVS reglamentará los aspectos sanitarios y regulatorios de la presente Ley, en los que deberá precisar los controles de calidad necesarios para asegurar la equivalencia entre las especialidades farmacéuticas y los correspondientes productos de referencia".</w:t>
      </w:r>
    </w:p>
    <w:p w14:paraId="33241F95" w14:textId="77777777" w:rsidR="00782624" w:rsidRPr="001C2559" w:rsidRDefault="00782624" w:rsidP="00034B41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0BDC5805" w14:textId="77777777" w:rsidR="0078643A" w:rsidRPr="001C2559" w:rsidRDefault="0078643A" w:rsidP="0078643A">
      <w:pPr>
        <w:pStyle w:val="Ttulo1"/>
        <w:ind w:firstLine="1276"/>
        <w:jc w:val="both"/>
        <w:rPr>
          <w:rFonts w:ascii="Tahoma" w:hAnsi="Tahoma" w:cs="Tahoma"/>
          <w:sz w:val="22"/>
          <w:szCs w:val="22"/>
          <w:lang w:val="es-ES"/>
        </w:rPr>
      </w:pPr>
      <w:bookmarkStart w:id="2" w:name="_Hlk84334114"/>
      <w:r w:rsidRPr="001C2559">
        <w:rPr>
          <w:rFonts w:ascii="Tahoma" w:eastAsia="Calibri" w:hAnsi="Tahoma" w:cs="Tahoma"/>
          <w:bCs/>
          <w:iCs w:val="0"/>
          <w:sz w:val="22"/>
          <w:szCs w:val="22"/>
          <w:lang w:val="es-ES"/>
        </w:rPr>
        <w:t>Que, la Ley N° 6788/2021 en su Artículo 3° establece: “La Dirección</w:t>
      </w:r>
      <w:r w:rsidRPr="001C2559">
        <w:rPr>
          <w:rFonts w:ascii="Tahoma" w:hAnsi="Tahoma" w:cs="Tahoma"/>
          <w:sz w:val="22"/>
          <w:szCs w:val="22"/>
        </w:rPr>
        <w:t xml:space="preserve"> Nacional de Vigilancia Sanitaria (DINAVISA), será considerada como la autoridad responsable en cuanto a las disposiciones relativas al ámbito de su competencia, a través de la ejecución de las políticas públicas diseñadas por el Ministerio de Salud Pública y Bienestar Social, en su carácter de rector de la materia, el desarrollo de estrategias adecuadas, la regulación, control y fiscalización de los productos para la salud como medicamentos de uso humano, drogas, productos químicos, reactivos, dispositivos médicos y todo otro producto de uso y aplicación en medicina humana, así como los productos considerados como cosméticos, perfumes, domisanitarios y afines, y aquellos productos cuya regulación y control le sean asignados por Ley, así como el aseguramiento de su calidad, seguridad y eficacia, pudiendo sancionar las infracciones que se detecten”.</w:t>
      </w:r>
      <w:bookmarkEnd w:id="2"/>
    </w:p>
    <w:p w14:paraId="1F2976D5" w14:textId="77777777" w:rsidR="0078643A" w:rsidRPr="001C2559" w:rsidRDefault="0078643A" w:rsidP="00034B41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14C09A01" w14:textId="77777777" w:rsidR="003B5E6B" w:rsidRPr="001C2559" w:rsidRDefault="00782624" w:rsidP="003B5E6B">
      <w:pPr>
        <w:tabs>
          <w:tab w:val="left" w:pos="851"/>
        </w:tabs>
        <w:autoSpaceDE w:val="0"/>
        <w:autoSpaceDN w:val="0"/>
        <w:adjustRightInd w:val="0"/>
        <w:ind w:firstLine="1276"/>
        <w:jc w:val="both"/>
        <w:rPr>
          <w:rFonts w:ascii="Tahoma" w:hAnsi="Tahoma" w:cs="Tahoma"/>
          <w:sz w:val="22"/>
          <w:szCs w:val="22"/>
          <w:lang w:val="es-ES"/>
        </w:rPr>
      </w:pPr>
      <w:r w:rsidRPr="001C2559">
        <w:rPr>
          <w:rFonts w:ascii="Tahoma" w:hAnsi="Tahoma" w:cs="Tahoma"/>
          <w:sz w:val="22"/>
          <w:szCs w:val="22"/>
          <w:lang w:val="es-ES"/>
        </w:rPr>
        <w:t>Que a los fines de garantizar la seguridad y eficacia de determinados medicamentos, es necesario demostrar la bioequivalencia</w:t>
      </w:r>
      <w:r w:rsidR="001A097B" w:rsidRPr="001C2559">
        <w:rPr>
          <w:rFonts w:ascii="Tahoma" w:hAnsi="Tahoma" w:cs="Tahoma"/>
          <w:sz w:val="22"/>
          <w:szCs w:val="22"/>
          <w:lang w:val="es-ES"/>
        </w:rPr>
        <w:t xml:space="preserve"> </w:t>
      </w:r>
      <w:r w:rsidRPr="001C2559">
        <w:rPr>
          <w:rFonts w:ascii="Tahoma" w:hAnsi="Tahoma" w:cs="Tahoma"/>
          <w:sz w:val="22"/>
          <w:szCs w:val="22"/>
          <w:lang w:val="es-ES"/>
        </w:rPr>
        <w:t xml:space="preserve">con respecto al medicamento de referencia </w:t>
      </w:r>
      <w:r w:rsidRPr="001C2559">
        <w:rPr>
          <w:rFonts w:ascii="Tahoma" w:hAnsi="Tahoma" w:cs="Tahoma"/>
          <w:sz w:val="22"/>
          <w:szCs w:val="22"/>
          <w:lang w:val="es-ES" w:eastAsia="es-ES"/>
        </w:rPr>
        <w:t xml:space="preserve">a través de estudios de </w:t>
      </w:r>
      <w:r w:rsidR="001A097B" w:rsidRPr="001C2559">
        <w:rPr>
          <w:rFonts w:ascii="Tahoma" w:hAnsi="Tahoma" w:cs="Tahoma"/>
          <w:sz w:val="22"/>
          <w:szCs w:val="22"/>
          <w:lang w:val="es-ES" w:eastAsia="es-ES"/>
        </w:rPr>
        <w:t>Bioequivalencia</w:t>
      </w:r>
      <w:r w:rsidR="00BF33C0" w:rsidRPr="001C2559">
        <w:rPr>
          <w:rFonts w:ascii="Tahoma" w:hAnsi="Tahoma" w:cs="Tahoma"/>
          <w:sz w:val="22"/>
          <w:szCs w:val="22"/>
          <w:lang w:val="es-ES" w:eastAsia="es-ES"/>
        </w:rPr>
        <w:t>;</w:t>
      </w:r>
      <w:r w:rsidRPr="001C2559">
        <w:rPr>
          <w:rFonts w:ascii="Tahoma" w:hAnsi="Tahoma" w:cs="Tahoma"/>
          <w:sz w:val="22"/>
          <w:szCs w:val="22"/>
          <w:lang w:val="es-ES" w:eastAsia="es-ES"/>
        </w:rPr>
        <w:t xml:space="preserve"> todo ello para lograr la a</w:t>
      </w:r>
      <w:r w:rsidR="00A44095" w:rsidRPr="001C2559">
        <w:rPr>
          <w:rFonts w:ascii="Tahoma" w:hAnsi="Tahoma" w:cs="Tahoma"/>
          <w:sz w:val="22"/>
          <w:szCs w:val="22"/>
          <w:lang w:val="es-ES" w:eastAsia="es-ES"/>
        </w:rPr>
        <w:t>s</w:t>
      </w:r>
      <w:r w:rsidRPr="001C2559">
        <w:rPr>
          <w:rFonts w:ascii="Tahoma" w:hAnsi="Tahoma" w:cs="Tahoma"/>
          <w:sz w:val="22"/>
          <w:szCs w:val="22"/>
          <w:lang w:val="es-ES" w:eastAsia="es-ES"/>
        </w:rPr>
        <w:t xml:space="preserve">equibilidad </w:t>
      </w:r>
      <w:r w:rsidR="00BF33C0" w:rsidRPr="001C2559">
        <w:rPr>
          <w:rFonts w:ascii="Tahoma" w:hAnsi="Tahoma" w:cs="Tahoma"/>
          <w:sz w:val="22"/>
          <w:szCs w:val="22"/>
          <w:lang w:val="es-ES" w:eastAsia="es-ES"/>
        </w:rPr>
        <w:t>por parte de la població</w:t>
      </w:r>
      <w:r w:rsidRPr="001C2559">
        <w:rPr>
          <w:rFonts w:ascii="Tahoma" w:hAnsi="Tahoma" w:cs="Tahoma"/>
          <w:sz w:val="22"/>
          <w:szCs w:val="22"/>
          <w:lang w:val="es-ES" w:eastAsia="es-ES"/>
        </w:rPr>
        <w:t xml:space="preserve">n, a medicamentos </w:t>
      </w:r>
      <w:r w:rsidR="002733B5" w:rsidRPr="001C2559">
        <w:rPr>
          <w:rFonts w:ascii="Tahoma" w:hAnsi="Tahoma" w:cs="Tahoma"/>
          <w:sz w:val="22"/>
          <w:szCs w:val="22"/>
          <w:lang w:val="es-ES" w:eastAsia="es-ES"/>
        </w:rPr>
        <w:t>seguros</w:t>
      </w:r>
      <w:r w:rsidRPr="001C2559">
        <w:rPr>
          <w:rFonts w:ascii="Tahoma" w:hAnsi="Tahoma" w:cs="Tahoma"/>
          <w:sz w:val="22"/>
          <w:szCs w:val="22"/>
          <w:lang w:val="es-ES" w:eastAsia="es-ES"/>
        </w:rPr>
        <w:t xml:space="preserve"> y de eficacia comprobada.</w:t>
      </w:r>
      <w:r w:rsidR="00BF33C0" w:rsidRPr="001C2559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3BE0DCEC" w14:textId="77777777" w:rsidR="007021E5" w:rsidRPr="001C2559" w:rsidRDefault="007021E5" w:rsidP="007021E5">
      <w:pPr>
        <w:tabs>
          <w:tab w:val="left" w:pos="851"/>
        </w:tabs>
        <w:autoSpaceDE w:val="0"/>
        <w:autoSpaceDN w:val="0"/>
        <w:adjustRightInd w:val="0"/>
        <w:ind w:firstLine="1134"/>
        <w:jc w:val="both"/>
        <w:rPr>
          <w:rFonts w:ascii="Tahoma" w:hAnsi="Tahoma" w:cs="Tahoma"/>
          <w:sz w:val="22"/>
          <w:szCs w:val="22"/>
          <w:lang w:val="es-ES"/>
        </w:rPr>
      </w:pPr>
    </w:p>
    <w:p w14:paraId="3C882B4B" w14:textId="77777777" w:rsidR="002122D1" w:rsidRPr="001C2559" w:rsidRDefault="002122D1" w:rsidP="007021E5">
      <w:pPr>
        <w:tabs>
          <w:tab w:val="left" w:pos="851"/>
        </w:tabs>
        <w:autoSpaceDE w:val="0"/>
        <w:autoSpaceDN w:val="0"/>
        <w:adjustRightInd w:val="0"/>
        <w:ind w:firstLine="1134"/>
        <w:jc w:val="both"/>
        <w:rPr>
          <w:rFonts w:ascii="Tahoma" w:hAnsi="Tahoma" w:cs="Tahoma"/>
          <w:sz w:val="22"/>
          <w:szCs w:val="22"/>
          <w:lang w:val="es-ES"/>
        </w:rPr>
      </w:pPr>
      <w:r w:rsidRPr="001C2559">
        <w:rPr>
          <w:rFonts w:ascii="Tahoma" w:hAnsi="Tahoma" w:cs="Tahoma"/>
          <w:sz w:val="22"/>
          <w:szCs w:val="22"/>
          <w:highlight w:val="yellow"/>
        </w:rPr>
        <w:t>Que, la Dirección de Asesoría Jurídica se ha expedido favorablemente para la</w:t>
      </w:r>
      <w:r w:rsidR="00034B41" w:rsidRPr="001C2559">
        <w:rPr>
          <w:rFonts w:ascii="Tahoma" w:hAnsi="Tahoma" w:cs="Tahoma"/>
          <w:sz w:val="22"/>
          <w:szCs w:val="22"/>
          <w:highlight w:val="yellow"/>
        </w:rPr>
        <w:t xml:space="preserve"> firma del presente</w:t>
      </w:r>
      <w:r w:rsidRPr="001C2559">
        <w:rPr>
          <w:rFonts w:ascii="Tahoma" w:hAnsi="Tahoma" w:cs="Tahoma"/>
          <w:sz w:val="22"/>
          <w:szCs w:val="22"/>
          <w:highlight w:val="yellow"/>
        </w:rPr>
        <w:t>, a través del Dictamen A.J. N°      de fecha</w:t>
      </w:r>
    </w:p>
    <w:p w14:paraId="4EF1A2C1" w14:textId="77777777" w:rsidR="000D7E6D" w:rsidRPr="001C2559" w:rsidRDefault="002122D1" w:rsidP="002959FE">
      <w:pPr>
        <w:ind w:firstLine="1560"/>
        <w:jc w:val="both"/>
        <w:rPr>
          <w:rFonts w:ascii="Tahoma" w:hAnsi="Tahoma" w:cs="Tahoma"/>
          <w:b/>
          <w:sz w:val="22"/>
          <w:szCs w:val="22"/>
        </w:rPr>
      </w:pPr>
      <w:r w:rsidRPr="001C2559">
        <w:rPr>
          <w:rFonts w:ascii="Tahoma" w:hAnsi="Tahoma" w:cs="Tahoma"/>
          <w:b/>
          <w:sz w:val="22"/>
          <w:szCs w:val="22"/>
        </w:rPr>
        <w:tab/>
      </w:r>
    </w:p>
    <w:p w14:paraId="26FD9D08" w14:textId="77777777" w:rsidR="00EF068C" w:rsidRPr="001C2559" w:rsidRDefault="00EF068C" w:rsidP="00EF068C">
      <w:pPr>
        <w:jc w:val="both"/>
        <w:rPr>
          <w:rFonts w:ascii="Tahoma" w:hAnsi="Tahoma" w:cs="Tahoma"/>
          <w:sz w:val="22"/>
          <w:szCs w:val="22"/>
        </w:rPr>
      </w:pPr>
      <w:bookmarkStart w:id="3" w:name="_Hlk500336062"/>
      <w:bookmarkEnd w:id="1"/>
      <w:r w:rsidRPr="001C2559">
        <w:rPr>
          <w:rFonts w:ascii="Tahoma" w:hAnsi="Tahoma" w:cs="Tahoma"/>
          <w:b/>
          <w:sz w:val="22"/>
          <w:szCs w:val="22"/>
        </w:rPr>
        <w:t>POR TANTO</w:t>
      </w:r>
      <w:r w:rsidRPr="001C2559">
        <w:rPr>
          <w:rFonts w:ascii="Tahoma" w:hAnsi="Tahoma" w:cs="Tahoma"/>
          <w:sz w:val="22"/>
          <w:szCs w:val="22"/>
        </w:rPr>
        <w:t>, en ejercicio de sus atribuciones legales;</w:t>
      </w:r>
    </w:p>
    <w:p w14:paraId="6A7E0A5B" w14:textId="77777777" w:rsidR="00EF068C" w:rsidRPr="001C2559" w:rsidRDefault="00EF068C" w:rsidP="00EF068C">
      <w:pPr>
        <w:jc w:val="center"/>
        <w:rPr>
          <w:rFonts w:ascii="Tahoma" w:hAnsi="Tahoma" w:cs="Tahoma"/>
          <w:b/>
          <w:sz w:val="22"/>
          <w:szCs w:val="22"/>
        </w:rPr>
      </w:pPr>
    </w:p>
    <w:p w14:paraId="006025B8" w14:textId="77777777" w:rsidR="00EF068C" w:rsidRPr="001C2559" w:rsidRDefault="00EF068C" w:rsidP="00EF068C">
      <w:pPr>
        <w:jc w:val="center"/>
        <w:rPr>
          <w:rFonts w:ascii="Tahoma" w:hAnsi="Tahoma" w:cs="Tahoma"/>
          <w:b/>
          <w:sz w:val="22"/>
          <w:szCs w:val="22"/>
        </w:rPr>
      </w:pPr>
      <w:r w:rsidRPr="001C2559">
        <w:rPr>
          <w:rFonts w:ascii="Tahoma" w:hAnsi="Tahoma" w:cs="Tahoma"/>
          <w:b/>
          <w:sz w:val="22"/>
          <w:szCs w:val="22"/>
        </w:rPr>
        <w:t>LA DIRECTORA NACIONAL DE VIGILANCIA SANITARIA;</w:t>
      </w:r>
    </w:p>
    <w:p w14:paraId="0393C376" w14:textId="77777777" w:rsidR="00EF068C" w:rsidRPr="001C2559" w:rsidRDefault="00EF068C" w:rsidP="00162FA9">
      <w:pPr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14:paraId="56BE4183" w14:textId="77777777" w:rsidR="00162FA9" w:rsidRPr="001C2559" w:rsidRDefault="00162FA9" w:rsidP="00162FA9">
      <w:pPr>
        <w:jc w:val="center"/>
        <w:rPr>
          <w:rFonts w:ascii="Tahoma" w:hAnsi="Tahoma" w:cs="Tahoma"/>
          <w:b/>
          <w:sz w:val="22"/>
          <w:szCs w:val="22"/>
          <w:lang w:val="pt-BR"/>
        </w:rPr>
      </w:pPr>
      <w:r w:rsidRPr="001C2559">
        <w:rPr>
          <w:rFonts w:ascii="Tahoma" w:hAnsi="Tahoma" w:cs="Tahoma"/>
          <w:b/>
          <w:sz w:val="22"/>
          <w:szCs w:val="22"/>
          <w:lang w:val="pt-BR"/>
        </w:rPr>
        <w:t>RESUELVE:</w:t>
      </w:r>
    </w:p>
    <w:bookmarkEnd w:id="3"/>
    <w:p w14:paraId="5BE416EA" w14:textId="77777777" w:rsidR="007A7508" w:rsidRPr="001C2559" w:rsidRDefault="007A7508" w:rsidP="00162FA9">
      <w:pPr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14:paraId="584FFE46" w14:textId="77777777" w:rsidR="00D42BA2" w:rsidRPr="001C2559" w:rsidRDefault="008F1586" w:rsidP="005B35C0">
      <w:pPr>
        <w:pStyle w:val="Encabezado"/>
        <w:tabs>
          <w:tab w:val="clear" w:pos="4252"/>
          <w:tab w:val="clear" w:pos="8504"/>
        </w:tabs>
        <w:ind w:left="1276" w:hanging="1276"/>
        <w:jc w:val="both"/>
        <w:rPr>
          <w:rFonts w:ascii="Tahoma" w:hAnsi="Tahoma" w:cs="Tahoma"/>
          <w:b/>
          <w:sz w:val="22"/>
          <w:szCs w:val="22"/>
          <w:lang w:val="es-ES"/>
        </w:rPr>
      </w:pPr>
      <w:bookmarkStart w:id="4" w:name="_Hlk500336448"/>
      <w:r w:rsidRPr="001C2559">
        <w:rPr>
          <w:rFonts w:ascii="Tahoma" w:hAnsi="Tahoma" w:cs="Tahoma"/>
          <w:b/>
          <w:sz w:val="22"/>
          <w:szCs w:val="22"/>
          <w:lang w:val="pt-BR" w:eastAsia="es-ES"/>
        </w:rPr>
        <w:t xml:space="preserve">Artículo 1°.- </w:t>
      </w:r>
      <w:r w:rsidR="00D42BA2" w:rsidRPr="001C2559">
        <w:rPr>
          <w:rFonts w:ascii="Tahoma" w:hAnsi="Tahoma" w:cs="Tahoma"/>
          <w:sz w:val="22"/>
          <w:szCs w:val="22"/>
          <w:lang w:val="pt-BR" w:eastAsia="es-ES"/>
        </w:rPr>
        <w:t>Es</w:t>
      </w:r>
      <w:r w:rsidR="00D42BA2" w:rsidRPr="001C2559">
        <w:rPr>
          <w:rFonts w:ascii="Tahoma" w:hAnsi="Tahoma" w:cs="Tahoma"/>
          <w:sz w:val="22"/>
          <w:szCs w:val="22"/>
          <w:lang w:val="es-ES"/>
        </w:rPr>
        <w:t xml:space="preserve">tablecer como requisito obligatorio </w:t>
      </w:r>
      <w:r w:rsidR="005B35C0" w:rsidRPr="001C2559">
        <w:rPr>
          <w:rFonts w:ascii="Tahoma" w:hAnsi="Tahoma" w:cs="Tahoma"/>
          <w:sz w:val="22"/>
          <w:szCs w:val="22"/>
          <w:lang w:val="es-ES"/>
        </w:rPr>
        <w:t>la</w:t>
      </w:r>
      <w:r w:rsidR="00D42BA2" w:rsidRPr="001C2559">
        <w:rPr>
          <w:rFonts w:ascii="Tahoma" w:hAnsi="Tahoma" w:cs="Tahoma"/>
          <w:sz w:val="22"/>
          <w:szCs w:val="22"/>
          <w:lang w:val="es-ES"/>
        </w:rPr>
        <w:t xml:space="preserve"> presentación de</w:t>
      </w:r>
      <w:r w:rsidR="005B35C0" w:rsidRPr="001C2559">
        <w:rPr>
          <w:rFonts w:ascii="Tahoma" w:hAnsi="Tahoma" w:cs="Tahoma"/>
          <w:sz w:val="22"/>
          <w:szCs w:val="22"/>
          <w:lang w:val="es-ES"/>
        </w:rPr>
        <w:t xml:space="preserve"> los</w:t>
      </w:r>
      <w:r w:rsidR="00D42BA2" w:rsidRPr="001C2559">
        <w:rPr>
          <w:rFonts w:ascii="Tahoma" w:hAnsi="Tahoma" w:cs="Tahoma"/>
          <w:sz w:val="22"/>
          <w:szCs w:val="22"/>
          <w:lang w:val="es-ES"/>
        </w:rPr>
        <w:t xml:space="preserve"> estudios de bioequivalencia de los medicamentos cuyos principios activos se encuentran detallados en el</w:t>
      </w:r>
      <w:r w:rsidR="00D42BA2" w:rsidRPr="001C2559">
        <w:rPr>
          <w:rFonts w:ascii="Tahoma" w:hAnsi="Tahoma" w:cs="Tahoma"/>
          <w:b/>
          <w:sz w:val="22"/>
          <w:szCs w:val="22"/>
          <w:lang w:val="es-ES"/>
        </w:rPr>
        <w:t xml:space="preserve"> ANEXO N° 6 </w:t>
      </w:r>
      <w:r w:rsidR="00D42BA2" w:rsidRPr="001C2559">
        <w:rPr>
          <w:rFonts w:ascii="Tahoma" w:hAnsi="Tahoma" w:cs="Tahoma"/>
          <w:sz w:val="22"/>
          <w:szCs w:val="22"/>
          <w:lang w:val="es-ES"/>
        </w:rPr>
        <w:t xml:space="preserve">de </w:t>
      </w:r>
      <w:r w:rsidR="00D42BA2" w:rsidRPr="001C2559">
        <w:rPr>
          <w:rFonts w:ascii="Tahoma" w:hAnsi="Tahoma" w:cs="Tahoma"/>
          <w:sz w:val="22"/>
          <w:szCs w:val="22"/>
        </w:rPr>
        <w:t>la</w:t>
      </w:r>
      <w:r w:rsidR="00D42BA2" w:rsidRPr="001C2559">
        <w:rPr>
          <w:rFonts w:ascii="Tahoma" w:hAnsi="Tahoma" w:cs="Tahoma"/>
          <w:b/>
          <w:sz w:val="22"/>
          <w:szCs w:val="22"/>
          <w:lang w:val="es-ES"/>
        </w:rPr>
        <w:t xml:space="preserve"> RESOLUCIÓN S.G. N° 92/2020 “</w:t>
      </w:r>
      <w:r w:rsidR="00D42BA2" w:rsidRPr="001C2559">
        <w:rPr>
          <w:rFonts w:ascii="Tahoma" w:hAnsi="Tahoma" w:cs="Tahoma"/>
          <w:b/>
          <w:i/>
          <w:sz w:val="22"/>
          <w:szCs w:val="22"/>
          <w:lang w:val="es-ES"/>
        </w:rPr>
        <w:t>POR LA CUAL SE REGLAMENTAN LOS ESTUDIOS DE BIODISPONIBILIDAD RELATIVA/BIOEQUIVALENCIA (IN VIVO) PARA MEDICAMENTOS</w:t>
      </w:r>
      <w:r w:rsidR="00D42BA2" w:rsidRPr="001C2559">
        <w:rPr>
          <w:rFonts w:ascii="Tahoma" w:hAnsi="Tahoma" w:cs="Tahoma"/>
          <w:b/>
          <w:sz w:val="22"/>
          <w:szCs w:val="22"/>
          <w:lang w:val="es-ES"/>
        </w:rPr>
        <w:t xml:space="preserve">” </w:t>
      </w:r>
      <w:r w:rsidR="00D42BA2" w:rsidRPr="001C2559">
        <w:rPr>
          <w:rFonts w:ascii="Tahoma" w:hAnsi="Tahoma" w:cs="Tahoma"/>
          <w:sz w:val="22"/>
          <w:szCs w:val="22"/>
          <w:lang w:val="es-ES"/>
        </w:rPr>
        <w:t>a los fines de obtención y/o renovación de los registros sanitarios.</w:t>
      </w:r>
    </w:p>
    <w:p w14:paraId="0FDAB985" w14:textId="77777777" w:rsidR="00D42BA2" w:rsidRPr="001C2559" w:rsidRDefault="00D42BA2" w:rsidP="00D42BA2">
      <w:pPr>
        <w:pStyle w:val="Encabezado"/>
        <w:tabs>
          <w:tab w:val="clear" w:pos="4252"/>
          <w:tab w:val="clear" w:pos="8504"/>
        </w:tabs>
        <w:ind w:left="1276" w:hanging="1276"/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14:paraId="550BE0FB" w14:textId="10013A98" w:rsidR="002E01B5" w:rsidRPr="001C2559" w:rsidRDefault="00F31584" w:rsidP="00EF068C">
      <w:pPr>
        <w:tabs>
          <w:tab w:val="left" w:pos="1701"/>
        </w:tabs>
        <w:ind w:left="1276" w:hanging="1276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1C2559">
        <w:rPr>
          <w:rFonts w:ascii="Tahoma" w:hAnsi="Tahoma" w:cs="Tahoma"/>
          <w:b/>
          <w:sz w:val="22"/>
          <w:szCs w:val="22"/>
          <w:lang w:val="es-ES" w:eastAsia="es-ES"/>
        </w:rPr>
        <w:t xml:space="preserve">Artículo </w:t>
      </w:r>
      <w:r w:rsidR="00D0725B" w:rsidRPr="001C2559">
        <w:rPr>
          <w:rFonts w:ascii="Tahoma" w:hAnsi="Tahoma" w:cs="Tahoma"/>
          <w:b/>
          <w:sz w:val="22"/>
          <w:szCs w:val="22"/>
          <w:lang w:val="es-ES" w:eastAsia="es-ES"/>
        </w:rPr>
        <w:t>2</w:t>
      </w:r>
      <w:r w:rsidR="00967336" w:rsidRPr="001C2559">
        <w:rPr>
          <w:rFonts w:ascii="Tahoma" w:hAnsi="Tahoma" w:cs="Tahoma"/>
          <w:b/>
          <w:sz w:val="22"/>
          <w:szCs w:val="22"/>
          <w:lang w:val="es-ES" w:eastAsia="es-ES"/>
        </w:rPr>
        <w:t>°</w:t>
      </w:r>
      <w:r w:rsidRPr="001C2559">
        <w:rPr>
          <w:rFonts w:ascii="Tahoma" w:hAnsi="Tahoma" w:cs="Tahoma"/>
          <w:b/>
          <w:sz w:val="22"/>
          <w:szCs w:val="22"/>
          <w:lang w:val="es-ES" w:eastAsia="es-ES"/>
        </w:rPr>
        <w:t>.-</w:t>
      </w:r>
      <w:r w:rsidRPr="001C2559">
        <w:rPr>
          <w:rFonts w:ascii="Tahoma" w:hAnsi="Tahoma" w:cs="Tahoma"/>
          <w:b/>
          <w:sz w:val="22"/>
          <w:szCs w:val="22"/>
          <w:lang w:val="es-ES" w:eastAsia="es-ES"/>
        </w:rPr>
        <w:tab/>
      </w:r>
      <w:r w:rsidR="00D42BA2" w:rsidRPr="001C2559">
        <w:rPr>
          <w:rFonts w:ascii="Tahoma" w:hAnsi="Tahoma" w:cs="Tahoma"/>
          <w:sz w:val="22"/>
          <w:szCs w:val="22"/>
          <w:lang w:val="es-ES" w:eastAsia="es-ES"/>
        </w:rPr>
        <w:t>Disponer</w:t>
      </w:r>
      <w:r w:rsidR="00D42BA2" w:rsidRPr="001C2559">
        <w:rPr>
          <w:rFonts w:ascii="Tahoma" w:hAnsi="Tahoma" w:cs="Tahoma"/>
          <w:b/>
          <w:sz w:val="22"/>
          <w:szCs w:val="22"/>
          <w:lang w:val="es-ES" w:eastAsia="es-ES"/>
        </w:rPr>
        <w:t xml:space="preserve"> </w:t>
      </w:r>
      <w:r w:rsidR="00D42BA2" w:rsidRPr="001C2559">
        <w:rPr>
          <w:rFonts w:ascii="Tahoma" w:hAnsi="Tahoma" w:cs="Tahoma"/>
          <w:sz w:val="22"/>
          <w:szCs w:val="22"/>
          <w:lang w:val="es-ES" w:eastAsia="es-ES"/>
        </w:rPr>
        <w:t xml:space="preserve">que </w:t>
      </w:r>
      <w:r w:rsidR="00D2358C" w:rsidRPr="001C2559">
        <w:rPr>
          <w:rFonts w:ascii="Tahoma" w:hAnsi="Tahoma" w:cs="Tahoma"/>
          <w:sz w:val="22"/>
          <w:szCs w:val="22"/>
          <w:lang w:val="es-ES" w:eastAsia="es-ES"/>
        </w:rPr>
        <w:t xml:space="preserve">la realización de los estudios de bioequivalencia de los </w:t>
      </w:r>
      <w:r w:rsidR="00AD5FD9" w:rsidRPr="001C2559">
        <w:rPr>
          <w:rFonts w:ascii="Tahoma" w:hAnsi="Tahoma" w:cs="Tahoma"/>
          <w:sz w:val="22"/>
          <w:szCs w:val="22"/>
          <w:lang w:val="es-ES"/>
        </w:rPr>
        <w:t>medicamentos cuyos principios activos</w:t>
      </w:r>
      <w:r w:rsidR="00AD5FD9" w:rsidRPr="001C2559">
        <w:rPr>
          <w:rFonts w:ascii="Tahoma" w:hAnsi="Tahoma" w:cs="Tahoma"/>
          <w:sz w:val="22"/>
          <w:szCs w:val="22"/>
          <w:lang w:val="es-ES" w:eastAsia="es-ES"/>
        </w:rPr>
        <w:t xml:space="preserve"> son</w:t>
      </w:r>
      <w:r w:rsidR="00D42BA2" w:rsidRPr="001C2559">
        <w:rPr>
          <w:rFonts w:ascii="Tahoma" w:hAnsi="Tahoma" w:cs="Tahoma"/>
          <w:sz w:val="22"/>
          <w:szCs w:val="22"/>
          <w:lang w:val="es-ES" w:eastAsia="es-ES"/>
        </w:rPr>
        <w:t xml:space="preserve"> contemplados exclusivamente en el ANEXO N° 5 de la Resolución </w:t>
      </w:r>
      <w:r w:rsidR="00D42BA2" w:rsidRPr="001C2559">
        <w:rPr>
          <w:rFonts w:ascii="Tahoma" w:hAnsi="Tahoma" w:cs="Tahoma"/>
          <w:sz w:val="22"/>
          <w:szCs w:val="22"/>
          <w:lang w:val="es-ES"/>
        </w:rPr>
        <w:t>S.G. N° 92/2020 “</w:t>
      </w:r>
      <w:r w:rsidR="00D42BA2" w:rsidRPr="001C2559">
        <w:rPr>
          <w:rFonts w:ascii="Tahoma" w:hAnsi="Tahoma" w:cs="Tahoma"/>
          <w:i/>
          <w:sz w:val="22"/>
          <w:szCs w:val="22"/>
          <w:lang w:val="es-ES"/>
        </w:rPr>
        <w:t xml:space="preserve">POR LA CUAL SE REGLAMENTAN LOS ESTUDIOS DE BIODISPONIBILIDAD RELATIVA/BIOEQUIVALENCIA (IN VIVO) PARA MEDICAMENTOS” </w:t>
      </w:r>
      <w:r w:rsidR="00D42BA2" w:rsidRPr="001C2559">
        <w:rPr>
          <w:rFonts w:ascii="Tahoma" w:hAnsi="Tahoma" w:cs="Tahoma"/>
          <w:sz w:val="22"/>
          <w:szCs w:val="22"/>
          <w:lang w:val="es-ES"/>
        </w:rPr>
        <w:t xml:space="preserve">serán de cumplimiento </w:t>
      </w:r>
      <w:r w:rsidR="004D21FE" w:rsidRPr="001C2559">
        <w:rPr>
          <w:rFonts w:ascii="Tahoma" w:hAnsi="Tahoma" w:cs="Tahoma"/>
          <w:sz w:val="22"/>
          <w:szCs w:val="22"/>
          <w:lang w:val="es-ES"/>
        </w:rPr>
        <w:t xml:space="preserve">optativo </w:t>
      </w:r>
      <w:r w:rsidR="00D42BA2" w:rsidRPr="001C2559">
        <w:rPr>
          <w:rFonts w:ascii="Tahoma" w:hAnsi="Tahoma" w:cs="Tahoma"/>
          <w:sz w:val="22"/>
          <w:szCs w:val="22"/>
          <w:lang w:val="es-ES"/>
        </w:rPr>
        <w:t>a partir de la puesta en vigencia de la presente</w:t>
      </w:r>
      <w:r w:rsidR="00D42BA2" w:rsidRPr="001C2559">
        <w:rPr>
          <w:rFonts w:ascii="Tahoma" w:hAnsi="Tahoma" w:cs="Tahoma"/>
          <w:i/>
          <w:sz w:val="22"/>
          <w:szCs w:val="22"/>
          <w:lang w:val="es-ES"/>
        </w:rPr>
        <w:t>.</w:t>
      </w:r>
    </w:p>
    <w:p w14:paraId="43C2E9D4" w14:textId="77777777" w:rsidR="003105C3" w:rsidRPr="001C2559" w:rsidRDefault="00F31584" w:rsidP="003105C3">
      <w:pPr>
        <w:ind w:left="1276" w:hanging="1276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1C2559">
        <w:rPr>
          <w:rFonts w:ascii="Tahoma" w:hAnsi="Tahoma" w:cs="Tahoma"/>
          <w:sz w:val="22"/>
          <w:szCs w:val="22"/>
          <w:lang w:val="es-ES" w:eastAsia="es-ES"/>
        </w:rPr>
        <w:tab/>
      </w:r>
      <w:r w:rsidRPr="001C2559">
        <w:rPr>
          <w:rFonts w:ascii="Tahoma" w:hAnsi="Tahoma" w:cs="Tahoma"/>
          <w:sz w:val="22"/>
          <w:szCs w:val="22"/>
          <w:lang w:val="es-ES" w:eastAsia="es-ES"/>
        </w:rPr>
        <w:tab/>
      </w:r>
    </w:p>
    <w:p w14:paraId="6F26D98F" w14:textId="1BEADB56" w:rsidR="004D21FE" w:rsidRPr="001C2559" w:rsidRDefault="00F31584" w:rsidP="00EF068C">
      <w:pPr>
        <w:tabs>
          <w:tab w:val="left" w:pos="1560"/>
        </w:tabs>
        <w:ind w:left="1276" w:hanging="1276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1C2559">
        <w:rPr>
          <w:rFonts w:ascii="Tahoma" w:hAnsi="Tahoma" w:cs="Tahoma"/>
          <w:b/>
          <w:sz w:val="22"/>
          <w:szCs w:val="22"/>
          <w:lang w:val="es-ES" w:eastAsia="es-ES"/>
        </w:rPr>
        <w:t xml:space="preserve">Artículo </w:t>
      </w:r>
      <w:r w:rsidR="00D0725B" w:rsidRPr="001C2559">
        <w:rPr>
          <w:rFonts w:ascii="Tahoma" w:hAnsi="Tahoma" w:cs="Tahoma"/>
          <w:b/>
          <w:sz w:val="22"/>
          <w:szCs w:val="22"/>
          <w:lang w:val="es-ES" w:eastAsia="es-ES"/>
        </w:rPr>
        <w:t>3</w:t>
      </w:r>
      <w:r w:rsidR="00967336" w:rsidRPr="001C2559">
        <w:rPr>
          <w:rFonts w:ascii="Tahoma" w:hAnsi="Tahoma" w:cs="Tahoma"/>
          <w:b/>
          <w:sz w:val="22"/>
          <w:szCs w:val="22"/>
          <w:lang w:val="es-ES" w:eastAsia="es-ES"/>
        </w:rPr>
        <w:t>°</w:t>
      </w:r>
      <w:r w:rsidRPr="001C2559">
        <w:rPr>
          <w:rFonts w:ascii="Tahoma" w:hAnsi="Tahoma" w:cs="Tahoma"/>
          <w:b/>
          <w:sz w:val="22"/>
          <w:szCs w:val="22"/>
          <w:lang w:val="es-ES" w:eastAsia="es-ES"/>
        </w:rPr>
        <w:t>.-</w:t>
      </w:r>
      <w:r w:rsidRPr="001C2559">
        <w:rPr>
          <w:rFonts w:ascii="Tahoma" w:hAnsi="Tahoma" w:cs="Tahoma"/>
          <w:sz w:val="22"/>
          <w:szCs w:val="22"/>
          <w:lang w:val="es-ES" w:eastAsia="es-ES"/>
        </w:rPr>
        <w:tab/>
      </w:r>
      <w:r w:rsidR="004D21FE" w:rsidRPr="001C2559">
        <w:rPr>
          <w:rFonts w:ascii="Tahoma" w:hAnsi="Tahoma" w:cs="Tahoma"/>
          <w:sz w:val="22"/>
          <w:szCs w:val="22"/>
          <w:lang w:eastAsia="es-ES"/>
        </w:rPr>
        <w:t xml:space="preserve">Determinar que los cronogramas de implementación vigentes referidos al ANEXO N° 6 </w:t>
      </w:r>
      <w:r w:rsidR="004D21FE" w:rsidRPr="001C2559">
        <w:rPr>
          <w:rFonts w:ascii="Tahoma" w:hAnsi="Tahoma" w:cs="Tahoma"/>
          <w:sz w:val="22"/>
          <w:szCs w:val="22"/>
          <w:lang w:val="es-ES" w:eastAsia="es-ES"/>
        </w:rPr>
        <w:t xml:space="preserve">de la Resolución </w:t>
      </w:r>
      <w:r w:rsidR="004D21FE" w:rsidRPr="001C2559">
        <w:rPr>
          <w:rFonts w:ascii="Tahoma" w:hAnsi="Tahoma" w:cs="Tahoma"/>
          <w:sz w:val="22"/>
          <w:szCs w:val="22"/>
          <w:lang w:val="es-ES"/>
        </w:rPr>
        <w:t>S.G. N° 92/2020 no serán afectados por la presente</w:t>
      </w:r>
      <w:r w:rsidR="004D21FE" w:rsidRPr="001C2559">
        <w:rPr>
          <w:rFonts w:ascii="Tahoma" w:hAnsi="Tahoma" w:cs="Tahoma"/>
          <w:sz w:val="22"/>
          <w:szCs w:val="22"/>
          <w:lang w:eastAsia="es-ES"/>
        </w:rPr>
        <w:t>.</w:t>
      </w:r>
    </w:p>
    <w:p w14:paraId="4C4B7D05" w14:textId="77777777" w:rsidR="004D21FE" w:rsidRPr="001C2559" w:rsidRDefault="004D21FE" w:rsidP="00EF068C">
      <w:pPr>
        <w:tabs>
          <w:tab w:val="left" w:pos="1560"/>
        </w:tabs>
        <w:ind w:left="1276" w:hanging="1276"/>
        <w:jc w:val="both"/>
        <w:rPr>
          <w:rFonts w:ascii="Tahoma" w:hAnsi="Tahoma" w:cs="Tahoma"/>
          <w:sz w:val="22"/>
          <w:szCs w:val="22"/>
          <w:lang w:val="es-ES" w:eastAsia="es-ES"/>
        </w:rPr>
      </w:pPr>
    </w:p>
    <w:p w14:paraId="27915264" w14:textId="2C1F93FA" w:rsidR="00F31584" w:rsidRPr="001C2559" w:rsidRDefault="004D21FE" w:rsidP="004D21FE">
      <w:pPr>
        <w:tabs>
          <w:tab w:val="left" w:pos="1560"/>
        </w:tabs>
        <w:ind w:left="1276" w:hanging="1276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1C2559">
        <w:rPr>
          <w:rFonts w:ascii="Tahoma" w:hAnsi="Tahoma" w:cs="Tahoma"/>
          <w:b/>
          <w:sz w:val="22"/>
          <w:szCs w:val="22"/>
          <w:lang w:val="pt-BR" w:eastAsia="es-ES"/>
        </w:rPr>
        <w:t>Artículo 4</w:t>
      </w:r>
      <w:r w:rsidRPr="001C2559">
        <w:rPr>
          <w:rFonts w:ascii="Tahoma" w:hAnsi="Tahoma" w:cs="Tahoma"/>
          <w:b/>
          <w:sz w:val="22"/>
          <w:szCs w:val="22"/>
          <w:lang w:eastAsia="es-ES"/>
        </w:rPr>
        <w:t>°.-</w:t>
      </w:r>
      <w:r w:rsidRPr="001C2559">
        <w:rPr>
          <w:rFonts w:ascii="Tahoma" w:hAnsi="Tahoma" w:cs="Tahoma"/>
          <w:sz w:val="22"/>
          <w:szCs w:val="22"/>
          <w:lang w:eastAsia="es-ES"/>
        </w:rPr>
        <w:t xml:space="preserve"> </w:t>
      </w:r>
      <w:r w:rsidRPr="001C2559">
        <w:rPr>
          <w:rFonts w:ascii="Tahoma" w:hAnsi="Tahoma" w:cs="Tahoma"/>
          <w:sz w:val="22"/>
          <w:szCs w:val="22"/>
          <w:lang w:val="es-ES" w:eastAsia="es-ES"/>
        </w:rPr>
        <w:t>Incluyase los principios activos listados en el Anexo A de la presente Resolución.</w:t>
      </w:r>
    </w:p>
    <w:bookmarkEnd w:id="4"/>
    <w:p w14:paraId="0D12A125" w14:textId="77777777" w:rsidR="00106CC9" w:rsidRPr="001C2559" w:rsidRDefault="00106CC9" w:rsidP="003105C3">
      <w:pPr>
        <w:jc w:val="both"/>
        <w:rPr>
          <w:rFonts w:ascii="Tahoma" w:hAnsi="Tahoma" w:cs="Tahoma"/>
          <w:b/>
          <w:sz w:val="22"/>
          <w:szCs w:val="22"/>
          <w:lang w:eastAsia="es-ES"/>
        </w:rPr>
      </w:pPr>
    </w:p>
    <w:p w14:paraId="1EBCC19D" w14:textId="58379F01" w:rsidR="00A97EC5" w:rsidRPr="001C2559" w:rsidRDefault="00FA6331" w:rsidP="002C7213">
      <w:pPr>
        <w:ind w:left="1276" w:hanging="1276"/>
        <w:jc w:val="both"/>
        <w:rPr>
          <w:rFonts w:ascii="Tahoma" w:hAnsi="Tahoma" w:cs="Tahoma"/>
          <w:sz w:val="22"/>
          <w:szCs w:val="22"/>
          <w:lang w:eastAsia="es-ES"/>
        </w:rPr>
      </w:pPr>
      <w:bookmarkStart w:id="5" w:name="_Hlk500336598"/>
      <w:r w:rsidRPr="001C2559">
        <w:rPr>
          <w:rFonts w:ascii="Tahoma" w:hAnsi="Tahoma" w:cs="Tahoma"/>
          <w:b/>
          <w:sz w:val="22"/>
          <w:szCs w:val="22"/>
          <w:lang w:val="pt-BR" w:eastAsia="es-ES"/>
        </w:rPr>
        <w:t>Artículo</w:t>
      </w:r>
      <w:r w:rsidR="002E01B5" w:rsidRPr="001C2559">
        <w:rPr>
          <w:rFonts w:ascii="Tahoma" w:hAnsi="Tahoma" w:cs="Tahoma"/>
          <w:b/>
          <w:sz w:val="22"/>
          <w:szCs w:val="22"/>
          <w:lang w:val="pt-BR" w:eastAsia="es-ES"/>
        </w:rPr>
        <w:t xml:space="preserve"> </w:t>
      </w:r>
      <w:r w:rsidR="00242A5C" w:rsidRPr="001C2559">
        <w:rPr>
          <w:rFonts w:ascii="Tahoma" w:hAnsi="Tahoma" w:cs="Tahoma"/>
          <w:b/>
          <w:sz w:val="22"/>
          <w:szCs w:val="22"/>
          <w:lang w:val="pt-BR" w:eastAsia="es-ES"/>
        </w:rPr>
        <w:t>5</w:t>
      </w:r>
      <w:r w:rsidR="00D0725B" w:rsidRPr="001C2559">
        <w:rPr>
          <w:rFonts w:ascii="Tahoma" w:hAnsi="Tahoma" w:cs="Tahoma"/>
          <w:b/>
          <w:sz w:val="22"/>
          <w:szCs w:val="22"/>
          <w:lang w:eastAsia="es-ES"/>
        </w:rPr>
        <w:t>°</w:t>
      </w:r>
      <w:r w:rsidR="00A27E52" w:rsidRPr="001C2559">
        <w:rPr>
          <w:rFonts w:ascii="Tahoma" w:hAnsi="Tahoma" w:cs="Tahoma"/>
          <w:b/>
          <w:sz w:val="22"/>
          <w:szCs w:val="22"/>
          <w:lang w:eastAsia="es-ES"/>
        </w:rPr>
        <w:t>.-</w:t>
      </w:r>
      <w:r w:rsidR="00A27E52" w:rsidRPr="001C2559">
        <w:rPr>
          <w:rFonts w:ascii="Tahoma" w:hAnsi="Tahoma" w:cs="Tahoma"/>
          <w:sz w:val="22"/>
          <w:szCs w:val="22"/>
          <w:lang w:eastAsia="es-ES"/>
        </w:rPr>
        <w:t xml:space="preserve"> </w:t>
      </w:r>
      <w:r w:rsidR="00A97EC5" w:rsidRPr="001C2559">
        <w:rPr>
          <w:rFonts w:ascii="Tahoma" w:hAnsi="Tahoma" w:cs="Tahoma"/>
          <w:sz w:val="22"/>
          <w:szCs w:val="22"/>
          <w:lang w:eastAsia="es-ES"/>
        </w:rPr>
        <w:t>Apr</w:t>
      </w:r>
      <w:r w:rsidR="004D21FE" w:rsidRPr="001C2559">
        <w:rPr>
          <w:rFonts w:ascii="Tahoma" w:hAnsi="Tahoma" w:cs="Tahoma"/>
          <w:sz w:val="22"/>
          <w:szCs w:val="22"/>
          <w:lang w:eastAsia="es-ES"/>
        </w:rPr>
        <w:t>obar</w:t>
      </w:r>
      <w:r w:rsidR="00A97EC5" w:rsidRPr="001C2559">
        <w:rPr>
          <w:rFonts w:ascii="Tahoma" w:hAnsi="Tahoma" w:cs="Tahoma"/>
          <w:sz w:val="22"/>
          <w:szCs w:val="22"/>
          <w:lang w:eastAsia="es-ES"/>
        </w:rPr>
        <w:t xml:space="preserve"> el </w:t>
      </w:r>
      <w:r w:rsidR="00D32592" w:rsidRPr="001C2559">
        <w:rPr>
          <w:rFonts w:ascii="Tahoma" w:hAnsi="Tahoma" w:cs="Tahoma"/>
          <w:sz w:val="22"/>
          <w:szCs w:val="22"/>
          <w:lang w:eastAsia="es-ES"/>
        </w:rPr>
        <w:t>C</w:t>
      </w:r>
      <w:r w:rsidR="004D21FE" w:rsidRPr="001C2559">
        <w:rPr>
          <w:rFonts w:ascii="Tahoma" w:hAnsi="Tahoma" w:cs="Tahoma"/>
          <w:sz w:val="22"/>
          <w:szCs w:val="22"/>
          <w:lang w:eastAsia="es-ES"/>
        </w:rPr>
        <w:t xml:space="preserve">ronograma de </w:t>
      </w:r>
      <w:r w:rsidR="00D32592" w:rsidRPr="001C2559">
        <w:rPr>
          <w:rFonts w:ascii="Tahoma" w:hAnsi="Tahoma" w:cs="Tahoma"/>
          <w:sz w:val="22"/>
          <w:szCs w:val="22"/>
          <w:lang w:eastAsia="es-ES"/>
        </w:rPr>
        <w:t>I</w:t>
      </w:r>
      <w:r w:rsidR="004D21FE" w:rsidRPr="001C2559">
        <w:rPr>
          <w:rFonts w:ascii="Tahoma" w:hAnsi="Tahoma" w:cs="Tahoma"/>
          <w:sz w:val="22"/>
          <w:szCs w:val="22"/>
          <w:lang w:eastAsia="es-ES"/>
        </w:rPr>
        <w:t xml:space="preserve">mplementación </w:t>
      </w:r>
      <w:r w:rsidR="00242A5C" w:rsidRPr="001C2559">
        <w:rPr>
          <w:rFonts w:ascii="Tahoma" w:hAnsi="Tahoma" w:cs="Tahoma"/>
          <w:sz w:val="22"/>
          <w:szCs w:val="22"/>
          <w:lang w:eastAsia="es-ES"/>
        </w:rPr>
        <w:t>del Anexo A de la presente Resolución.</w:t>
      </w:r>
    </w:p>
    <w:p w14:paraId="68DBC1ED" w14:textId="51AB95C3" w:rsidR="00EF6BFE" w:rsidRPr="001C2559" w:rsidRDefault="00EF6BFE" w:rsidP="002C7213">
      <w:pPr>
        <w:ind w:left="1276" w:hanging="1276"/>
        <w:jc w:val="both"/>
        <w:rPr>
          <w:rFonts w:ascii="Tahoma" w:hAnsi="Tahoma" w:cs="Tahoma"/>
          <w:sz w:val="22"/>
          <w:szCs w:val="22"/>
          <w:lang w:eastAsia="es-ES"/>
        </w:rPr>
      </w:pPr>
    </w:p>
    <w:p w14:paraId="3E9D2C90" w14:textId="62392D7D" w:rsidR="00EF6BFE" w:rsidRPr="001C2559" w:rsidRDefault="00EF6BFE" w:rsidP="00173796">
      <w:pPr>
        <w:ind w:left="1276" w:hanging="1276"/>
        <w:jc w:val="both"/>
        <w:rPr>
          <w:rFonts w:ascii="Tahoma" w:hAnsi="Tahoma" w:cs="Tahoma"/>
          <w:sz w:val="22"/>
          <w:szCs w:val="22"/>
          <w:lang w:eastAsia="es-ES"/>
        </w:rPr>
      </w:pPr>
      <w:r w:rsidRPr="001C2559">
        <w:rPr>
          <w:rFonts w:ascii="Tahoma" w:hAnsi="Tahoma" w:cs="Tahoma"/>
          <w:b/>
          <w:sz w:val="22"/>
          <w:szCs w:val="22"/>
          <w:lang w:val="pt-BR" w:eastAsia="es-ES"/>
        </w:rPr>
        <w:t>Artículo 6</w:t>
      </w:r>
      <w:r w:rsidRPr="001C2559">
        <w:rPr>
          <w:rFonts w:ascii="Tahoma" w:hAnsi="Tahoma" w:cs="Tahoma"/>
          <w:b/>
          <w:sz w:val="22"/>
          <w:szCs w:val="22"/>
          <w:lang w:eastAsia="es-ES"/>
        </w:rPr>
        <w:t>°.-</w:t>
      </w:r>
      <w:r w:rsidRPr="001C2559">
        <w:rPr>
          <w:rFonts w:ascii="Tahoma" w:hAnsi="Tahoma" w:cs="Tahoma"/>
          <w:sz w:val="22"/>
          <w:szCs w:val="22"/>
          <w:lang w:eastAsia="es-ES"/>
        </w:rPr>
        <w:t xml:space="preserve"> Establecer que las empresas tendrán </w:t>
      </w:r>
      <w:r w:rsidR="00A87E27" w:rsidRPr="001C2559">
        <w:rPr>
          <w:rFonts w:ascii="Tahoma" w:hAnsi="Tahoma" w:cs="Tahoma"/>
          <w:sz w:val="22"/>
          <w:szCs w:val="22"/>
          <w:lang w:eastAsia="es-ES"/>
        </w:rPr>
        <w:t>un plazo de hasta doce (12) meses para iniciar los estudios de Bioequi</w:t>
      </w:r>
      <w:r w:rsidR="00320F02">
        <w:rPr>
          <w:rFonts w:ascii="Tahoma" w:hAnsi="Tahoma" w:cs="Tahoma"/>
          <w:sz w:val="22"/>
          <w:szCs w:val="22"/>
          <w:lang w:eastAsia="es-ES"/>
        </w:rPr>
        <w:t>v</w:t>
      </w:r>
      <w:r w:rsidR="00A87E27" w:rsidRPr="001C2559">
        <w:rPr>
          <w:rFonts w:ascii="Tahoma" w:hAnsi="Tahoma" w:cs="Tahoma"/>
          <w:sz w:val="22"/>
          <w:szCs w:val="22"/>
          <w:lang w:eastAsia="es-ES"/>
        </w:rPr>
        <w:t>alencia, a partir de la fecha</w:t>
      </w:r>
      <w:r w:rsidR="00320F02">
        <w:rPr>
          <w:rFonts w:ascii="Tahoma" w:hAnsi="Tahoma" w:cs="Tahoma"/>
          <w:sz w:val="22"/>
          <w:szCs w:val="22"/>
          <w:lang w:eastAsia="es-ES"/>
        </w:rPr>
        <w:t xml:space="preserve"> de implementación</w:t>
      </w:r>
      <w:r w:rsidR="00A87E27" w:rsidRPr="001C2559">
        <w:rPr>
          <w:rFonts w:ascii="Tahoma" w:hAnsi="Tahoma" w:cs="Tahoma"/>
          <w:sz w:val="22"/>
          <w:szCs w:val="22"/>
          <w:lang w:eastAsia="es-ES"/>
        </w:rPr>
        <w:t xml:space="preserve"> establecida </w:t>
      </w:r>
      <w:r w:rsidR="00173796" w:rsidRPr="001C2559">
        <w:rPr>
          <w:rFonts w:ascii="Tahoma" w:hAnsi="Tahoma" w:cs="Tahoma"/>
          <w:sz w:val="22"/>
          <w:szCs w:val="22"/>
          <w:lang w:eastAsia="es-ES"/>
        </w:rPr>
        <w:t>en la presente Resolución.</w:t>
      </w:r>
    </w:p>
    <w:p w14:paraId="5A71D947" w14:textId="5CA95FF8" w:rsidR="001C2559" w:rsidRPr="001C2559" w:rsidRDefault="001C2559" w:rsidP="00173796">
      <w:pPr>
        <w:ind w:left="1276" w:hanging="1276"/>
        <w:jc w:val="both"/>
        <w:rPr>
          <w:rFonts w:ascii="Tahoma" w:hAnsi="Tahoma" w:cs="Tahoma"/>
          <w:sz w:val="22"/>
          <w:szCs w:val="22"/>
          <w:lang w:eastAsia="es-ES"/>
        </w:rPr>
      </w:pPr>
    </w:p>
    <w:p w14:paraId="68D38B80" w14:textId="37341F8E" w:rsidR="001C2559" w:rsidRPr="001C2559" w:rsidRDefault="001C2559" w:rsidP="00173796">
      <w:pPr>
        <w:ind w:left="1276" w:hanging="1276"/>
        <w:jc w:val="both"/>
        <w:rPr>
          <w:rFonts w:ascii="Tahoma" w:hAnsi="Tahoma" w:cs="Tahoma"/>
          <w:b/>
          <w:sz w:val="22"/>
          <w:szCs w:val="22"/>
          <w:lang w:eastAsia="es-ES"/>
        </w:rPr>
      </w:pPr>
      <w:r w:rsidRPr="001C2559">
        <w:rPr>
          <w:rFonts w:ascii="Tahoma" w:hAnsi="Tahoma" w:cs="Tahoma"/>
          <w:b/>
          <w:sz w:val="22"/>
          <w:szCs w:val="22"/>
          <w:lang w:val="pt-BR" w:eastAsia="es-ES"/>
        </w:rPr>
        <w:t>Artículo 7</w:t>
      </w:r>
      <w:r w:rsidRPr="001C2559">
        <w:rPr>
          <w:rFonts w:ascii="Tahoma" w:hAnsi="Tahoma" w:cs="Tahoma"/>
          <w:b/>
          <w:sz w:val="22"/>
          <w:szCs w:val="22"/>
          <w:lang w:eastAsia="es-ES"/>
        </w:rPr>
        <w:t xml:space="preserve">°.- </w:t>
      </w:r>
      <w:r w:rsidRPr="001C2559">
        <w:rPr>
          <w:rFonts w:ascii="Tahoma" w:hAnsi="Tahoma" w:cs="Tahoma"/>
          <w:sz w:val="22"/>
          <w:szCs w:val="22"/>
          <w:lang w:eastAsia="es-ES"/>
        </w:rPr>
        <w:t xml:space="preserve">Establecer el plazo de seis (6) meses, luego de iniciados los estudios de Bioequivalencia, para la presentación de las conclusiones de los mismos a </w:t>
      </w:r>
      <w:r w:rsidRPr="001C2559">
        <w:rPr>
          <w:rFonts w:ascii="Tahoma" w:hAnsi="Tahoma" w:cs="Tahoma"/>
          <w:sz w:val="22"/>
          <w:szCs w:val="22"/>
          <w:lang w:eastAsia="es-ES"/>
        </w:rPr>
        <w:lastRenderedPageBreak/>
        <w:t>la Dirección Nacional de Vigilancia Sanitaria (Dinavisa) para su evaluación y emisión de Certificado de Bioequivalencia (CBE), si corresponde.</w:t>
      </w:r>
      <w:r w:rsidRPr="001C2559">
        <w:rPr>
          <w:rFonts w:ascii="Tahoma" w:hAnsi="Tahoma" w:cs="Tahoma"/>
          <w:b/>
          <w:sz w:val="22"/>
          <w:szCs w:val="22"/>
          <w:lang w:eastAsia="es-ES"/>
        </w:rPr>
        <w:tab/>
      </w:r>
    </w:p>
    <w:p w14:paraId="168098E7" w14:textId="5E768486" w:rsidR="001C2559" w:rsidRPr="001C2559" w:rsidRDefault="001C2559" w:rsidP="001C2559">
      <w:pPr>
        <w:jc w:val="both"/>
        <w:rPr>
          <w:rFonts w:ascii="Tahoma" w:hAnsi="Tahoma" w:cs="Tahoma"/>
          <w:sz w:val="22"/>
          <w:szCs w:val="22"/>
          <w:lang w:eastAsia="es-ES"/>
        </w:rPr>
      </w:pPr>
    </w:p>
    <w:p w14:paraId="03C6E1C6" w14:textId="61624621" w:rsidR="001C2559" w:rsidRPr="001C2559" w:rsidRDefault="001C2559" w:rsidP="00173796">
      <w:pPr>
        <w:ind w:left="1276" w:hanging="1276"/>
        <w:jc w:val="both"/>
        <w:rPr>
          <w:rFonts w:ascii="Tahoma" w:hAnsi="Tahoma" w:cs="Tahoma"/>
          <w:sz w:val="22"/>
          <w:szCs w:val="22"/>
          <w:lang w:eastAsia="es-ES"/>
        </w:rPr>
      </w:pPr>
      <w:r w:rsidRPr="001C2559">
        <w:rPr>
          <w:rFonts w:ascii="Tahoma" w:hAnsi="Tahoma" w:cs="Tahoma"/>
          <w:b/>
          <w:sz w:val="22"/>
          <w:szCs w:val="22"/>
          <w:lang w:val="pt-BR" w:eastAsia="es-ES"/>
        </w:rPr>
        <w:t>Artículo 8</w:t>
      </w:r>
      <w:r w:rsidRPr="001C2559">
        <w:rPr>
          <w:rFonts w:ascii="Tahoma" w:hAnsi="Tahoma" w:cs="Tahoma"/>
          <w:b/>
          <w:sz w:val="22"/>
          <w:szCs w:val="22"/>
          <w:lang w:eastAsia="es-ES"/>
        </w:rPr>
        <w:t xml:space="preserve">°.- </w:t>
      </w:r>
      <w:r w:rsidRPr="001C2559">
        <w:rPr>
          <w:rFonts w:ascii="Tahoma" w:hAnsi="Tahoma" w:cs="Tahoma"/>
          <w:sz w:val="22"/>
          <w:szCs w:val="22"/>
          <w:lang w:eastAsia="es-ES"/>
        </w:rPr>
        <w:t>Determinar que el certificado de Bioequivalencia (CBE), será requisito indispensable para la obtención del Registro Sanitario y para su renovación respectiva.</w:t>
      </w:r>
    </w:p>
    <w:p w14:paraId="4A5C6E37" w14:textId="77777777" w:rsidR="00A97EC5" w:rsidRPr="001C2559" w:rsidRDefault="00A97EC5" w:rsidP="00A97EC5">
      <w:pPr>
        <w:jc w:val="both"/>
        <w:rPr>
          <w:rFonts w:ascii="Tahoma" w:hAnsi="Tahoma" w:cs="Tahoma"/>
          <w:sz w:val="22"/>
          <w:szCs w:val="22"/>
          <w:lang w:eastAsia="es-ES"/>
        </w:rPr>
      </w:pPr>
    </w:p>
    <w:p w14:paraId="3F6B2CAE" w14:textId="54992BCD" w:rsidR="00242A5C" w:rsidRPr="001C2559" w:rsidRDefault="00A97EC5" w:rsidP="00A97EC5">
      <w:pPr>
        <w:ind w:left="1276" w:hanging="1276"/>
        <w:jc w:val="both"/>
        <w:rPr>
          <w:rFonts w:ascii="Tahoma" w:hAnsi="Tahoma" w:cs="Tahoma"/>
          <w:sz w:val="22"/>
          <w:szCs w:val="22"/>
          <w:lang w:eastAsia="es-ES"/>
        </w:rPr>
      </w:pPr>
      <w:r w:rsidRPr="001C2559">
        <w:rPr>
          <w:rFonts w:ascii="Tahoma" w:hAnsi="Tahoma" w:cs="Tahoma"/>
          <w:b/>
          <w:sz w:val="22"/>
          <w:szCs w:val="22"/>
          <w:lang w:val="pt-BR" w:eastAsia="es-ES"/>
        </w:rPr>
        <w:t xml:space="preserve">Artículo </w:t>
      </w:r>
      <w:r w:rsidR="001C2559" w:rsidRPr="001C2559">
        <w:rPr>
          <w:rFonts w:ascii="Tahoma" w:hAnsi="Tahoma" w:cs="Tahoma"/>
          <w:b/>
          <w:sz w:val="22"/>
          <w:szCs w:val="22"/>
          <w:lang w:val="pt-BR" w:eastAsia="es-ES"/>
        </w:rPr>
        <w:t>9</w:t>
      </w:r>
      <w:r w:rsidRPr="001C2559">
        <w:rPr>
          <w:rFonts w:ascii="Tahoma" w:hAnsi="Tahoma" w:cs="Tahoma"/>
          <w:b/>
          <w:sz w:val="22"/>
          <w:szCs w:val="22"/>
          <w:lang w:eastAsia="es-ES"/>
        </w:rPr>
        <w:t>°.-</w:t>
      </w:r>
      <w:r w:rsidRPr="001C2559">
        <w:rPr>
          <w:rFonts w:ascii="Tahoma" w:hAnsi="Tahoma" w:cs="Tahoma"/>
          <w:sz w:val="22"/>
          <w:szCs w:val="22"/>
          <w:lang w:eastAsia="es-ES"/>
        </w:rPr>
        <w:t xml:space="preserve"> </w:t>
      </w:r>
      <w:r w:rsidR="00242A5C" w:rsidRPr="001C2559">
        <w:rPr>
          <w:rFonts w:ascii="Tahoma" w:hAnsi="Tahoma" w:cs="Tahoma"/>
          <w:sz w:val="22"/>
          <w:szCs w:val="22"/>
          <w:lang w:eastAsia="es-ES"/>
        </w:rPr>
        <w:t>Establecer que la presente Resolución sea anexada a la Resolución S.G. N° 092/2020 de fecha 11 de marzo de 2020.</w:t>
      </w:r>
    </w:p>
    <w:p w14:paraId="7BF18130" w14:textId="77777777" w:rsidR="00242A5C" w:rsidRPr="001C2559" w:rsidRDefault="00242A5C" w:rsidP="00A97EC5">
      <w:pPr>
        <w:ind w:left="1276" w:hanging="1276"/>
        <w:jc w:val="both"/>
        <w:rPr>
          <w:rFonts w:ascii="Tahoma" w:hAnsi="Tahoma" w:cs="Tahoma"/>
          <w:sz w:val="22"/>
          <w:szCs w:val="22"/>
          <w:lang w:eastAsia="es-ES"/>
        </w:rPr>
      </w:pPr>
    </w:p>
    <w:p w14:paraId="56FD0713" w14:textId="1879E757" w:rsidR="00A27E52" w:rsidRPr="001C2559" w:rsidRDefault="00242A5C" w:rsidP="00A97EC5">
      <w:pPr>
        <w:ind w:left="1276" w:hanging="1276"/>
        <w:jc w:val="both"/>
        <w:rPr>
          <w:rFonts w:ascii="Tahoma" w:hAnsi="Tahoma" w:cs="Tahoma"/>
          <w:sz w:val="22"/>
          <w:szCs w:val="22"/>
          <w:lang w:eastAsia="es-ES"/>
        </w:rPr>
      </w:pPr>
      <w:r w:rsidRPr="001C2559">
        <w:rPr>
          <w:rFonts w:ascii="Tahoma" w:hAnsi="Tahoma" w:cs="Tahoma"/>
          <w:b/>
          <w:sz w:val="22"/>
          <w:szCs w:val="22"/>
          <w:lang w:val="pt-BR" w:eastAsia="es-ES"/>
        </w:rPr>
        <w:t xml:space="preserve">Artículo </w:t>
      </w:r>
      <w:r w:rsidR="001C2559" w:rsidRPr="001C2559">
        <w:rPr>
          <w:rFonts w:ascii="Tahoma" w:hAnsi="Tahoma" w:cs="Tahoma"/>
          <w:b/>
          <w:sz w:val="22"/>
          <w:szCs w:val="22"/>
          <w:lang w:val="pt-BR" w:eastAsia="es-ES"/>
        </w:rPr>
        <w:t>10</w:t>
      </w:r>
      <w:r w:rsidRPr="001C2559">
        <w:rPr>
          <w:rFonts w:ascii="Tahoma" w:hAnsi="Tahoma" w:cs="Tahoma"/>
          <w:b/>
          <w:sz w:val="22"/>
          <w:szCs w:val="22"/>
          <w:lang w:eastAsia="es-ES"/>
        </w:rPr>
        <w:t>°.-</w:t>
      </w:r>
      <w:r w:rsidRPr="001C2559">
        <w:rPr>
          <w:rFonts w:ascii="Tahoma" w:hAnsi="Tahoma" w:cs="Tahoma"/>
          <w:sz w:val="22"/>
          <w:szCs w:val="22"/>
          <w:lang w:eastAsia="es-ES"/>
        </w:rPr>
        <w:t xml:space="preserve"> Disponer que la</w:t>
      </w:r>
      <w:r w:rsidR="00A27E52" w:rsidRPr="001C2559">
        <w:rPr>
          <w:rFonts w:ascii="Tahoma" w:hAnsi="Tahoma" w:cs="Tahoma"/>
          <w:sz w:val="22"/>
          <w:szCs w:val="22"/>
          <w:lang w:eastAsia="es-ES"/>
        </w:rPr>
        <w:t xml:space="preserve"> presente resoluci</w:t>
      </w:r>
      <w:r w:rsidR="002F6FDF" w:rsidRPr="001C2559">
        <w:rPr>
          <w:rFonts w:ascii="Tahoma" w:hAnsi="Tahoma" w:cs="Tahoma"/>
          <w:sz w:val="22"/>
          <w:szCs w:val="22"/>
          <w:lang w:eastAsia="es-ES"/>
        </w:rPr>
        <w:t>ó</w:t>
      </w:r>
      <w:r w:rsidR="00A27E52" w:rsidRPr="001C2559">
        <w:rPr>
          <w:rFonts w:ascii="Tahoma" w:hAnsi="Tahoma" w:cs="Tahoma"/>
          <w:sz w:val="22"/>
          <w:szCs w:val="22"/>
          <w:lang w:eastAsia="es-ES"/>
        </w:rPr>
        <w:t>n entrará a regir a partir del d</w:t>
      </w:r>
      <w:r w:rsidR="008F1586" w:rsidRPr="001C2559">
        <w:rPr>
          <w:rFonts w:ascii="Tahoma" w:hAnsi="Tahoma" w:cs="Tahoma"/>
          <w:sz w:val="22"/>
          <w:szCs w:val="22"/>
          <w:lang w:eastAsia="es-ES"/>
        </w:rPr>
        <w:t>í</w:t>
      </w:r>
      <w:r w:rsidR="00A27E52" w:rsidRPr="001C2559">
        <w:rPr>
          <w:rFonts w:ascii="Tahoma" w:hAnsi="Tahoma" w:cs="Tahoma"/>
          <w:sz w:val="22"/>
          <w:szCs w:val="22"/>
          <w:lang w:eastAsia="es-ES"/>
        </w:rPr>
        <w:t>a siguiente de su aprobación.</w:t>
      </w:r>
    </w:p>
    <w:bookmarkEnd w:id="5"/>
    <w:p w14:paraId="44054E9A" w14:textId="77777777" w:rsidR="002959FE" w:rsidRPr="001C2559" w:rsidRDefault="002959FE" w:rsidP="002C7213">
      <w:pPr>
        <w:ind w:left="1276" w:hanging="1276"/>
        <w:jc w:val="both"/>
        <w:rPr>
          <w:rFonts w:ascii="Tahoma" w:hAnsi="Tahoma" w:cs="Tahoma"/>
          <w:b/>
          <w:sz w:val="22"/>
          <w:szCs w:val="22"/>
          <w:lang w:eastAsia="es-ES"/>
        </w:rPr>
      </w:pPr>
    </w:p>
    <w:p w14:paraId="1AA53699" w14:textId="1811655A" w:rsidR="002959FE" w:rsidRPr="001C2559" w:rsidRDefault="002959FE" w:rsidP="00EF068C">
      <w:pPr>
        <w:tabs>
          <w:tab w:val="left" w:pos="1560"/>
        </w:tabs>
        <w:ind w:left="1276" w:hanging="1276"/>
        <w:jc w:val="both"/>
        <w:rPr>
          <w:rFonts w:ascii="Tahoma" w:hAnsi="Tahoma" w:cs="Tahoma"/>
          <w:b/>
          <w:sz w:val="22"/>
          <w:szCs w:val="22"/>
          <w:lang w:eastAsia="es-ES"/>
        </w:rPr>
      </w:pPr>
      <w:r w:rsidRPr="001C2559">
        <w:rPr>
          <w:rFonts w:ascii="Tahoma" w:hAnsi="Tahoma" w:cs="Tahoma"/>
          <w:b/>
          <w:sz w:val="22"/>
          <w:szCs w:val="22"/>
          <w:lang w:eastAsia="es-ES"/>
        </w:rPr>
        <w:t xml:space="preserve">Artículo </w:t>
      </w:r>
      <w:r w:rsidR="001C2559" w:rsidRPr="001C2559">
        <w:rPr>
          <w:rFonts w:ascii="Tahoma" w:hAnsi="Tahoma" w:cs="Tahoma"/>
          <w:b/>
          <w:sz w:val="22"/>
          <w:szCs w:val="22"/>
          <w:lang w:eastAsia="es-ES"/>
        </w:rPr>
        <w:t>11</w:t>
      </w:r>
      <w:r w:rsidR="00886275" w:rsidRPr="001C2559">
        <w:rPr>
          <w:rFonts w:ascii="Tahoma" w:hAnsi="Tahoma" w:cs="Tahoma"/>
          <w:b/>
          <w:sz w:val="22"/>
          <w:szCs w:val="22"/>
          <w:lang w:eastAsia="es-ES"/>
        </w:rPr>
        <w:t>°</w:t>
      </w:r>
      <w:r w:rsidR="00C27E9D" w:rsidRPr="001C2559">
        <w:rPr>
          <w:rFonts w:ascii="Tahoma" w:hAnsi="Tahoma" w:cs="Tahoma"/>
          <w:b/>
          <w:sz w:val="22"/>
          <w:szCs w:val="22"/>
          <w:lang w:eastAsia="es-ES"/>
        </w:rPr>
        <w:t>.-</w:t>
      </w:r>
      <w:r w:rsidR="001C2559" w:rsidRPr="001C2559">
        <w:rPr>
          <w:rFonts w:ascii="Tahoma" w:hAnsi="Tahoma" w:cs="Tahoma"/>
          <w:b/>
          <w:sz w:val="22"/>
          <w:szCs w:val="22"/>
          <w:lang w:eastAsia="es-ES"/>
        </w:rPr>
        <w:t xml:space="preserve"> </w:t>
      </w:r>
      <w:r w:rsidRPr="001C2559">
        <w:rPr>
          <w:rFonts w:ascii="Tahoma" w:hAnsi="Tahoma" w:cs="Tahoma"/>
          <w:sz w:val="22"/>
          <w:szCs w:val="22"/>
          <w:lang w:eastAsia="es-ES"/>
        </w:rPr>
        <w:t>Comunicar a quienes corresponda y cumplido, archivar.</w:t>
      </w:r>
    </w:p>
    <w:p w14:paraId="4F2C5E74" w14:textId="77777777" w:rsidR="002959FE" w:rsidRPr="00D42BA2" w:rsidRDefault="002959FE" w:rsidP="002C7213">
      <w:pPr>
        <w:ind w:left="1276" w:hanging="1276"/>
        <w:jc w:val="both"/>
        <w:rPr>
          <w:rFonts w:ascii="Tahoma" w:hAnsi="Tahoma" w:cs="Tahoma"/>
          <w:b/>
        </w:rPr>
      </w:pPr>
    </w:p>
    <w:p w14:paraId="74305DEE" w14:textId="77777777" w:rsidR="002959FE" w:rsidRPr="00D42BA2" w:rsidRDefault="002959FE" w:rsidP="00E77FE5">
      <w:pPr>
        <w:ind w:left="1560" w:hanging="1560"/>
        <w:jc w:val="both"/>
        <w:rPr>
          <w:rFonts w:ascii="Tahoma" w:hAnsi="Tahoma" w:cs="Tahoma"/>
          <w:b/>
          <w:lang w:val="es-ES"/>
        </w:rPr>
      </w:pPr>
    </w:p>
    <w:p w14:paraId="7E9072D6" w14:textId="77777777" w:rsidR="005401AC" w:rsidRPr="00D42BA2" w:rsidRDefault="005401AC" w:rsidP="005401AC">
      <w:pPr>
        <w:ind w:left="1560" w:hanging="1560"/>
        <w:jc w:val="both"/>
        <w:rPr>
          <w:rFonts w:ascii="Tahoma" w:hAnsi="Tahoma" w:cs="Tahoma"/>
          <w:b/>
          <w:noProof w:val="0"/>
          <w:lang w:val="es-ES"/>
        </w:rPr>
      </w:pPr>
    </w:p>
    <w:p w14:paraId="069273DB" w14:textId="77777777" w:rsidR="005401AC" w:rsidRPr="00D42BA2" w:rsidRDefault="005401AC" w:rsidP="005401AC">
      <w:pPr>
        <w:ind w:left="1560" w:hanging="1560"/>
        <w:jc w:val="both"/>
        <w:rPr>
          <w:rFonts w:ascii="Tahoma" w:hAnsi="Tahoma" w:cs="Tahoma"/>
          <w:b/>
          <w:noProof w:val="0"/>
          <w:lang w:val="es-ES"/>
        </w:rPr>
      </w:pPr>
    </w:p>
    <w:p w14:paraId="3B7352A1" w14:textId="77777777" w:rsidR="005401AC" w:rsidRPr="00D42BA2" w:rsidRDefault="000E165D" w:rsidP="005401AC">
      <w:pPr>
        <w:ind w:left="1560" w:hanging="1560"/>
        <w:jc w:val="both"/>
        <w:rPr>
          <w:rFonts w:ascii="Tahoma" w:hAnsi="Tahoma" w:cs="Tahoma"/>
          <w:b/>
          <w:noProof w:val="0"/>
          <w:lang w:val="es-ES"/>
        </w:rPr>
      </w:pPr>
      <w:r w:rsidRPr="00D42BA2">
        <w:rPr>
          <w:rFonts w:ascii="Tahoma" w:hAnsi="Tahoma" w:cs="Tahoma"/>
          <w:b/>
          <w:noProof w:val="0"/>
          <w:lang w:val="es-ES"/>
        </w:rPr>
        <w:tab/>
      </w:r>
      <w:r w:rsidRPr="00D42BA2">
        <w:rPr>
          <w:rFonts w:ascii="Tahoma" w:hAnsi="Tahoma" w:cs="Tahoma"/>
          <w:b/>
          <w:noProof w:val="0"/>
          <w:lang w:val="es-ES"/>
        </w:rPr>
        <w:tab/>
      </w:r>
      <w:r w:rsidR="00BB1F22" w:rsidRPr="00D42BA2">
        <w:rPr>
          <w:rFonts w:ascii="Tahoma" w:hAnsi="Tahoma" w:cs="Tahoma"/>
          <w:b/>
          <w:noProof w:val="0"/>
          <w:lang w:val="es-ES"/>
        </w:rPr>
        <w:tab/>
      </w:r>
      <w:r w:rsidR="0048041F" w:rsidRPr="00D42BA2">
        <w:rPr>
          <w:rFonts w:ascii="Tahoma" w:hAnsi="Tahoma" w:cs="Tahoma"/>
          <w:b/>
          <w:noProof w:val="0"/>
          <w:lang w:val="es-ES"/>
        </w:rPr>
        <w:tab/>
      </w:r>
      <w:r w:rsidR="005401AC" w:rsidRPr="00D42BA2">
        <w:rPr>
          <w:rFonts w:ascii="Tahoma" w:hAnsi="Tahoma" w:cs="Tahoma"/>
          <w:color w:val="45423F"/>
          <w:sz w:val="21"/>
          <w:szCs w:val="21"/>
          <w:shd w:val="clear" w:color="auto" w:fill="FFFFFF"/>
        </w:rPr>
        <w:t>  </w:t>
      </w:r>
    </w:p>
    <w:p w14:paraId="5235BB8F" w14:textId="77777777" w:rsidR="00F47DE2" w:rsidRDefault="000E165D" w:rsidP="000E165D">
      <w:pPr>
        <w:ind w:left="1560" w:hanging="1560"/>
        <w:jc w:val="both"/>
        <w:rPr>
          <w:rFonts w:ascii="Tahoma" w:hAnsi="Tahoma" w:cs="Tahoma"/>
          <w:b/>
          <w:noProof w:val="0"/>
          <w:lang w:val="es-ES"/>
        </w:rPr>
      </w:pPr>
      <w:r w:rsidRPr="00D42BA2">
        <w:rPr>
          <w:rFonts w:ascii="Tahoma" w:hAnsi="Tahoma" w:cs="Tahoma"/>
          <w:b/>
          <w:noProof w:val="0"/>
          <w:lang w:val="es-ES"/>
        </w:rPr>
        <w:tab/>
      </w:r>
      <w:r w:rsidRPr="00D42BA2">
        <w:rPr>
          <w:rFonts w:ascii="Tahoma" w:hAnsi="Tahoma" w:cs="Tahoma"/>
          <w:b/>
          <w:noProof w:val="0"/>
          <w:lang w:val="es-ES"/>
        </w:rPr>
        <w:tab/>
      </w:r>
      <w:r w:rsidRPr="00D42BA2">
        <w:rPr>
          <w:rFonts w:ascii="Tahoma" w:hAnsi="Tahoma" w:cs="Tahoma"/>
          <w:b/>
          <w:noProof w:val="0"/>
          <w:lang w:val="es-ES"/>
        </w:rPr>
        <w:tab/>
      </w:r>
      <w:r w:rsidRPr="00D42BA2">
        <w:rPr>
          <w:rFonts w:ascii="Tahoma" w:hAnsi="Tahoma" w:cs="Tahoma"/>
          <w:b/>
          <w:noProof w:val="0"/>
          <w:lang w:val="es-ES"/>
        </w:rPr>
        <w:tab/>
      </w:r>
      <w:r w:rsidRPr="00D42BA2">
        <w:rPr>
          <w:rFonts w:ascii="Tahoma" w:hAnsi="Tahoma" w:cs="Tahoma"/>
          <w:b/>
          <w:noProof w:val="0"/>
          <w:lang w:val="es-ES"/>
        </w:rPr>
        <w:tab/>
      </w:r>
      <w:r w:rsidRPr="00D42BA2">
        <w:rPr>
          <w:rFonts w:ascii="Tahoma" w:hAnsi="Tahoma" w:cs="Tahoma"/>
          <w:b/>
          <w:noProof w:val="0"/>
          <w:lang w:val="es-ES"/>
        </w:rPr>
        <w:tab/>
      </w:r>
    </w:p>
    <w:p w14:paraId="72694B51" w14:textId="77777777" w:rsidR="00F47DE2" w:rsidRDefault="00F47DE2">
      <w:pPr>
        <w:spacing w:after="200" w:line="276" w:lineRule="auto"/>
        <w:rPr>
          <w:rFonts w:ascii="Tahoma" w:hAnsi="Tahoma" w:cs="Tahoma"/>
          <w:b/>
          <w:noProof w:val="0"/>
          <w:lang w:val="es-ES"/>
        </w:rPr>
      </w:pPr>
      <w:r>
        <w:rPr>
          <w:rFonts w:ascii="Tahoma" w:hAnsi="Tahoma" w:cs="Tahoma"/>
          <w:b/>
          <w:noProof w:val="0"/>
          <w:lang w:val="es-ES"/>
        </w:rPr>
        <w:br w:type="page"/>
      </w:r>
    </w:p>
    <w:p w14:paraId="4C7B519E" w14:textId="3D12A0EA" w:rsidR="000E165D" w:rsidRPr="001C2559" w:rsidRDefault="00F47DE2" w:rsidP="00F47DE2">
      <w:pPr>
        <w:ind w:left="1560" w:hanging="1560"/>
        <w:jc w:val="center"/>
        <w:rPr>
          <w:rFonts w:ascii="Tahoma" w:hAnsi="Tahoma" w:cs="Tahoma"/>
          <w:b/>
          <w:noProof w:val="0"/>
          <w:sz w:val="22"/>
          <w:szCs w:val="22"/>
          <w:lang w:val="es-ES"/>
        </w:rPr>
      </w:pPr>
      <w:r w:rsidRPr="001C2559">
        <w:rPr>
          <w:rFonts w:ascii="Tahoma" w:hAnsi="Tahoma" w:cs="Tahoma"/>
          <w:b/>
          <w:noProof w:val="0"/>
          <w:sz w:val="22"/>
          <w:szCs w:val="22"/>
          <w:lang w:val="es-ES"/>
        </w:rPr>
        <w:lastRenderedPageBreak/>
        <w:t xml:space="preserve">ANEXO </w:t>
      </w:r>
      <w:r w:rsidR="00EF6BFE" w:rsidRPr="001C2559">
        <w:rPr>
          <w:rFonts w:ascii="Tahoma" w:hAnsi="Tahoma" w:cs="Tahoma"/>
          <w:b/>
          <w:noProof w:val="0"/>
          <w:sz w:val="22"/>
          <w:szCs w:val="22"/>
          <w:lang w:val="es-ES"/>
        </w:rPr>
        <w:t>A</w:t>
      </w:r>
    </w:p>
    <w:p w14:paraId="31F70985" w14:textId="77777777" w:rsidR="00F47DE2" w:rsidRDefault="00F47DE2" w:rsidP="00F47DE2">
      <w:pPr>
        <w:ind w:left="1560" w:hanging="1560"/>
        <w:jc w:val="center"/>
        <w:rPr>
          <w:rFonts w:ascii="Tahoma" w:hAnsi="Tahoma" w:cs="Tahoma"/>
          <w:b/>
          <w:noProof w:val="0"/>
          <w:lang w:val="es-ES"/>
        </w:rPr>
      </w:pPr>
    </w:p>
    <w:tbl>
      <w:tblPr>
        <w:tblStyle w:val="Tablaconcuadrcula"/>
        <w:tblW w:w="0" w:type="auto"/>
        <w:tblInd w:w="774" w:type="dxa"/>
        <w:tblLook w:val="04A0" w:firstRow="1" w:lastRow="0" w:firstColumn="1" w:lastColumn="0" w:noHBand="0" w:noVBand="1"/>
      </w:tblPr>
      <w:tblGrid>
        <w:gridCol w:w="2275"/>
        <w:gridCol w:w="2983"/>
        <w:gridCol w:w="2463"/>
      </w:tblGrid>
      <w:tr w:rsidR="00EF6BFE" w14:paraId="451E874A" w14:textId="4BE44869" w:rsidTr="00B50087">
        <w:tc>
          <w:tcPr>
            <w:tcW w:w="7721" w:type="dxa"/>
            <w:gridSpan w:val="3"/>
            <w:vAlign w:val="center"/>
          </w:tcPr>
          <w:p w14:paraId="0FBAD48A" w14:textId="5BC96514" w:rsidR="00EF6BFE" w:rsidRPr="001C2559" w:rsidRDefault="00EF6BFE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Listado de principios activos de estrecho margen terapéutico</w:t>
            </w:r>
          </w:p>
        </w:tc>
      </w:tr>
      <w:tr w:rsidR="00EF6BFE" w14:paraId="368BEC26" w14:textId="0D78774C" w:rsidTr="00EF6BFE">
        <w:tc>
          <w:tcPr>
            <w:tcW w:w="2275" w:type="dxa"/>
            <w:vAlign w:val="center"/>
          </w:tcPr>
          <w:p w14:paraId="2B5ABF25" w14:textId="594A7822" w:rsidR="00EF6BFE" w:rsidRPr="001C2559" w:rsidRDefault="00EF6BFE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Principio Activo</w:t>
            </w:r>
          </w:p>
        </w:tc>
        <w:tc>
          <w:tcPr>
            <w:tcW w:w="2983" w:type="dxa"/>
            <w:vAlign w:val="center"/>
          </w:tcPr>
          <w:p w14:paraId="5363B8B2" w14:textId="24159C67" w:rsidR="00EF6BFE" w:rsidRPr="001C2559" w:rsidRDefault="00EF6BFE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Referencia</w:t>
            </w:r>
          </w:p>
        </w:tc>
        <w:tc>
          <w:tcPr>
            <w:tcW w:w="2463" w:type="dxa"/>
          </w:tcPr>
          <w:p w14:paraId="618544D2" w14:textId="73375F38" w:rsidR="00EF6BFE" w:rsidRPr="001C2559" w:rsidRDefault="005B1017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Fecha de Implementación</w:t>
            </w:r>
          </w:p>
        </w:tc>
      </w:tr>
      <w:tr w:rsidR="005C0308" w14:paraId="582BD925" w14:textId="50AE1E8E" w:rsidTr="005C0308">
        <w:tc>
          <w:tcPr>
            <w:tcW w:w="2275" w:type="dxa"/>
            <w:vAlign w:val="center"/>
          </w:tcPr>
          <w:p w14:paraId="147BDEEE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proofErr w:type="spellStart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Everolimus</w:t>
            </w:r>
            <w:proofErr w:type="spellEnd"/>
          </w:p>
        </w:tc>
        <w:tc>
          <w:tcPr>
            <w:tcW w:w="2983" w:type="dxa"/>
            <w:vAlign w:val="center"/>
          </w:tcPr>
          <w:p w14:paraId="6F23FB3E" w14:textId="7466CB5E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proofErr w:type="spellStart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Afinitor</w:t>
            </w:r>
            <w:proofErr w:type="spellEnd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 xml:space="preserve"> - Novartis</w:t>
            </w:r>
          </w:p>
        </w:tc>
        <w:tc>
          <w:tcPr>
            <w:tcW w:w="2463" w:type="dxa"/>
            <w:vMerge w:val="restart"/>
            <w:vAlign w:val="center"/>
          </w:tcPr>
          <w:p w14:paraId="42D70780" w14:textId="5FB6FEFC" w:rsidR="005C0308" w:rsidRPr="005C0308" w:rsidRDefault="005C0308" w:rsidP="005C0308">
            <w:pPr>
              <w:jc w:val="center"/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r w:rsidRPr="00B57146">
              <w:rPr>
                <w:rFonts w:ascii="Tahoma" w:hAnsi="Tahoma" w:cs="Tahoma"/>
                <w:noProof w:val="0"/>
                <w:sz w:val="22"/>
                <w:szCs w:val="22"/>
                <w:highlight w:val="yellow"/>
                <w:lang w:val="es-ES"/>
              </w:rPr>
              <w:t>01/06/2023</w:t>
            </w:r>
          </w:p>
        </w:tc>
      </w:tr>
      <w:tr w:rsidR="005C0308" w14:paraId="5D150781" w14:textId="4E479224" w:rsidTr="00EF6BFE">
        <w:tc>
          <w:tcPr>
            <w:tcW w:w="2275" w:type="dxa"/>
            <w:vAlign w:val="center"/>
          </w:tcPr>
          <w:p w14:paraId="25363783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Fenitoína</w:t>
            </w:r>
          </w:p>
        </w:tc>
        <w:tc>
          <w:tcPr>
            <w:tcW w:w="2983" w:type="dxa"/>
            <w:vAlign w:val="center"/>
          </w:tcPr>
          <w:p w14:paraId="2BFC529D" w14:textId="35C73CDD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proofErr w:type="spellStart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Hidantal</w:t>
            </w:r>
            <w:proofErr w:type="spellEnd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 xml:space="preserve"> - Sanofi Aventis</w:t>
            </w:r>
          </w:p>
        </w:tc>
        <w:tc>
          <w:tcPr>
            <w:tcW w:w="2463" w:type="dxa"/>
            <w:vMerge/>
          </w:tcPr>
          <w:p w14:paraId="2ABE4459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</w:p>
        </w:tc>
      </w:tr>
      <w:tr w:rsidR="005C0308" w14:paraId="761B2F27" w14:textId="6050D8EE" w:rsidTr="00EF6BFE">
        <w:tc>
          <w:tcPr>
            <w:tcW w:w="2275" w:type="dxa"/>
            <w:shd w:val="clear" w:color="auto" w:fill="FFFFFF" w:themeFill="background1"/>
            <w:vAlign w:val="center"/>
          </w:tcPr>
          <w:p w14:paraId="0ACDBAD4" w14:textId="43AA5199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Fenobarbital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11851E20" w14:textId="4A9A7F36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proofErr w:type="spellStart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Gardenal</w:t>
            </w:r>
            <w:proofErr w:type="spellEnd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 xml:space="preserve"> - Sanofi Aventis</w:t>
            </w:r>
          </w:p>
        </w:tc>
        <w:tc>
          <w:tcPr>
            <w:tcW w:w="2463" w:type="dxa"/>
            <w:vMerge/>
            <w:shd w:val="clear" w:color="auto" w:fill="FFFFFF" w:themeFill="background1"/>
          </w:tcPr>
          <w:p w14:paraId="189F110F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</w:p>
        </w:tc>
      </w:tr>
      <w:tr w:rsidR="005C0308" w14:paraId="2996EACD" w14:textId="295E23D3" w:rsidTr="00EF6BFE">
        <w:tc>
          <w:tcPr>
            <w:tcW w:w="2275" w:type="dxa"/>
            <w:vAlign w:val="center"/>
          </w:tcPr>
          <w:p w14:paraId="0BECF530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proofErr w:type="spellStart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Sirolimus</w:t>
            </w:r>
            <w:proofErr w:type="spellEnd"/>
          </w:p>
        </w:tc>
        <w:tc>
          <w:tcPr>
            <w:tcW w:w="2983" w:type="dxa"/>
            <w:vAlign w:val="center"/>
          </w:tcPr>
          <w:p w14:paraId="1C86FC65" w14:textId="39A419ED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proofErr w:type="spellStart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Rapamune</w:t>
            </w:r>
            <w:proofErr w:type="spellEnd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 xml:space="preserve"> - Pfizer</w:t>
            </w:r>
          </w:p>
        </w:tc>
        <w:tc>
          <w:tcPr>
            <w:tcW w:w="2463" w:type="dxa"/>
            <w:vMerge/>
          </w:tcPr>
          <w:p w14:paraId="1B91120C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</w:p>
        </w:tc>
      </w:tr>
      <w:tr w:rsidR="005C0308" w14:paraId="55E948A6" w14:textId="276E1946" w:rsidTr="00EF6BFE">
        <w:tc>
          <w:tcPr>
            <w:tcW w:w="2275" w:type="dxa"/>
            <w:shd w:val="clear" w:color="auto" w:fill="FFFFFF" w:themeFill="background1"/>
            <w:vAlign w:val="center"/>
          </w:tcPr>
          <w:p w14:paraId="1DBA8601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Acenocumarol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17B396F1" w14:textId="06DA3080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PY"/>
              </w:rPr>
            </w:pPr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Sintrom - Novartis</w:t>
            </w:r>
          </w:p>
        </w:tc>
        <w:tc>
          <w:tcPr>
            <w:tcW w:w="2463" w:type="dxa"/>
            <w:vMerge/>
            <w:shd w:val="clear" w:color="auto" w:fill="FFFFFF" w:themeFill="background1"/>
          </w:tcPr>
          <w:p w14:paraId="45CC4DC6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</w:p>
        </w:tc>
      </w:tr>
      <w:tr w:rsidR="005C0308" w14:paraId="63EB4369" w14:textId="49D07960" w:rsidTr="00EF6BFE">
        <w:tc>
          <w:tcPr>
            <w:tcW w:w="2275" w:type="dxa"/>
            <w:vAlign w:val="center"/>
          </w:tcPr>
          <w:p w14:paraId="7194FBB1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 xml:space="preserve">Micofenolato </w:t>
            </w:r>
            <w:proofErr w:type="spellStart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Mofetilo</w:t>
            </w:r>
            <w:proofErr w:type="spellEnd"/>
          </w:p>
        </w:tc>
        <w:tc>
          <w:tcPr>
            <w:tcW w:w="2983" w:type="dxa"/>
            <w:vAlign w:val="center"/>
          </w:tcPr>
          <w:p w14:paraId="7B88AB03" w14:textId="08ACECFD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proofErr w:type="spellStart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Cellcept</w:t>
            </w:r>
            <w:proofErr w:type="spellEnd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 xml:space="preserve"> - Roche</w:t>
            </w:r>
          </w:p>
        </w:tc>
        <w:tc>
          <w:tcPr>
            <w:tcW w:w="2463" w:type="dxa"/>
            <w:vMerge/>
          </w:tcPr>
          <w:p w14:paraId="5DCD268C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</w:p>
        </w:tc>
      </w:tr>
      <w:tr w:rsidR="005C0308" w14:paraId="13BB352A" w14:textId="224CBE6D" w:rsidTr="00EF6BFE">
        <w:tc>
          <w:tcPr>
            <w:tcW w:w="2275" w:type="dxa"/>
            <w:vAlign w:val="center"/>
          </w:tcPr>
          <w:p w14:paraId="4C9251D0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Amiodarona</w:t>
            </w:r>
          </w:p>
        </w:tc>
        <w:tc>
          <w:tcPr>
            <w:tcW w:w="2983" w:type="dxa"/>
            <w:vAlign w:val="center"/>
          </w:tcPr>
          <w:p w14:paraId="245983F0" w14:textId="06E7582E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  <w:proofErr w:type="spellStart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>Cordarone</w:t>
            </w:r>
            <w:proofErr w:type="spellEnd"/>
            <w:r w:rsidRPr="001C2559"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  <w:t xml:space="preserve"> - Sanofi Aventis</w:t>
            </w:r>
          </w:p>
        </w:tc>
        <w:tc>
          <w:tcPr>
            <w:tcW w:w="2463" w:type="dxa"/>
            <w:vMerge/>
          </w:tcPr>
          <w:p w14:paraId="75320ED8" w14:textId="77777777" w:rsidR="005C0308" w:rsidRPr="001C2559" w:rsidRDefault="005C0308" w:rsidP="00187F04">
            <w:pPr>
              <w:rPr>
                <w:rFonts w:ascii="Tahoma" w:hAnsi="Tahoma" w:cs="Tahoma"/>
                <w:noProof w:val="0"/>
                <w:sz w:val="22"/>
                <w:szCs w:val="22"/>
                <w:lang w:val="es-ES"/>
              </w:rPr>
            </w:pPr>
          </w:p>
        </w:tc>
      </w:tr>
    </w:tbl>
    <w:p w14:paraId="0FF33F10" w14:textId="77777777" w:rsidR="00F47DE2" w:rsidRPr="00D42BA2" w:rsidRDefault="00F47DE2" w:rsidP="000368FB">
      <w:pPr>
        <w:rPr>
          <w:rFonts w:ascii="Tahoma" w:hAnsi="Tahoma" w:cs="Tahoma"/>
          <w:b/>
          <w:noProof w:val="0"/>
          <w:lang w:val="es-ES"/>
        </w:rPr>
      </w:pPr>
    </w:p>
    <w:sectPr w:rsidR="00F47DE2" w:rsidRPr="00D42BA2" w:rsidSect="003654CA">
      <w:headerReference w:type="default" r:id="rId7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D2D8" w14:textId="77777777" w:rsidR="00DD7984" w:rsidRDefault="00DD7984" w:rsidP="002E2637">
      <w:r>
        <w:separator/>
      </w:r>
    </w:p>
  </w:endnote>
  <w:endnote w:type="continuationSeparator" w:id="0">
    <w:p w14:paraId="7F232EEE" w14:textId="77777777" w:rsidR="00DD7984" w:rsidRDefault="00DD7984" w:rsidP="002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4C2B3" w14:textId="77777777" w:rsidR="00DD7984" w:rsidRDefault="00DD7984" w:rsidP="002E2637">
      <w:r>
        <w:separator/>
      </w:r>
    </w:p>
  </w:footnote>
  <w:footnote w:type="continuationSeparator" w:id="0">
    <w:p w14:paraId="00CE1E43" w14:textId="77777777" w:rsidR="00DD7984" w:rsidRDefault="00DD7984" w:rsidP="002E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1429" w14:textId="77777777" w:rsidR="009F4FD6" w:rsidRPr="009F4FD6" w:rsidRDefault="009F4FD6" w:rsidP="009F4FD6">
    <w:pPr>
      <w:pStyle w:val="Encabezado"/>
      <w:tabs>
        <w:tab w:val="clear" w:pos="4252"/>
        <w:tab w:val="clear" w:pos="8504"/>
      </w:tabs>
      <w:jc w:val="center"/>
      <w:rPr>
        <w:rFonts w:ascii="Brush Script MT" w:hAnsi="Brush Script MT" w:cs="Arial"/>
        <w:lang w:val="es-ES"/>
      </w:rPr>
    </w:pPr>
    <w:r>
      <w:rPr>
        <w:rFonts w:ascii="Brush Script MT" w:hAnsi="Brush Script MT" w:cs="Arial"/>
        <w:lang w:val="es-ES"/>
      </w:rPr>
      <w:t>"</w:t>
    </w:r>
    <w:r w:rsidRPr="009F4FD6">
      <w:rPr>
        <w:rFonts w:ascii="Brush Script MT" w:hAnsi="Brush Script MT" w:cs="Arial"/>
        <w:lang w:val="es-ES"/>
      </w:rPr>
      <w:t>Sesquicentenario de la Epopeya Nacional</w:t>
    </w:r>
    <w:r w:rsidR="008E151F">
      <w:rPr>
        <w:rFonts w:ascii="Brush Script MT" w:hAnsi="Brush Script MT" w:cs="Arial"/>
        <w:lang w:val="es-ES"/>
      </w:rPr>
      <w:t>: 1864 - 1870</w:t>
    </w:r>
    <w:r>
      <w:rPr>
        <w:rFonts w:ascii="Brush Script MT" w:hAnsi="Brush Script MT" w:cs="Arial"/>
        <w:lang w:val="es-ES"/>
      </w:rPr>
      <w:t>"</w:t>
    </w:r>
  </w:p>
  <w:p w14:paraId="67042EEA" w14:textId="1EC7715F" w:rsidR="009F4FD6" w:rsidRDefault="0056056B" w:rsidP="0056056B">
    <w:pPr>
      <w:pStyle w:val="Encabezado"/>
      <w:tabs>
        <w:tab w:val="clear" w:pos="4252"/>
        <w:tab w:val="clear" w:pos="8504"/>
      </w:tabs>
      <w:jc w:val="center"/>
      <w:rPr>
        <w:b/>
      </w:rPr>
    </w:pPr>
    <w:r w:rsidRPr="002B4A0A">
      <w:rPr>
        <w:rFonts w:ascii="Arial" w:hAnsi="Arial" w:cs="Arial"/>
        <w:i/>
        <w:szCs w:val="22"/>
      </w:rPr>
      <w:drawing>
        <wp:inline distT="0" distB="0" distL="0" distR="0" wp14:anchorId="228398BB" wp14:editId="4C209C71">
          <wp:extent cx="619125" cy="571500"/>
          <wp:effectExtent l="0" t="0" r="9525" b="0"/>
          <wp:docPr id="2" name="Imagen 2" descr="https://www.mitic.gov.py/application/files/cache/thumbnails/402ec24f3b54ae91d98aef57464a22e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www.mitic.gov.py/application/files/cache/thumbnails/402ec24f3b54ae91d98aef57464a22e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00" t="19501" r="15500" b="1900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8B2D5" w14:textId="77777777" w:rsidR="00650154" w:rsidRDefault="009F4FD6" w:rsidP="009F4FD6">
    <w:pPr>
      <w:pStyle w:val="Ttulo"/>
      <w:rPr>
        <w:b/>
      </w:rPr>
    </w:pPr>
    <w:r>
      <w:rPr>
        <w:b/>
      </w:rPr>
      <w:t>Poder Ejecutivo</w:t>
    </w:r>
  </w:p>
  <w:p w14:paraId="65415777" w14:textId="77777777" w:rsidR="009F4FD6" w:rsidRDefault="00650154" w:rsidP="009F4FD6">
    <w:pPr>
      <w:pStyle w:val="Ttulo"/>
      <w:rPr>
        <w:b/>
      </w:rPr>
    </w:pPr>
    <w:r>
      <w:rPr>
        <w:b/>
      </w:rPr>
      <w:t>Dirección Nacional de Vigilancia Sanitaria</w:t>
    </w:r>
  </w:p>
  <w:p w14:paraId="16C55204" w14:textId="77777777" w:rsidR="009F4FD6" w:rsidRDefault="009F4FD6" w:rsidP="009F4FD6">
    <w:pPr>
      <w:pStyle w:val="Ttulo1"/>
      <w:rPr>
        <w:b/>
        <w:sz w:val="22"/>
        <w:szCs w:val="22"/>
      </w:rPr>
    </w:pPr>
    <w:r w:rsidRPr="005756ED">
      <w:rPr>
        <w:b/>
        <w:sz w:val="22"/>
        <w:szCs w:val="22"/>
      </w:rPr>
      <w:t xml:space="preserve">Resolución </w:t>
    </w:r>
    <w:r w:rsidR="0008413C">
      <w:rPr>
        <w:b/>
        <w:sz w:val="22"/>
        <w:szCs w:val="22"/>
      </w:rPr>
      <w:t>DINAVISA</w:t>
    </w:r>
    <w:r w:rsidRPr="005756ED">
      <w:rPr>
        <w:b/>
        <w:sz w:val="22"/>
        <w:szCs w:val="22"/>
      </w:rPr>
      <w:t xml:space="preserve">   </w:t>
    </w:r>
    <w:proofErr w:type="spellStart"/>
    <w:r w:rsidRPr="005756ED">
      <w:rPr>
        <w:b/>
        <w:sz w:val="22"/>
        <w:szCs w:val="22"/>
      </w:rPr>
      <w:t>N°</w:t>
    </w:r>
    <w:proofErr w:type="spellEnd"/>
    <w:r w:rsidRPr="005756ED">
      <w:rPr>
        <w:b/>
        <w:sz w:val="22"/>
        <w:szCs w:val="22"/>
      </w:rPr>
      <w:t>__________</w:t>
    </w:r>
  </w:p>
  <w:p w14:paraId="2AE81881" w14:textId="77777777" w:rsidR="009F4FD6" w:rsidRDefault="009F4FD6">
    <w:pPr>
      <w:pStyle w:val="Encabezado"/>
      <w:rPr>
        <w:rFonts w:ascii="Arial" w:hAnsi="Arial" w:cs="Arial"/>
        <w:lang w:val="es-ES"/>
      </w:rPr>
    </w:pPr>
  </w:p>
  <w:p w14:paraId="2500D76B" w14:textId="77777777" w:rsidR="002E2637" w:rsidRDefault="00EE37D0" w:rsidP="001A097B">
    <w:pPr>
      <w:pStyle w:val="Encabezado"/>
      <w:tabs>
        <w:tab w:val="clear" w:pos="4252"/>
        <w:tab w:val="clear" w:pos="8504"/>
      </w:tabs>
      <w:jc w:val="both"/>
      <w:rPr>
        <w:rFonts w:ascii="Tahoma" w:hAnsi="Tahoma" w:cs="Tahoma"/>
        <w:b/>
        <w:lang w:val="es-ES"/>
      </w:rPr>
    </w:pPr>
    <w:r w:rsidRPr="00A57DC0">
      <w:rPr>
        <w:rFonts w:ascii="Tahoma" w:hAnsi="Tahoma" w:cs="Tahoma"/>
        <w:b/>
        <w:lang w:val="es-ES"/>
      </w:rPr>
      <w:t xml:space="preserve">POR </w:t>
    </w:r>
    <w:r w:rsidR="00D353A0" w:rsidRPr="00A57DC0">
      <w:rPr>
        <w:rFonts w:ascii="Tahoma" w:hAnsi="Tahoma" w:cs="Tahoma"/>
        <w:b/>
        <w:lang w:val="es-ES"/>
      </w:rPr>
      <w:t>L</w:t>
    </w:r>
    <w:r w:rsidR="0078740C" w:rsidRPr="00A57DC0">
      <w:rPr>
        <w:rFonts w:ascii="Tahoma" w:hAnsi="Tahoma" w:cs="Tahoma"/>
        <w:b/>
        <w:lang w:val="es-ES"/>
      </w:rPr>
      <w:t>A</w:t>
    </w:r>
    <w:r w:rsidRPr="00A57DC0">
      <w:rPr>
        <w:rFonts w:ascii="Tahoma" w:hAnsi="Tahoma" w:cs="Tahoma"/>
        <w:b/>
        <w:lang w:val="es-ES"/>
      </w:rPr>
      <w:t xml:space="preserve"> CUAL SE </w:t>
    </w:r>
    <w:r w:rsidR="00A57DC0" w:rsidRPr="00A57DC0">
      <w:rPr>
        <w:rFonts w:ascii="Tahoma" w:hAnsi="Tahoma" w:cs="Tahoma"/>
        <w:b/>
        <w:lang w:val="es-ES"/>
      </w:rPr>
      <w:t xml:space="preserve">ESTABLECE </w:t>
    </w:r>
    <w:r w:rsidR="00D42BA2" w:rsidRPr="00D42BA2">
      <w:rPr>
        <w:rFonts w:ascii="Tahoma" w:hAnsi="Tahoma" w:cs="Tahoma"/>
        <w:b/>
        <w:lang w:val="es-ES"/>
      </w:rPr>
      <w:t xml:space="preserve">COMO REQUISITO OBLIGATORIO </w:t>
    </w:r>
    <w:r w:rsidR="005B35C0">
      <w:rPr>
        <w:rFonts w:ascii="Tahoma" w:hAnsi="Tahoma" w:cs="Tahoma"/>
        <w:b/>
        <w:lang w:val="es-ES"/>
      </w:rPr>
      <w:t>LA</w:t>
    </w:r>
    <w:r w:rsidR="00D42BA2" w:rsidRPr="00D42BA2">
      <w:rPr>
        <w:rFonts w:ascii="Tahoma" w:hAnsi="Tahoma" w:cs="Tahoma"/>
        <w:b/>
        <w:lang w:val="es-ES"/>
      </w:rPr>
      <w:t xml:space="preserve">  PRESENTACIÓN DE</w:t>
    </w:r>
    <w:r w:rsidR="005B35C0">
      <w:rPr>
        <w:rFonts w:ascii="Tahoma" w:hAnsi="Tahoma" w:cs="Tahoma"/>
        <w:b/>
        <w:lang w:val="es-ES"/>
      </w:rPr>
      <w:t xml:space="preserve"> LOS</w:t>
    </w:r>
    <w:r w:rsidR="00D42BA2" w:rsidRPr="00D42BA2">
      <w:rPr>
        <w:rFonts w:ascii="Tahoma" w:hAnsi="Tahoma" w:cs="Tahoma"/>
        <w:b/>
        <w:lang w:val="es-ES"/>
      </w:rPr>
      <w:t xml:space="preserve"> ESTUDIOS DE BIOEQUIVALENCIA </w:t>
    </w:r>
    <w:r w:rsidR="00D42BA2">
      <w:rPr>
        <w:rFonts w:ascii="Tahoma" w:hAnsi="Tahoma" w:cs="Tahoma"/>
        <w:b/>
        <w:lang w:val="es-ES"/>
      </w:rPr>
      <w:t>DE LOS MEDICAMENTOS CUYOS PRINCIPIOS ACTIVOS SE ENCUENTRAN DETALLADOS EN EL ANEXO N° 6</w:t>
    </w:r>
    <w:r w:rsidR="00D42BA2" w:rsidRPr="00D42BA2">
      <w:rPr>
        <w:rFonts w:ascii="Tahoma" w:hAnsi="Tahoma" w:cs="Tahoma"/>
        <w:b/>
        <w:lang w:val="es-ES"/>
      </w:rPr>
      <w:t xml:space="preserve"> </w:t>
    </w:r>
    <w:r w:rsidR="00D42BA2">
      <w:rPr>
        <w:rFonts w:ascii="Tahoma" w:hAnsi="Tahoma" w:cs="Tahoma"/>
        <w:b/>
        <w:lang w:val="es-ES"/>
      </w:rPr>
      <w:t xml:space="preserve">DE </w:t>
    </w:r>
    <w:r w:rsidR="00D42BA2" w:rsidRPr="00D42BA2">
      <w:rPr>
        <w:rFonts w:ascii="Tahoma" w:hAnsi="Tahoma" w:cs="Tahoma"/>
        <w:b/>
      </w:rPr>
      <w:t>LA</w:t>
    </w:r>
    <w:r w:rsidR="00D42BA2" w:rsidRPr="00D42BA2">
      <w:rPr>
        <w:rFonts w:ascii="Tahoma" w:hAnsi="Tahoma" w:cs="Tahoma"/>
        <w:b/>
        <w:lang w:val="es-ES"/>
      </w:rPr>
      <w:t xml:space="preserve"> RESOLUCIÓN S.G. N° 92/2020 “</w:t>
    </w:r>
    <w:r w:rsidR="00D42BA2" w:rsidRPr="00D42BA2">
      <w:rPr>
        <w:rFonts w:ascii="Tahoma" w:hAnsi="Tahoma" w:cs="Tahoma"/>
        <w:b/>
        <w:i/>
        <w:lang w:val="es-ES"/>
      </w:rPr>
      <w:t>POR LA CUAL SE REGLAMENTAN LOS ESTUDIOS DE BIODISPONIBILIDAD RELATIVA/BIOEQUIVALENCIA (IN VIVO) PARA MEDICAMENTOS</w:t>
    </w:r>
    <w:r w:rsidR="00D42BA2" w:rsidRPr="00D42BA2">
      <w:rPr>
        <w:rFonts w:ascii="Tahoma" w:hAnsi="Tahoma" w:cs="Tahoma"/>
        <w:b/>
        <w:lang w:val="es-ES"/>
      </w:rPr>
      <w:t>” A LOS FINES DE OBTENCIÓN Y/O RENOVACIÓN DE LOS REGISTROS SANITARIOS</w:t>
    </w:r>
    <w:r w:rsidR="003B00CD">
      <w:rPr>
        <w:rFonts w:ascii="Tahoma" w:hAnsi="Tahoma" w:cs="Tahoma"/>
        <w:b/>
        <w:lang w:val="es-ES"/>
      </w:rPr>
      <w:t>.</w:t>
    </w:r>
  </w:p>
  <w:p w14:paraId="2C54F372" w14:textId="77777777" w:rsidR="00D42BA2" w:rsidRPr="00A57DC0" w:rsidRDefault="00D42BA2" w:rsidP="001A097B">
    <w:pPr>
      <w:pStyle w:val="Encabezado"/>
      <w:tabs>
        <w:tab w:val="clear" w:pos="4252"/>
        <w:tab w:val="clear" w:pos="8504"/>
      </w:tabs>
      <w:jc w:val="both"/>
      <w:rPr>
        <w:rFonts w:ascii="Tahoma" w:hAnsi="Tahoma" w:cs="Tahoma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731"/>
    <w:multiLevelType w:val="hybridMultilevel"/>
    <w:tmpl w:val="30DE2842"/>
    <w:lvl w:ilvl="0" w:tplc="3C0A0017">
      <w:start w:val="1"/>
      <w:numFmt w:val="lowerLetter"/>
      <w:lvlText w:val="%1)"/>
      <w:lvlJc w:val="left"/>
      <w:pPr>
        <w:ind w:left="1999" w:hanging="360"/>
      </w:pPr>
    </w:lvl>
    <w:lvl w:ilvl="1" w:tplc="3C0A0019" w:tentative="1">
      <w:start w:val="1"/>
      <w:numFmt w:val="lowerLetter"/>
      <w:lvlText w:val="%2."/>
      <w:lvlJc w:val="left"/>
      <w:pPr>
        <w:ind w:left="2719" w:hanging="360"/>
      </w:pPr>
    </w:lvl>
    <w:lvl w:ilvl="2" w:tplc="3C0A001B" w:tentative="1">
      <w:start w:val="1"/>
      <w:numFmt w:val="lowerRoman"/>
      <w:lvlText w:val="%3."/>
      <w:lvlJc w:val="right"/>
      <w:pPr>
        <w:ind w:left="3439" w:hanging="180"/>
      </w:pPr>
    </w:lvl>
    <w:lvl w:ilvl="3" w:tplc="3C0A000F" w:tentative="1">
      <w:start w:val="1"/>
      <w:numFmt w:val="decimal"/>
      <w:lvlText w:val="%4."/>
      <w:lvlJc w:val="left"/>
      <w:pPr>
        <w:ind w:left="4159" w:hanging="360"/>
      </w:pPr>
    </w:lvl>
    <w:lvl w:ilvl="4" w:tplc="3C0A0019" w:tentative="1">
      <w:start w:val="1"/>
      <w:numFmt w:val="lowerLetter"/>
      <w:lvlText w:val="%5."/>
      <w:lvlJc w:val="left"/>
      <w:pPr>
        <w:ind w:left="4879" w:hanging="360"/>
      </w:pPr>
    </w:lvl>
    <w:lvl w:ilvl="5" w:tplc="3C0A001B" w:tentative="1">
      <w:start w:val="1"/>
      <w:numFmt w:val="lowerRoman"/>
      <w:lvlText w:val="%6."/>
      <w:lvlJc w:val="right"/>
      <w:pPr>
        <w:ind w:left="5599" w:hanging="180"/>
      </w:pPr>
    </w:lvl>
    <w:lvl w:ilvl="6" w:tplc="3C0A000F" w:tentative="1">
      <w:start w:val="1"/>
      <w:numFmt w:val="decimal"/>
      <w:lvlText w:val="%7."/>
      <w:lvlJc w:val="left"/>
      <w:pPr>
        <w:ind w:left="6319" w:hanging="360"/>
      </w:pPr>
    </w:lvl>
    <w:lvl w:ilvl="7" w:tplc="3C0A0019" w:tentative="1">
      <w:start w:val="1"/>
      <w:numFmt w:val="lowerLetter"/>
      <w:lvlText w:val="%8."/>
      <w:lvlJc w:val="left"/>
      <w:pPr>
        <w:ind w:left="7039" w:hanging="360"/>
      </w:pPr>
    </w:lvl>
    <w:lvl w:ilvl="8" w:tplc="3C0A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" w15:restartNumberingAfterBreak="0">
    <w:nsid w:val="273005F7"/>
    <w:multiLevelType w:val="hybridMultilevel"/>
    <w:tmpl w:val="50E60E98"/>
    <w:lvl w:ilvl="0" w:tplc="F6F26BA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547F"/>
    <w:multiLevelType w:val="hybridMultilevel"/>
    <w:tmpl w:val="59A80F3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PY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A9"/>
    <w:rsid w:val="000153E3"/>
    <w:rsid w:val="00017CD3"/>
    <w:rsid w:val="00031CEA"/>
    <w:rsid w:val="00034B41"/>
    <w:rsid w:val="000368FB"/>
    <w:rsid w:val="0003706C"/>
    <w:rsid w:val="0004373B"/>
    <w:rsid w:val="0008413C"/>
    <w:rsid w:val="00087891"/>
    <w:rsid w:val="000953A8"/>
    <w:rsid w:val="000B30F9"/>
    <w:rsid w:val="000B46CC"/>
    <w:rsid w:val="000C3560"/>
    <w:rsid w:val="000C67DB"/>
    <w:rsid w:val="000D7E6D"/>
    <w:rsid w:val="000E165D"/>
    <w:rsid w:val="000F1842"/>
    <w:rsid w:val="00106CC9"/>
    <w:rsid w:val="00107597"/>
    <w:rsid w:val="001235C9"/>
    <w:rsid w:val="001251CB"/>
    <w:rsid w:val="00145AAE"/>
    <w:rsid w:val="00150109"/>
    <w:rsid w:val="00162FA9"/>
    <w:rsid w:val="00173796"/>
    <w:rsid w:val="00187F04"/>
    <w:rsid w:val="00193C9A"/>
    <w:rsid w:val="00196C65"/>
    <w:rsid w:val="001A097B"/>
    <w:rsid w:val="001A59F9"/>
    <w:rsid w:val="001C2559"/>
    <w:rsid w:val="001C7CFB"/>
    <w:rsid w:val="001E4DE8"/>
    <w:rsid w:val="001E5CE4"/>
    <w:rsid w:val="001F02C3"/>
    <w:rsid w:val="00201750"/>
    <w:rsid w:val="002122D1"/>
    <w:rsid w:val="0021770A"/>
    <w:rsid w:val="00242A5C"/>
    <w:rsid w:val="0024737F"/>
    <w:rsid w:val="002515AD"/>
    <w:rsid w:val="00262DBF"/>
    <w:rsid w:val="002733B5"/>
    <w:rsid w:val="0029131A"/>
    <w:rsid w:val="002959FE"/>
    <w:rsid w:val="002A0D64"/>
    <w:rsid w:val="002A637F"/>
    <w:rsid w:val="002B242F"/>
    <w:rsid w:val="002B3B02"/>
    <w:rsid w:val="002C5EC1"/>
    <w:rsid w:val="002C66D9"/>
    <w:rsid w:val="002C7213"/>
    <w:rsid w:val="002D000F"/>
    <w:rsid w:val="002D5482"/>
    <w:rsid w:val="002E01B5"/>
    <w:rsid w:val="002E2637"/>
    <w:rsid w:val="002F6FDF"/>
    <w:rsid w:val="002F793E"/>
    <w:rsid w:val="00305847"/>
    <w:rsid w:val="00305FC7"/>
    <w:rsid w:val="00306B53"/>
    <w:rsid w:val="003105C3"/>
    <w:rsid w:val="00320F02"/>
    <w:rsid w:val="00326C79"/>
    <w:rsid w:val="00340ADA"/>
    <w:rsid w:val="00343867"/>
    <w:rsid w:val="003449D2"/>
    <w:rsid w:val="00361A0C"/>
    <w:rsid w:val="00364F76"/>
    <w:rsid w:val="003654CA"/>
    <w:rsid w:val="0038603A"/>
    <w:rsid w:val="003875B5"/>
    <w:rsid w:val="003907FD"/>
    <w:rsid w:val="003A741A"/>
    <w:rsid w:val="003B00CD"/>
    <w:rsid w:val="003B5E6B"/>
    <w:rsid w:val="003D4996"/>
    <w:rsid w:val="003E7888"/>
    <w:rsid w:val="00403A2F"/>
    <w:rsid w:val="00434D0D"/>
    <w:rsid w:val="00444655"/>
    <w:rsid w:val="00446E3F"/>
    <w:rsid w:val="00463374"/>
    <w:rsid w:val="00465C7F"/>
    <w:rsid w:val="00466B9F"/>
    <w:rsid w:val="0048041F"/>
    <w:rsid w:val="00480B27"/>
    <w:rsid w:val="004813C2"/>
    <w:rsid w:val="00484D87"/>
    <w:rsid w:val="0049410C"/>
    <w:rsid w:val="004D21FE"/>
    <w:rsid w:val="004D69B6"/>
    <w:rsid w:val="004E67A5"/>
    <w:rsid w:val="00502CF5"/>
    <w:rsid w:val="00503AF1"/>
    <w:rsid w:val="005401AC"/>
    <w:rsid w:val="00553CD2"/>
    <w:rsid w:val="0056056B"/>
    <w:rsid w:val="0057142E"/>
    <w:rsid w:val="00571F30"/>
    <w:rsid w:val="00572383"/>
    <w:rsid w:val="00577EA0"/>
    <w:rsid w:val="0058624E"/>
    <w:rsid w:val="00593B43"/>
    <w:rsid w:val="005965B2"/>
    <w:rsid w:val="005B1017"/>
    <w:rsid w:val="005B263F"/>
    <w:rsid w:val="005B35C0"/>
    <w:rsid w:val="005C0308"/>
    <w:rsid w:val="005E2210"/>
    <w:rsid w:val="00600133"/>
    <w:rsid w:val="00612B27"/>
    <w:rsid w:val="00636439"/>
    <w:rsid w:val="00641224"/>
    <w:rsid w:val="00650154"/>
    <w:rsid w:val="006561DE"/>
    <w:rsid w:val="006605B5"/>
    <w:rsid w:val="00667A85"/>
    <w:rsid w:val="00681273"/>
    <w:rsid w:val="00682B3E"/>
    <w:rsid w:val="006836E5"/>
    <w:rsid w:val="0069779E"/>
    <w:rsid w:val="006A51A4"/>
    <w:rsid w:val="006C29D2"/>
    <w:rsid w:val="006D5C74"/>
    <w:rsid w:val="006E4697"/>
    <w:rsid w:val="006E484B"/>
    <w:rsid w:val="006E4973"/>
    <w:rsid w:val="006F085D"/>
    <w:rsid w:val="006F5354"/>
    <w:rsid w:val="007021E5"/>
    <w:rsid w:val="00712B64"/>
    <w:rsid w:val="007152B7"/>
    <w:rsid w:val="00721117"/>
    <w:rsid w:val="00737DAC"/>
    <w:rsid w:val="00743980"/>
    <w:rsid w:val="00754355"/>
    <w:rsid w:val="00782624"/>
    <w:rsid w:val="00783757"/>
    <w:rsid w:val="0078643A"/>
    <w:rsid w:val="0078740C"/>
    <w:rsid w:val="00793ADF"/>
    <w:rsid w:val="007944B1"/>
    <w:rsid w:val="00797294"/>
    <w:rsid w:val="007A2753"/>
    <w:rsid w:val="007A7508"/>
    <w:rsid w:val="007B335F"/>
    <w:rsid w:val="007B664A"/>
    <w:rsid w:val="007B7257"/>
    <w:rsid w:val="007C7D17"/>
    <w:rsid w:val="007D3A52"/>
    <w:rsid w:val="007E1776"/>
    <w:rsid w:val="007E30A5"/>
    <w:rsid w:val="00803918"/>
    <w:rsid w:val="00812DF9"/>
    <w:rsid w:val="00815167"/>
    <w:rsid w:val="00815D22"/>
    <w:rsid w:val="0082283B"/>
    <w:rsid w:val="0084773B"/>
    <w:rsid w:val="008667AC"/>
    <w:rsid w:val="00866975"/>
    <w:rsid w:val="00884911"/>
    <w:rsid w:val="00886275"/>
    <w:rsid w:val="008B0938"/>
    <w:rsid w:val="008C236D"/>
    <w:rsid w:val="008C3378"/>
    <w:rsid w:val="008E151F"/>
    <w:rsid w:val="008F1586"/>
    <w:rsid w:val="009051CE"/>
    <w:rsid w:val="009237DA"/>
    <w:rsid w:val="00924FF5"/>
    <w:rsid w:val="009363FB"/>
    <w:rsid w:val="0095496E"/>
    <w:rsid w:val="00957BE5"/>
    <w:rsid w:val="00967336"/>
    <w:rsid w:val="00983376"/>
    <w:rsid w:val="009B3D95"/>
    <w:rsid w:val="009D0745"/>
    <w:rsid w:val="009F273C"/>
    <w:rsid w:val="009F4FD6"/>
    <w:rsid w:val="00A0192C"/>
    <w:rsid w:val="00A0246D"/>
    <w:rsid w:val="00A207A2"/>
    <w:rsid w:val="00A27E52"/>
    <w:rsid w:val="00A33F21"/>
    <w:rsid w:val="00A406F2"/>
    <w:rsid w:val="00A44095"/>
    <w:rsid w:val="00A47714"/>
    <w:rsid w:val="00A57DC0"/>
    <w:rsid w:val="00A761EF"/>
    <w:rsid w:val="00A84100"/>
    <w:rsid w:val="00A87E27"/>
    <w:rsid w:val="00A96C4A"/>
    <w:rsid w:val="00A97EC5"/>
    <w:rsid w:val="00AA57F1"/>
    <w:rsid w:val="00AB52D0"/>
    <w:rsid w:val="00AB58F8"/>
    <w:rsid w:val="00AB58FE"/>
    <w:rsid w:val="00AC159C"/>
    <w:rsid w:val="00AC68B3"/>
    <w:rsid w:val="00AD4A49"/>
    <w:rsid w:val="00AD5FD9"/>
    <w:rsid w:val="00AF75BD"/>
    <w:rsid w:val="00B163BB"/>
    <w:rsid w:val="00B242E3"/>
    <w:rsid w:val="00B25614"/>
    <w:rsid w:val="00B25ABE"/>
    <w:rsid w:val="00B25F40"/>
    <w:rsid w:val="00B47021"/>
    <w:rsid w:val="00B57146"/>
    <w:rsid w:val="00B8787E"/>
    <w:rsid w:val="00BB1F22"/>
    <w:rsid w:val="00BE09E5"/>
    <w:rsid w:val="00BE4999"/>
    <w:rsid w:val="00BE5926"/>
    <w:rsid w:val="00BE6D32"/>
    <w:rsid w:val="00BF33C0"/>
    <w:rsid w:val="00BF6CE7"/>
    <w:rsid w:val="00C03F83"/>
    <w:rsid w:val="00C10242"/>
    <w:rsid w:val="00C126AC"/>
    <w:rsid w:val="00C22605"/>
    <w:rsid w:val="00C2288D"/>
    <w:rsid w:val="00C27E9D"/>
    <w:rsid w:val="00C511A6"/>
    <w:rsid w:val="00C52534"/>
    <w:rsid w:val="00C66163"/>
    <w:rsid w:val="00C67CE7"/>
    <w:rsid w:val="00C75C94"/>
    <w:rsid w:val="00C77A85"/>
    <w:rsid w:val="00CA3CFD"/>
    <w:rsid w:val="00CB106C"/>
    <w:rsid w:val="00CC0425"/>
    <w:rsid w:val="00CC6453"/>
    <w:rsid w:val="00CD7DA1"/>
    <w:rsid w:val="00CE2166"/>
    <w:rsid w:val="00CE5182"/>
    <w:rsid w:val="00CE5888"/>
    <w:rsid w:val="00CF2671"/>
    <w:rsid w:val="00D020A7"/>
    <w:rsid w:val="00D0725B"/>
    <w:rsid w:val="00D13324"/>
    <w:rsid w:val="00D22D41"/>
    <w:rsid w:val="00D2358C"/>
    <w:rsid w:val="00D30F1A"/>
    <w:rsid w:val="00D32592"/>
    <w:rsid w:val="00D353A0"/>
    <w:rsid w:val="00D355CB"/>
    <w:rsid w:val="00D42B0D"/>
    <w:rsid w:val="00D42BA2"/>
    <w:rsid w:val="00D5500F"/>
    <w:rsid w:val="00D55194"/>
    <w:rsid w:val="00D65E9F"/>
    <w:rsid w:val="00D755EF"/>
    <w:rsid w:val="00D76900"/>
    <w:rsid w:val="00D7776F"/>
    <w:rsid w:val="00D81125"/>
    <w:rsid w:val="00D8330D"/>
    <w:rsid w:val="00DD71AE"/>
    <w:rsid w:val="00DD7984"/>
    <w:rsid w:val="00DE4E42"/>
    <w:rsid w:val="00E008AD"/>
    <w:rsid w:val="00E03BC4"/>
    <w:rsid w:val="00E06BA2"/>
    <w:rsid w:val="00E17059"/>
    <w:rsid w:val="00E17DAE"/>
    <w:rsid w:val="00E33EBB"/>
    <w:rsid w:val="00E35E51"/>
    <w:rsid w:val="00E35EC4"/>
    <w:rsid w:val="00E36AA2"/>
    <w:rsid w:val="00E6020C"/>
    <w:rsid w:val="00E77FE5"/>
    <w:rsid w:val="00E826D0"/>
    <w:rsid w:val="00E867AE"/>
    <w:rsid w:val="00EA70AE"/>
    <w:rsid w:val="00ED50BC"/>
    <w:rsid w:val="00EE37D0"/>
    <w:rsid w:val="00EF068C"/>
    <w:rsid w:val="00EF4A00"/>
    <w:rsid w:val="00EF6BFE"/>
    <w:rsid w:val="00F16491"/>
    <w:rsid w:val="00F203C0"/>
    <w:rsid w:val="00F217D5"/>
    <w:rsid w:val="00F31584"/>
    <w:rsid w:val="00F33285"/>
    <w:rsid w:val="00F4334F"/>
    <w:rsid w:val="00F45507"/>
    <w:rsid w:val="00F47C69"/>
    <w:rsid w:val="00F47DE2"/>
    <w:rsid w:val="00F55A63"/>
    <w:rsid w:val="00F629DD"/>
    <w:rsid w:val="00F67886"/>
    <w:rsid w:val="00F71A49"/>
    <w:rsid w:val="00F74C3F"/>
    <w:rsid w:val="00F75373"/>
    <w:rsid w:val="00F84C34"/>
    <w:rsid w:val="00F87B52"/>
    <w:rsid w:val="00FA5097"/>
    <w:rsid w:val="00FA6331"/>
    <w:rsid w:val="00FA7619"/>
    <w:rsid w:val="00FB0A91"/>
    <w:rsid w:val="00FB3EF4"/>
    <w:rsid w:val="00FD6BE0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999A"/>
  <w15:docId w15:val="{96FC03A0-475E-4F10-BB9E-B586DAA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F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MX" w:eastAsia="pt-BR"/>
    </w:rPr>
  </w:style>
  <w:style w:type="paragraph" w:styleId="Ttulo1">
    <w:name w:val="heading 1"/>
    <w:basedOn w:val="Normal"/>
    <w:next w:val="Normal"/>
    <w:link w:val="Ttulo1Car"/>
    <w:uiPriority w:val="99"/>
    <w:qFormat/>
    <w:rsid w:val="009F4FD6"/>
    <w:pPr>
      <w:keepNext/>
      <w:jc w:val="center"/>
      <w:outlineLvl w:val="0"/>
    </w:pPr>
    <w:rPr>
      <w:i/>
      <w:iCs/>
      <w:noProof w:val="0"/>
      <w:sz w:val="20"/>
      <w:szCs w:val="20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2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26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637"/>
    <w:rPr>
      <w:rFonts w:ascii="Times New Roman" w:eastAsia="Times New Roman" w:hAnsi="Times New Roman" w:cs="Times New Roman"/>
      <w:noProof/>
      <w:sz w:val="24"/>
      <w:szCs w:val="24"/>
      <w:lang w:val="es-MX" w:eastAsia="pt-BR"/>
    </w:rPr>
  </w:style>
  <w:style w:type="paragraph" w:styleId="Piedepgina">
    <w:name w:val="footer"/>
    <w:basedOn w:val="Normal"/>
    <w:link w:val="PiedepginaCar"/>
    <w:uiPriority w:val="99"/>
    <w:unhideWhenUsed/>
    <w:rsid w:val="002E26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637"/>
    <w:rPr>
      <w:rFonts w:ascii="Times New Roman" w:eastAsia="Times New Roman" w:hAnsi="Times New Roman" w:cs="Times New Roman"/>
      <w:noProof/>
      <w:sz w:val="24"/>
      <w:szCs w:val="24"/>
      <w:lang w:val="es-MX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F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FD6"/>
    <w:rPr>
      <w:rFonts w:ascii="Tahoma" w:eastAsia="Times New Roman" w:hAnsi="Tahoma" w:cs="Tahoma"/>
      <w:noProof/>
      <w:sz w:val="16"/>
      <w:szCs w:val="16"/>
      <w:lang w:val="es-MX" w:eastAsia="pt-BR"/>
    </w:rPr>
  </w:style>
  <w:style w:type="character" w:customStyle="1" w:styleId="Ttulo1Car">
    <w:name w:val="Título 1 Car"/>
    <w:basedOn w:val="Fuentedeprrafopredeter"/>
    <w:link w:val="Ttulo1"/>
    <w:uiPriority w:val="99"/>
    <w:rsid w:val="009F4FD6"/>
    <w:rPr>
      <w:rFonts w:ascii="Times New Roman" w:eastAsia="Times New Roman" w:hAnsi="Times New Roman" w:cs="Times New Roman"/>
      <w:i/>
      <w:iCs/>
      <w:sz w:val="20"/>
      <w:szCs w:val="20"/>
      <w:lang w:val="es-PY" w:eastAsia="es-ES"/>
    </w:rPr>
  </w:style>
  <w:style w:type="paragraph" w:styleId="Ttulo">
    <w:name w:val="Title"/>
    <w:basedOn w:val="Normal"/>
    <w:link w:val="TtuloCar"/>
    <w:uiPriority w:val="99"/>
    <w:qFormat/>
    <w:rsid w:val="009F4FD6"/>
    <w:pPr>
      <w:jc w:val="center"/>
    </w:pPr>
    <w:rPr>
      <w:i/>
      <w:iCs/>
      <w:noProof w:val="0"/>
      <w:sz w:val="20"/>
      <w:szCs w:val="20"/>
      <w:lang w:val="es-PY" w:eastAsia="en-US"/>
    </w:rPr>
  </w:style>
  <w:style w:type="character" w:customStyle="1" w:styleId="TtuloCar">
    <w:name w:val="Título Car"/>
    <w:basedOn w:val="Fuentedeprrafopredeter"/>
    <w:link w:val="Ttulo"/>
    <w:uiPriority w:val="99"/>
    <w:rsid w:val="009F4FD6"/>
    <w:rPr>
      <w:rFonts w:ascii="Times New Roman" w:eastAsia="Times New Roman" w:hAnsi="Times New Roman" w:cs="Times New Roman"/>
      <w:i/>
      <w:iCs/>
      <w:sz w:val="20"/>
      <w:szCs w:val="20"/>
      <w:lang w:val="es-PY"/>
    </w:rPr>
  </w:style>
  <w:style w:type="paragraph" w:customStyle="1" w:styleId="TableParagraph">
    <w:name w:val="Table Paragraph"/>
    <w:basedOn w:val="Normal"/>
    <w:uiPriority w:val="1"/>
    <w:qFormat/>
    <w:rsid w:val="00886275"/>
    <w:pPr>
      <w:widowControl w:val="0"/>
      <w:autoSpaceDE w:val="0"/>
      <w:autoSpaceDN w:val="0"/>
      <w:spacing w:before="11"/>
      <w:ind w:left="203"/>
    </w:pPr>
    <w:rPr>
      <w:rFonts w:ascii="Arial" w:eastAsia="Arial" w:hAnsi="Arial" w:cs="Arial"/>
      <w:noProof w:val="0"/>
      <w:sz w:val="22"/>
      <w:szCs w:val="22"/>
      <w:lang w:val="es-ES" w:eastAsia="es-ES" w:bidi="es-ES"/>
    </w:rPr>
  </w:style>
  <w:style w:type="paragraph" w:customStyle="1" w:styleId="dispcabeza">
    <w:name w:val="disp_cabeza"/>
    <w:basedOn w:val="Normal"/>
    <w:rsid w:val="006E4973"/>
    <w:pPr>
      <w:spacing w:before="100" w:beforeAutospacing="1" w:after="100" w:afterAutospacing="1"/>
    </w:pPr>
    <w:rPr>
      <w:noProof w:val="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4973"/>
    <w:rPr>
      <w:b/>
      <w:bCs/>
    </w:rPr>
  </w:style>
  <w:style w:type="table" w:styleId="Tablaconcuadrcula">
    <w:name w:val="Table Grid"/>
    <w:basedOn w:val="Tablanormal"/>
    <w:uiPriority w:val="59"/>
    <w:rsid w:val="00F4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73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3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37F"/>
    <w:rPr>
      <w:rFonts w:ascii="Times New Roman" w:eastAsia="Times New Roman" w:hAnsi="Times New Roman" w:cs="Times New Roman"/>
      <w:noProof/>
      <w:sz w:val="20"/>
      <w:szCs w:val="20"/>
      <w:lang w:val="es-MX"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3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37F"/>
    <w:rPr>
      <w:rFonts w:ascii="Times New Roman" w:eastAsia="Times New Roman" w:hAnsi="Times New Roman" w:cs="Times New Roman"/>
      <w:b/>
      <w:bCs/>
      <w:noProof/>
      <w:sz w:val="20"/>
      <w:szCs w:val="20"/>
      <w:lang w:val="es-MX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DELL</cp:lastModifiedBy>
  <cp:revision>61</cp:revision>
  <cp:lastPrinted>2020-01-28T15:27:00Z</cp:lastPrinted>
  <dcterms:created xsi:type="dcterms:W3CDTF">2022-07-29T14:50:00Z</dcterms:created>
  <dcterms:modified xsi:type="dcterms:W3CDTF">2023-08-25T16:49:00Z</dcterms:modified>
</cp:coreProperties>
</file>