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BF" w:rsidRDefault="001812BF" w:rsidP="001812BF">
      <w:pPr>
        <w:rPr>
          <w:rFonts w:ascii="Arial" w:eastAsia="Arial" w:hAnsi="Arial" w:cs="Arial"/>
          <w:b/>
          <w:highlight w:val="yellow"/>
        </w:rPr>
      </w:pPr>
      <w:r>
        <w:rPr>
          <w:rFonts w:ascii="Arial" w:eastAsia="Arial" w:hAnsi="Arial" w:cs="Arial"/>
          <w:b/>
        </w:rPr>
        <w:t>MERCOSUR/</w:t>
      </w:r>
      <w:r>
        <w:rPr>
          <w:rFonts w:ascii="Arial" w:eastAsia="Arial" w:hAnsi="Arial" w:cs="Arial"/>
          <w:b/>
          <w:highlight w:val="green"/>
        </w:rPr>
        <w:t>LVII SGT No 11/P. RES. No XX/23</w:t>
      </w:r>
    </w:p>
    <w:p w:rsidR="001812BF" w:rsidRDefault="001812BF" w:rsidP="001812BF">
      <w:pPr>
        <w:jc w:val="both"/>
        <w:rPr>
          <w:rFonts w:ascii="Arial" w:eastAsia="Arial" w:hAnsi="Arial" w:cs="Arial"/>
        </w:rPr>
      </w:pPr>
    </w:p>
    <w:p w:rsidR="001812BF" w:rsidRDefault="001812BF" w:rsidP="001812BF">
      <w:pPr>
        <w:jc w:val="center"/>
        <w:rPr>
          <w:rFonts w:ascii="Arial" w:eastAsia="Arial" w:hAnsi="Arial" w:cs="Arial"/>
          <w:b/>
        </w:rPr>
      </w:pPr>
      <w:r>
        <w:rPr>
          <w:rFonts w:ascii="Arial" w:eastAsia="Arial" w:hAnsi="Arial" w:cs="Arial"/>
          <w:b/>
        </w:rPr>
        <w:t xml:space="preserve">“REGLAMENTO TÉCNICO MERCOSUR PARA LA INCORPORACIÓN DE LOS ANEXO 8, 15 Y 19 DEL DOCUMENTO GUÍA DE BUENAS PRÁCTICAS DE MANUFACTURA PARA PRODUCTOS FARMACÉUTICOS – ANEXOS, PE 009-16 - PIC/S” </w:t>
      </w:r>
    </w:p>
    <w:p w:rsidR="001812BF" w:rsidRDefault="001812BF" w:rsidP="001812BF">
      <w:pPr>
        <w:jc w:val="both"/>
        <w:rPr>
          <w:rFonts w:ascii="Arial" w:eastAsia="Arial" w:hAnsi="Arial" w:cs="Arial"/>
        </w:rPr>
      </w:pPr>
      <w:r>
        <w:rPr>
          <w:rFonts w:ascii="Arial" w:eastAsia="Arial" w:hAnsi="Arial" w:cs="Arial"/>
          <w:b/>
        </w:rPr>
        <w:t>VISTO:</w:t>
      </w:r>
      <w:r>
        <w:rPr>
          <w:rFonts w:ascii="Arial" w:eastAsia="Arial" w:hAnsi="Arial" w:cs="Arial"/>
        </w:rPr>
        <w:t xml:space="preserve"> El Tratado de Asunción, el Protocolo de Ouro </w:t>
      </w:r>
      <w:proofErr w:type="spellStart"/>
      <w:r>
        <w:rPr>
          <w:rFonts w:ascii="Arial" w:eastAsia="Arial" w:hAnsi="Arial" w:cs="Arial"/>
        </w:rPr>
        <w:t>Preto</w:t>
      </w:r>
      <w:proofErr w:type="spellEnd"/>
      <w:r>
        <w:rPr>
          <w:rFonts w:ascii="Arial" w:eastAsia="Arial" w:hAnsi="Arial" w:cs="Arial"/>
        </w:rPr>
        <w:t xml:space="preserve"> y las </w:t>
      </w:r>
      <w:r>
        <w:rPr>
          <w:rFonts w:ascii="Arial" w:eastAsia="Arial" w:hAnsi="Arial" w:cs="Arial"/>
          <w:highlight w:val="green"/>
        </w:rPr>
        <w:t xml:space="preserve">P. RES </w:t>
      </w:r>
      <w:proofErr w:type="spellStart"/>
      <w:r>
        <w:rPr>
          <w:rFonts w:ascii="Arial" w:eastAsia="Arial" w:hAnsi="Arial" w:cs="Arial"/>
          <w:highlight w:val="green"/>
        </w:rPr>
        <w:t>N°</w:t>
      </w:r>
      <w:proofErr w:type="spellEnd"/>
      <w:r>
        <w:rPr>
          <w:rFonts w:ascii="Arial" w:eastAsia="Arial" w:hAnsi="Arial" w:cs="Arial"/>
          <w:highlight w:val="green"/>
        </w:rPr>
        <w:t xml:space="preserve"> 03/22</w:t>
      </w:r>
      <w:r>
        <w:rPr>
          <w:rFonts w:ascii="Arial" w:eastAsia="Arial" w:hAnsi="Arial" w:cs="Arial"/>
        </w:rPr>
        <w:t xml:space="preserve"> y N°45/17 del Grupo Mercado Común. </w:t>
      </w:r>
    </w:p>
    <w:p w:rsidR="001812BF" w:rsidRDefault="001812BF" w:rsidP="001812BF">
      <w:pPr>
        <w:jc w:val="both"/>
        <w:rPr>
          <w:rFonts w:ascii="Arial" w:eastAsia="Arial" w:hAnsi="Arial" w:cs="Arial"/>
        </w:rPr>
      </w:pPr>
    </w:p>
    <w:p w:rsidR="001812BF" w:rsidRDefault="001812BF" w:rsidP="001812BF">
      <w:pPr>
        <w:rPr>
          <w:rFonts w:ascii="Arial" w:eastAsia="Arial" w:hAnsi="Arial" w:cs="Arial"/>
          <w:b/>
        </w:rPr>
      </w:pPr>
      <w:r>
        <w:rPr>
          <w:rFonts w:ascii="Arial" w:eastAsia="Arial" w:hAnsi="Arial" w:cs="Arial"/>
          <w:b/>
        </w:rPr>
        <w:t>CONSIDERANDO:</w:t>
      </w:r>
    </w:p>
    <w:p w:rsidR="001812BF" w:rsidRDefault="001812BF" w:rsidP="001812BF">
      <w:pPr>
        <w:jc w:val="both"/>
        <w:rPr>
          <w:rFonts w:ascii="Arial" w:eastAsia="Arial" w:hAnsi="Arial" w:cs="Arial"/>
        </w:rPr>
      </w:pPr>
      <w:r>
        <w:rPr>
          <w:rFonts w:ascii="Arial" w:eastAsia="Arial" w:hAnsi="Arial" w:cs="Arial"/>
        </w:rPr>
        <w:t>Que la reglamentación de las Buenas Prácticas de Fabricación relativas a productos farmacéuticos e ingredientes farmacéuticos activos, armonizada en el MERCOSUR debe garantizar la calidad y seguridad de estos, asegurando la salud de las poblaciones de los Estados Partes.</w:t>
      </w:r>
    </w:p>
    <w:p w:rsidR="001812BF" w:rsidRDefault="001812BF" w:rsidP="001812BF">
      <w:pPr>
        <w:jc w:val="both"/>
        <w:rPr>
          <w:rFonts w:ascii="Arial" w:eastAsia="Arial" w:hAnsi="Arial" w:cs="Arial"/>
          <w:color w:val="002060"/>
        </w:rPr>
      </w:pPr>
      <w:r>
        <w:rPr>
          <w:rFonts w:ascii="Arial" w:eastAsia="Arial" w:hAnsi="Arial" w:cs="Arial"/>
        </w:rPr>
        <w:t>Que tales normativas están en permanente actualización, demandando que la reglamentación tenga un carácter dinámico</w:t>
      </w:r>
      <w:r>
        <w:rPr>
          <w:rFonts w:ascii="Arial" w:eastAsia="Arial" w:hAnsi="Arial" w:cs="Arial"/>
          <w:color w:val="002060"/>
        </w:rPr>
        <w:t>.</w:t>
      </w:r>
    </w:p>
    <w:p w:rsidR="001812BF" w:rsidRDefault="001812BF" w:rsidP="001812BF">
      <w:pPr>
        <w:jc w:val="both"/>
        <w:rPr>
          <w:rFonts w:ascii="Arial" w:eastAsia="Arial" w:hAnsi="Arial" w:cs="Arial"/>
        </w:rPr>
      </w:pPr>
      <w:r>
        <w:rPr>
          <w:rFonts w:ascii="Arial" w:eastAsia="Arial" w:hAnsi="Arial" w:cs="Arial"/>
        </w:rPr>
        <w:t>Que la implementación de la reglamentación sobre las Buenas Prácticas de Fabricación de productos farmacéuticos e ingredientes farmacéuticos activos debe ser compatible con las metas, objetivos generales y específicos de la Política Farmacéutica Nacional de cada Estado Parte.</w:t>
      </w:r>
    </w:p>
    <w:p w:rsidR="001812BF" w:rsidRDefault="001812BF" w:rsidP="001812BF">
      <w:pPr>
        <w:shd w:val="clear" w:color="auto" w:fill="FFFFFF"/>
        <w:spacing w:after="0" w:line="240" w:lineRule="auto"/>
        <w:jc w:val="both"/>
        <w:rPr>
          <w:rFonts w:ascii="Arial" w:eastAsia="Arial" w:hAnsi="Arial" w:cs="Arial"/>
        </w:rPr>
      </w:pPr>
      <w:r>
        <w:rPr>
          <w:rFonts w:ascii="Arial" w:eastAsia="Arial" w:hAnsi="Arial" w:cs="Arial"/>
        </w:rPr>
        <w:t xml:space="preserve">Que los Estados Partes acuerdan actualizar las Buenas Prácticas de Fabricación de productos farmacéuticos e ingredientes farmacéuticos activos de aplicación en el MERCOSUR, siguiendo las recomendaciones del </w:t>
      </w:r>
      <w:proofErr w:type="spellStart"/>
      <w:r>
        <w:rPr>
          <w:rFonts w:ascii="Arial" w:eastAsia="Arial" w:hAnsi="Arial" w:cs="Arial"/>
        </w:rPr>
        <w:t>Pharmaceutical</w:t>
      </w:r>
      <w:proofErr w:type="spellEnd"/>
      <w:r>
        <w:rPr>
          <w:rFonts w:ascii="Arial" w:eastAsia="Arial" w:hAnsi="Arial" w:cs="Arial"/>
        </w:rPr>
        <w:t xml:space="preserve"> </w:t>
      </w:r>
      <w:proofErr w:type="spellStart"/>
      <w:r>
        <w:rPr>
          <w:rFonts w:ascii="Arial" w:eastAsia="Arial" w:hAnsi="Arial" w:cs="Arial"/>
        </w:rPr>
        <w:t>Inspection</w:t>
      </w:r>
      <w:proofErr w:type="spellEnd"/>
      <w:r>
        <w:rPr>
          <w:rFonts w:ascii="Arial" w:eastAsia="Arial" w:hAnsi="Arial" w:cs="Arial"/>
        </w:rPr>
        <w:t xml:space="preserve">              </w:t>
      </w:r>
      <w:proofErr w:type="spellStart"/>
      <w:r>
        <w:rPr>
          <w:rFonts w:ascii="Arial" w:eastAsia="Arial" w:hAnsi="Arial" w:cs="Arial"/>
        </w:rPr>
        <w:t>Co-operation</w:t>
      </w:r>
      <w:proofErr w:type="spellEnd"/>
      <w:r>
        <w:rPr>
          <w:rFonts w:ascii="Arial" w:eastAsia="Arial" w:hAnsi="Arial" w:cs="Arial"/>
        </w:rPr>
        <w:t xml:space="preserve"> </w:t>
      </w:r>
      <w:proofErr w:type="spellStart"/>
      <w:r>
        <w:rPr>
          <w:rFonts w:ascii="Arial" w:eastAsia="Arial" w:hAnsi="Arial" w:cs="Arial"/>
        </w:rPr>
        <w:t>Scheme</w:t>
      </w:r>
      <w:proofErr w:type="spellEnd"/>
      <w:r>
        <w:rPr>
          <w:rFonts w:ascii="Arial" w:eastAsia="Arial" w:hAnsi="Arial" w:cs="Arial"/>
        </w:rPr>
        <w:t xml:space="preserve"> (PIC/S).</w:t>
      </w:r>
      <w:r>
        <w:rPr>
          <w:rFonts w:ascii="Arial" w:eastAsia="Arial" w:hAnsi="Arial" w:cs="Arial"/>
        </w:rPr>
        <w:br/>
      </w:r>
    </w:p>
    <w:p w:rsidR="001812BF" w:rsidRDefault="001812BF" w:rsidP="001812BF">
      <w:pPr>
        <w:spacing w:after="0"/>
        <w:jc w:val="both"/>
        <w:rPr>
          <w:rFonts w:ascii="Arial" w:eastAsia="Arial" w:hAnsi="Arial" w:cs="Arial"/>
        </w:rPr>
      </w:pPr>
      <w:r>
        <w:rPr>
          <w:rFonts w:ascii="Arial" w:eastAsia="Arial" w:hAnsi="Arial" w:cs="Arial"/>
        </w:rPr>
        <w:t>Que la efectiva aplicación de esta Resolución requiere la concomitante actualización del programa de capacitación de inspectores en el ámbito del MERCOSUR.</w:t>
      </w:r>
    </w:p>
    <w:p w:rsidR="001812BF" w:rsidRDefault="001812BF" w:rsidP="001812BF">
      <w:pPr>
        <w:jc w:val="center"/>
        <w:rPr>
          <w:rFonts w:ascii="Arial" w:eastAsia="Arial" w:hAnsi="Arial" w:cs="Arial"/>
          <w:b/>
        </w:rPr>
      </w:pPr>
    </w:p>
    <w:p w:rsidR="001812BF" w:rsidRDefault="001812BF" w:rsidP="001812BF">
      <w:pPr>
        <w:jc w:val="center"/>
        <w:rPr>
          <w:rFonts w:ascii="Arial" w:eastAsia="Arial" w:hAnsi="Arial" w:cs="Arial"/>
          <w:b/>
        </w:rPr>
      </w:pPr>
    </w:p>
    <w:p w:rsidR="001812BF" w:rsidRDefault="001812BF" w:rsidP="001812BF">
      <w:pPr>
        <w:jc w:val="center"/>
        <w:rPr>
          <w:rFonts w:ascii="Arial" w:eastAsia="Arial" w:hAnsi="Arial" w:cs="Arial"/>
          <w:b/>
        </w:rPr>
      </w:pPr>
      <w:r>
        <w:rPr>
          <w:rFonts w:ascii="Arial" w:eastAsia="Arial" w:hAnsi="Arial" w:cs="Arial"/>
          <w:b/>
        </w:rPr>
        <w:t>EL GRUPO MERCADO COMÚN</w:t>
      </w:r>
    </w:p>
    <w:p w:rsidR="001812BF" w:rsidRDefault="001812BF" w:rsidP="001812BF">
      <w:pPr>
        <w:jc w:val="center"/>
        <w:rPr>
          <w:rFonts w:ascii="Arial" w:eastAsia="Arial" w:hAnsi="Arial" w:cs="Arial"/>
          <w:b/>
        </w:rPr>
      </w:pPr>
      <w:r>
        <w:rPr>
          <w:rFonts w:ascii="Arial" w:eastAsia="Arial" w:hAnsi="Arial" w:cs="Arial"/>
          <w:b/>
        </w:rPr>
        <w:t>RESUELVE:</w:t>
      </w:r>
    </w:p>
    <w:p w:rsidR="001812BF" w:rsidRDefault="001812BF" w:rsidP="001812BF">
      <w:pPr>
        <w:jc w:val="both"/>
        <w:rPr>
          <w:rFonts w:ascii="Arial" w:eastAsia="Arial" w:hAnsi="Arial" w:cs="Arial"/>
          <w:strike/>
          <w:color w:val="000000"/>
        </w:rPr>
      </w:pPr>
      <w:r>
        <w:rPr>
          <w:rFonts w:ascii="Arial" w:eastAsia="Arial" w:hAnsi="Arial" w:cs="Arial"/>
          <w:color w:val="000000"/>
        </w:rPr>
        <w:t>Art. 1°</w:t>
      </w:r>
      <w:r>
        <w:rPr>
          <w:rFonts w:ascii="Arial" w:eastAsia="Arial" w:hAnsi="Arial" w:cs="Arial"/>
        </w:rPr>
        <w:t xml:space="preserve">- </w:t>
      </w:r>
      <w:r>
        <w:rPr>
          <w:rFonts w:ascii="Arial" w:eastAsia="Arial" w:hAnsi="Arial" w:cs="Arial"/>
          <w:color w:val="000000"/>
        </w:rPr>
        <w:t>Aprobar el “</w:t>
      </w:r>
      <w:r>
        <w:rPr>
          <w:rFonts w:ascii="Arial" w:eastAsia="Arial" w:hAnsi="Arial" w:cs="Arial"/>
        </w:rPr>
        <w:t>REGLAMENTO TÉCNICO MERCOSUR PARA LA INCORPORACIÓN DE LOS ANEXOS 8, 15 Y 19 DEL DOCUMENTO ´GUIDE TO GOOD MANUFACTURING PRACTICE FOR MEDICINAL PRODUCTS  ANNEXES, PE 009-16´del PHARMACEUTICAL INSPECTION CO-OPERATION SCHEME (PIC/S)”</w:t>
      </w:r>
      <w:r>
        <w:rPr>
          <w:rFonts w:ascii="Arial" w:eastAsia="Arial" w:hAnsi="Arial" w:cs="Arial"/>
          <w:color w:val="000000"/>
        </w:rPr>
        <w:t>, que consta como Anexo y forma parte de la presente Resolución.</w:t>
      </w:r>
      <w:r>
        <w:rPr>
          <w:rFonts w:ascii="Arial" w:eastAsia="Arial" w:hAnsi="Arial" w:cs="Arial"/>
          <w:color w:val="000000"/>
        </w:rPr>
        <w:br/>
      </w:r>
      <w:r>
        <w:rPr>
          <w:rFonts w:ascii="Arial" w:eastAsia="Arial" w:hAnsi="Arial" w:cs="Arial"/>
          <w:color w:val="FF0000"/>
        </w:rPr>
        <w:br/>
      </w:r>
      <w:r>
        <w:rPr>
          <w:rFonts w:ascii="Arial" w:eastAsia="Arial" w:hAnsi="Arial" w:cs="Arial"/>
          <w:color w:val="000000"/>
        </w:rPr>
        <w:t>Art. 2°</w:t>
      </w:r>
      <w:r>
        <w:rPr>
          <w:rFonts w:ascii="Arial" w:eastAsia="Arial" w:hAnsi="Arial" w:cs="Arial"/>
        </w:rPr>
        <w:t>-</w:t>
      </w:r>
      <w:r>
        <w:rPr>
          <w:rFonts w:ascii="Arial" w:eastAsia="Arial" w:hAnsi="Arial" w:cs="Arial"/>
          <w:b/>
          <w:color w:val="000000"/>
        </w:rPr>
        <w:t xml:space="preserve"> </w:t>
      </w:r>
      <w:r>
        <w:rPr>
          <w:rFonts w:ascii="Arial" w:eastAsia="Arial" w:hAnsi="Arial" w:cs="Arial"/>
          <w:color w:val="000000"/>
        </w:rPr>
        <w:t xml:space="preserve">Los Estados Partes indicarán en el ámbito del Subgrupo de Trabajo </w:t>
      </w:r>
      <w:proofErr w:type="spellStart"/>
      <w:r>
        <w:rPr>
          <w:rFonts w:ascii="Arial" w:eastAsia="Arial" w:hAnsi="Arial" w:cs="Arial"/>
          <w:color w:val="000000"/>
        </w:rPr>
        <w:t>Nº</w:t>
      </w:r>
      <w:proofErr w:type="spellEnd"/>
      <w:r>
        <w:rPr>
          <w:rFonts w:ascii="Arial" w:eastAsia="Arial" w:hAnsi="Arial" w:cs="Arial"/>
          <w:color w:val="000000"/>
        </w:rPr>
        <w:t xml:space="preserve"> 11 “Salud” </w:t>
      </w:r>
      <w:r>
        <w:rPr>
          <w:rFonts w:ascii="Arial" w:eastAsia="Arial" w:hAnsi="Arial" w:cs="Arial"/>
          <w:color w:val="000000"/>
        </w:rPr>
        <w:lastRenderedPageBreak/>
        <w:t xml:space="preserve">(SGT </w:t>
      </w:r>
      <w:proofErr w:type="spellStart"/>
      <w:r>
        <w:rPr>
          <w:rFonts w:ascii="Arial" w:eastAsia="Arial" w:hAnsi="Arial" w:cs="Arial"/>
          <w:color w:val="000000"/>
        </w:rPr>
        <w:t>N°</w:t>
      </w:r>
      <w:proofErr w:type="spellEnd"/>
      <w:r>
        <w:rPr>
          <w:rFonts w:ascii="Arial" w:eastAsia="Arial" w:hAnsi="Arial" w:cs="Arial"/>
          <w:color w:val="000000"/>
        </w:rPr>
        <w:t xml:space="preserve"> 11), los organismos nacionales competentes para la implementación de la presente Resolución.</w:t>
      </w:r>
    </w:p>
    <w:p w:rsidR="001812BF" w:rsidRDefault="001812BF" w:rsidP="001812BF">
      <w:pPr>
        <w:rPr>
          <w:rFonts w:ascii="Arial" w:eastAsia="Arial" w:hAnsi="Arial" w:cs="Arial"/>
          <w:color w:val="000000"/>
        </w:rPr>
      </w:pPr>
      <w:r>
        <w:rPr>
          <w:rFonts w:ascii="Arial" w:eastAsia="Arial" w:hAnsi="Arial" w:cs="Arial"/>
          <w:color w:val="000000"/>
        </w:rPr>
        <w:t xml:space="preserve">Art. </w:t>
      </w:r>
      <w:r>
        <w:rPr>
          <w:rFonts w:ascii="Arial" w:eastAsia="Arial" w:hAnsi="Arial" w:cs="Arial"/>
        </w:rPr>
        <w:t>3°</w:t>
      </w:r>
      <w:r>
        <w:rPr>
          <w:rFonts w:ascii="Arial" w:eastAsia="Arial" w:hAnsi="Arial" w:cs="Arial"/>
          <w:color w:val="000000"/>
        </w:rPr>
        <w:t xml:space="preserve">- Esta Resolución deberá ser incorporada al ordenamiento jurídico de los Estados Partes </w:t>
      </w:r>
      <w:r>
        <w:rPr>
          <w:rFonts w:ascii="Arial" w:eastAsia="Arial" w:hAnsi="Arial" w:cs="Arial"/>
          <w:color w:val="000000"/>
          <w:highlight w:val="green"/>
        </w:rPr>
        <w:t>antes del …...</w:t>
      </w:r>
    </w:p>
    <w:p w:rsidR="001812BF" w:rsidRDefault="001812BF" w:rsidP="001812BF">
      <w:pPr>
        <w:jc w:val="right"/>
        <w:rPr>
          <w:rFonts w:ascii="Arial" w:eastAsia="Arial" w:hAnsi="Arial" w:cs="Arial"/>
          <w:b/>
        </w:rPr>
      </w:pPr>
      <w:r>
        <w:rPr>
          <w:rFonts w:ascii="Arial" w:eastAsia="Arial" w:hAnsi="Arial" w:cs="Arial"/>
          <w:b/>
          <w:color w:val="002060"/>
          <w:highlight w:val="green"/>
        </w:rPr>
        <w:t xml:space="preserve"> </w:t>
      </w:r>
      <w:r>
        <w:rPr>
          <w:rFonts w:ascii="Arial" w:eastAsia="Arial" w:hAnsi="Arial" w:cs="Arial"/>
          <w:b/>
          <w:highlight w:val="green"/>
        </w:rPr>
        <w:t xml:space="preserve">GMC -    </w:t>
      </w:r>
      <w:proofErr w:type="gramStart"/>
      <w:r>
        <w:rPr>
          <w:rFonts w:ascii="Arial" w:eastAsia="Arial" w:hAnsi="Arial" w:cs="Arial"/>
          <w:b/>
          <w:highlight w:val="green"/>
        </w:rPr>
        <w:t xml:space="preserve">  ,</w:t>
      </w:r>
      <w:proofErr w:type="gramEnd"/>
      <w:r>
        <w:rPr>
          <w:rFonts w:ascii="Arial" w:eastAsia="Arial" w:hAnsi="Arial" w:cs="Arial"/>
          <w:b/>
          <w:highlight w:val="green"/>
        </w:rPr>
        <w:t xml:space="preserve">   /  /23.</w:t>
      </w:r>
    </w:p>
    <w:p w:rsidR="001812BF" w:rsidRDefault="001812BF" w:rsidP="001812BF">
      <w:pPr>
        <w:rPr>
          <w:rFonts w:ascii="Arial" w:eastAsia="Arial" w:hAnsi="Arial" w:cs="Arial"/>
          <w:b/>
          <w:color w:val="002060"/>
        </w:rPr>
      </w:pPr>
      <w:bookmarkStart w:id="0" w:name="_heading=h.gjdgxs" w:colFirst="0" w:colLast="0"/>
      <w:bookmarkEnd w:id="0"/>
      <w:r>
        <w:br w:type="page"/>
      </w:r>
    </w:p>
    <w:p w:rsidR="001812BF" w:rsidRDefault="001812BF" w:rsidP="001812BF">
      <w:pPr>
        <w:jc w:val="right"/>
        <w:rPr>
          <w:rFonts w:ascii="Arial" w:eastAsia="Arial" w:hAnsi="Arial" w:cs="Arial"/>
          <w:b/>
          <w:color w:val="002060"/>
        </w:rPr>
      </w:pPr>
    </w:p>
    <w:p w:rsidR="001812BF" w:rsidRDefault="001812BF" w:rsidP="001812BF">
      <w:pPr>
        <w:jc w:val="center"/>
        <w:rPr>
          <w:rFonts w:ascii="Arial" w:eastAsia="Arial" w:hAnsi="Arial" w:cs="Arial"/>
          <w:b/>
          <w:color w:val="000000"/>
        </w:rPr>
      </w:pPr>
      <w:r>
        <w:rPr>
          <w:rFonts w:ascii="Arial" w:eastAsia="Arial" w:hAnsi="Arial" w:cs="Arial"/>
          <w:b/>
          <w:color w:val="000000"/>
        </w:rPr>
        <w:t>ANEXO</w:t>
      </w:r>
    </w:p>
    <w:p w:rsidR="001812BF" w:rsidRDefault="001812BF" w:rsidP="001812BF">
      <w:pPr>
        <w:jc w:val="center"/>
        <w:rPr>
          <w:rFonts w:ascii="Arial" w:eastAsia="Arial" w:hAnsi="Arial" w:cs="Arial"/>
          <w:b/>
        </w:rPr>
      </w:pPr>
      <w:r>
        <w:rPr>
          <w:rFonts w:ascii="Arial" w:eastAsia="Arial" w:hAnsi="Arial" w:cs="Arial"/>
          <w:b/>
        </w:rPr>
        <w:t xml:space="preserve">“REGLAMENTO TÉCNICO MERCOSUR PARA LA INCORPORACIÓN DE LOS ANEXOS 8, 15 Y 19 DEL DOCUMENTO ´GUIA DE BUENAS PRÁCTICAS DE MANUFACTURA PARA PRODUCTOS FARMACÉUTICOS – ANEXOS, PE 009-16´ - PIC/S” </w:t>
      </w:r>
    </w:p>
    <w:p w:rsidR="001812BF" w:rsidRDefault="001812BF" w:rsidP="001812BF">
      <w:pPr>
        <w:jc w:val="center"/>
        <w:rPr>
          <w:rFonts w:ascii="Arial" w:eastAsia="Arial" w:hAnsi="Arial" w:cs="Arial"/>
          <w:b/>
        </w:rPr>
      </w:pPr>
    </w:p>
    <w:p w:rsidR="001812BF" w:rsidRDefault="001812BF" w:rsidP="001812BF">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OBJETIVO Y ÁMBITO DE APLICACIÓN</w:t>
      </w:r>
    </w:p>
    <w:p w:rsidR="001812BF" w:rsidRDefault="001812BF" w:rsidP="001812BF">
      <w:pPr>
        <w:jc w:val="both"/>
        <w:rPr>
          <w:rFonts w:ascii="Arial" w:eastAsia="Arial" w:hAnsi="Arial" w:cs="Arial"/>
          <w:color w:val="000000"/>
        </w:rPr>
      </w:pPr>
      <w:r>
        <w:rPr>
          <w:rFonts w:ascii="Arial" w:eastAsia="Arial" w:hAnsi="Arial" w:cs="Arial"/>
          <w:color w:val="000000"/>
        </w:rPr>
        <w:t xml:space="preserve">El presente Reglamento Técnico MERCOSUR (RTM) </w:t>
      </w:r>
      <w:r>
        <w:rPr>
          <w:rFonts w:ascii="Arial" w:eastAsia="Arial" w:hAnsi="Arial" w:cs="Arial"/>
          <w:color w:val="000000"/>
          <w:highlight w:val="green"/>
        </w:rPr>
        <w:t>complementa la R</w:t>
      </w:r>
      <w:r>
        <w:rPr>
          <w:rFonts w:ascii="Arial" w:eastAsia="Arial" w:hAnsi="Arial" w:cs="Arial"/>
          <w:highlight w:val="green"/>
        </w:rPr>
        <w:t xml:space="preserve">es. </w:t>
      </w:r>
      <w:proofErr w:type="spellStart"/>
      <w:r>
        <w:rPr>
          <w:rFonts w:ascii="Arial" w:eastAsia="Arial" w:hAnsi="Arial" w:cs="Arial"/>
          <w:highlight w:val="green"/>
        </w:rPr>
        <w:t>N°</w:t>
      </w:r>
      <w:proofErr w:type="spellEnd"/>
      <w:r>
        <w:rPr>
          <w:rFonts w:ascii="Arial" w:eastAsia="Arial" w:hAnsi="Arial" w:cs="Arial"/>
          <w:highlight w:val="green"/>
        </w:rPr>
        <w:t xml:space="preserve"> XX/22</w:t>
      </w:r>
      <w:r>
        <w:rPr>
          <w:rFonts w:ascii="Arial" w:eastAsia="Arial" w:hAnsi="Arial" w:cs="Arial"/>
          <w:color w:val="000000"/>
        </w:rPr>
        <w:t xml:space="preserve"> </w:t>
      </w:r>
      <w:r>
        <w:rPr>
          <w:rFonts w:ascii="Arial" w:eastAsia="Arial" w:hAnsi="Arial" w:cs="Arial"/>
        </w:rPr>
        <w:t>en</w:t>
      </w:r>
      <w:r>
        <w:rPr>
          <w:rFonts w:ascii="Arial" w:eastAsia="Arial" w:hAnsi="Arial" w:cs="Arial"/>
          <w:color w:val="000000"/>
        </w:rPr>
        <w:t xml:space="preserve"> el marco de referencia en Buenas Prácticas de Fabricación de Productos Farmacéuticos </w:t>
      </w:r>
      <w:r>
        <w:rPr>
          <w:rFonts w:ascii="Arial" w:eastAsia="Arial" w:hAnsi="Arial" w:cs="Arial"/>
        </w:rPr>
        <w:t>e Ingredientes Farmacéuticos Activos</w:t>
      </w:r>
      <w:r>
        <w:rPr>
          <w:rFonts w:ascii="Arial" w:eastAsia="Arial" w:hAnsi="Arial" w:cs="Arial"/>
          <w:color w:val="000000"/>
        </w:rPr>
        <w:t xml:space="preserve"> con el fin de actualizar los requisitos técnicos y su mecanismo de implementación.</w:t>
      </w:r>
    </w:p>
    <w:p w:rsidR="001812BF" w:rsidRDefault="001812BF" w:rsidP="001812BF">
      <w:pPr>
        <w:pBdr>
          <w:top w:val="nil"/>
          <w:left w:val="nil"/>
          <w:bottom w:val="nil"/>
          <w:right w:val="nil"/>
          <w:between w:val="nil"/>
        </w:pBdr>
        <w:spacing w:after="0"/>
        <w:jc w:val="both"/>
        <w:rPr>
          <w:rFonts w:ascii="Arial" w:eastAsia="Arial" w:hAnsi="Arial" w:cs="Arial"/>
          <w:b/>
          <w:color w:val="FF0000"/>
        </w:rPr>
      </w:pPr>
    </w:p>
    <w:p w:rsidR="001812BF" w:rsidRDefault="001812BF" w:rsidP="001812BF">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PROCED</w:t>
      </w:r>
      <w:r>
        <w:rPr>
          <w:rFonts w:ascii="Arial" w:eastAsia="Arial" w:hAnsi="Arial" w:cs="Arial"/>
          <w:b/>
        </w:rPr>
        <w:t>I</w:t>
      </w:r>
      <w:r>
        <w:rPr>
          <w:rFonts w:ascii="Arial" w:eastAsia="Arial" w:hAnsi="Arial" w:cs="Arial"/>
          <w:b/>
          <w:color w:val="000000"/>
        </w:rPr>
        <w:t>MIENTOS</w:t>
      </w:r>
      <w:r>
        <w:rPr>
          <w:rFonts w:ascii="Arial" w:eastAsia="Arial" w:hAnsi="Arial" w:cs="Arial"/>
          <w:b/>
        </w:rPr>
        <w:t xml:space="preserve"> </w:t>
      </w:r>
      <w:r>
        <w:rPr>
          <w:rFonts w:ascii="Arial" w:eastAsia="Arial" w:hAnsi="Arial" w:cs="Arial"/>
          <w:b/>
          <w:color w:val="000000"/>
        </w:rPr>
        <w:t>GENERALES</w:t>
      </w:r>
    </w:p>
    <w:p w:rsidR="001812BF" w:rsidRDefault="001812BF" w:rsidP="001812BF">
      <w:pPr>
        <w:pBdr>
          <w:top w:val="nil"/>
          <w:left w:val="nil"/>
          <w:bottom w:val="nil"/>
          <w:right w:val="nil"/>
          <w:between w:val="nil"/>
        </w:pBdr>
        <w:spacing w:after="0"/>
        <w:ind w:left="720"/>
        <w:rPr>
          <w:rFonts w:ascii="Arial" w:eastAsia="Arial" w:hAnsi="Arial" w:cs="Arial"/>
          <w:color w:val="002060"/>
        </w:rPr>
      </w:pPr>
    </w:p>
    <w:p w:rsidR="001812BF" w:rsidRPr="00E77CD6" w:rsidRDefault="001812BF" w:rsidP="001812BF">
      <w:pPr>
        <w:numPr>
          <w:ilvl w:val="1"/>
          <w:numId w:val="1"/>
        </w:numPr>
        <w:pBdr>
          <w:top w:val="nil"/>
          <w:left w:val="nil"/>
          <w:bottom w:val="nil"/>
          <w:right w:val="nil"/>
          <w:between w:val="nil"/>
        </w:pBdr>
        <w:spacing w:after="0"/>
        <w:jc w:val="both"/>
        <w:rPr>
          <w:rFonts w:ascii="Arial" w:eastAsia="Arial" w:hAnsi="Arial" w:cs="Arial"/>
          <w:color w:val="002060"/>
          <w:lang w:val="en-US"/>
        </w:rPr>
      </w:pPr>
      <w:proofErr w:type="spellStart"/>
      <w:r w:rsidRPr="00E77CD6">
        <w:rPr>
          <w:rFonts w:ascii="Arial" w:eastAsia="Arial" w:hAnsi="Arial" w:cs="Arial"/>
          <w:color w:val="000000"/>
          <w:lang w:val="en-US"/>
        </w:rPr>
        <w:t>Adoptar</w:t>
      </w:r>
      <w:proofErr w:type="spellEnd"/>
      <w:r w:rsidRPr="00E77CD6">
        <w:rPr>
          <w:rFonts w:ascii="Arial" w:eastAsia="Arial" w:hAnsi="Arial" w:cs="Arial"/>
          <w:color w:val="000000"/>
          <w:lang w:val="en-US"/>
        </w:rPr>
        <w:t xml:space="preserve"> </w:t>
      </w:r>
      <w:proofErr w:type="spellStart"/>
      <w:r w:rsidRPr="00E77CD6">
        <w:rPr>
          <w:rFonts w:ascii="Arial" w:eastAsia="Arial" w:hAnsi="Arial" w:cs="Arial"/>
          <w:color w:val="000000"/>
          <w:lang w:val="en-US"/>
        </w:rPr>
        <w:t>en</w:t>
      </w:r>
      <w:proofErr w:type="spellEnd"/>
      <w:r w:rsidRPr="00E77CD6">
        <w:rPr>
          <w:rFonts w:ascii="Arial" w:eastAsia="Arial" w:hAnsi="Arial" w:cs="Arial"/>
          <w:color w:val="000000"/>
          <w:lang w:val="en-US"/>
        </w:rPr>
        <w:t xml:space="preserve"> el </w:t>
      </w:r>
      <w:proofErr w:type="spellStart"/>
      <w:r w:rsidRPr="00E77CD6">
        <w:rPr>
          <w:rFonts w:ascii="Arial" w:eastAsia="Arial" w:hAnsi="Arial" w:cs="Arial"/>
          <w:color w:val="000000"/>
          <w:lang w:val="en-US"/>
        </w:rPr>
        <w:t>presente</w:t>
      </w:r>
      <w:proofErr w:type="spellEnd"/>
      <w:r w:rsidRPr="00E77CD6">
        <w:rPr>
          <w:rFonts w:ascii="Arial" w:eastAsia="Arial" w:hAnsi="Arial" w:cs="Arial"/>
          <w:color w:val="000000"/>
          <w:lang w:val="en-US"/>
        </w:rPr>
        <w:t xml:space="preserve"> </w:t>
      </w:r>
      <w:proofErr w:type="spellStart"/>
      <w:r w:rsidRPr="00E77CD6">
        <w:rPr>
          <w:rFonts w:ascii="Arial" w:eastAsia="Arial" w:hAnsi="Arial" w:cs="Arial"/>
          <w:color w:val="000000"/>
          <w:lang w:val="en-US"/>
        </w:rPr>
        <w:t>reglamento</w:t>
      </w:r>
      <w:proofErr w:type="spellEnd"/>
      <w:r w:rsidRPr="00E77CD6">
        <w:rPr>
          <w:rFonts w:ascii="Arial" w:eastAsia="Arial" w:hAnsi="Arial" w:cs="Arial"/>
          <w:color w:val="000000"/>
          <w:lang w:val="en-US"/>
        </w:rPr>
        <w:t xml:space="preserve"> </w:t>
      </w:r>
      <w:r w:rsidRPr="00E77CD6">
        <w:rPr>
          <w:rFonts w:ascii="Arial" w:eastAsia="Arial" w:hAnsi="Arial" w:cs="Arial"/>
          <w:lang w:val="en-US"/>
        </w:rPr>
        <w:t xml:space="preserve">los </w:t>
      </w:r>
      <w:proofErr w:type="spellStart"/>
      <w:r w:rsidRPr="00E77CD6">
        <w:rPr>
          <w:rFonts w:ascii="Arial" w:eastAsia="Arial" w:hAnsi="Arial" w:cs="Arial"/>
          <w:lang w:val="en-US"/>
        </w:rPr>
        <w:t>anexos</w:t>
      </w:r>
      <w:proofErr w:type="spellEnd"/>
      <w:r w:rsidRPr="00E77CD6">
        <w:rPr>
          <w:rFonts w:ascii="Arial" w:eastAsia="Arial" w:hAnsi="Arial" w:cs="Arial"/>
          <w:lang w:val="en-US"/>
        </w:rPr>
        <w:t xml:space="preserve">: Annex 8 “Sampling of starting and packaging materials”, Annex 15 “Qualification and validation” y Annex 19 “Reference and retention samples” </w:t>
      </w:r>
      <w:r w:rsidRPr="00E77CD6">
        <w:rPr>
          <w:rFonts w:ascii="Arial" w:eastAsia="Arial" w:hAnsi="Arial" w:cs="Arial"/>
          <w:color w:val="000000"/>
          <w:lang w:val="en-US"/>
        </w:rPr>
        <w:t>de</w:t>
      </w:r>
      <w:r w:rsidRPr="00E77CD6">
        <w:rPr>
          <w:rFonts w:ascii="Arial" w:eastAsia="Arial" w:hAnsi="Arial" w:cs="Arial"/>
          <w:lang w:val="en-US"/>
        </w:rPr>
        <w:t xml:space="preserve">l </w:t>
      </w:r>
      <w:proofErr w:type="spellStart"/>
      <w:r w:rsidRPr="00E77CD6">
        <w:rPr>
          <w:rFonts w:ascii="Arial" w:eastAsia="Arial" w:hAnsi="Arial" w:cs="Arial"/>
          <w:lang w:val="en-US"/>
        </w:rPr>
        <w:t>documento</w:t>
      </w:r>
      <w:proofErr w:type="spellEnd"/>
      <w:r w:rsidRPr="00E77CD6">
        <w:rPr>
          <w:rFonts w:ascii="Arial" w:eastAsia="Arial" w:hAnsi="Arial" w:cs="Arial"/>
          <w:lang w:val="en-US"/>
        </w:rPr>
        <w:t xml:space="preserve"> “Guide to good manufacturing practice for medicinal </w:t>
      </w:r>
      <w:proofErr w:type="gramStart"/>
      <w:r w:rsidRPr="00E77CD6">
        <w:rPr>
          <w:rFonts w:ascii="Arial" w:eastAsia="Arial" w:hAnsi="Arial" w:cs="Arial"/>
          <w:lang w:val="en-US"/>
        </w:rPr>
        <w:t>products  ANNEXES</w:t>
      </w:r>
      <w:proofErr w:type="gramEnd"/>
      <w:r w:rsidRPr="00E77CD6">
        <w:rPr>
          <w:rFonts w:ascii="Arial" w:eastAsia="Arial" w:hAnsi="Arial" w:cs="Arial"/>
          <w:lang w:val="en-US"/>
        </w:rPr>
        <w:t>, PE 009-16” del</w:t>
      </w:r>
      <w:r w:rsidRPr="00E77CD6">
        <w:rPr>
          <w:rFonts w:ascii="Arial" w:eastAsia="Arial" w:hAnsi="Arial" w:cs="Arial"/>
          <w:color w:val="000000"/>
          <w:lang w:val="en-US"/>
        </w:rPr>
        <w:t xml:space="preserve"> Pharmaceutical Inspection Co-operation Scheme (PIC/S).</w:t>
      </w:r>
    </w:p>
    <w:p w:rsidR="001812BF" w:rsidRPr="00E77CD6" w:rsidRDefault="001812BF" w:rsidP="001812BF">
      <w:pPr>
        <w:pBdr>
          <w:top w:val="nil"/>
          <w:left w:val="nil"/>
          <w:bottom w:val="nil"/>
          <w:right w:val="nil"/>
          <w:between w:val="nil"/>
        </w:pBdr>
        <w:spacing w:after="0"/>
        <w:ind w:left="792"/>
        <w:jc w:val="both"/>
        <w:rPr>
          <w:rFonts w:ascii="Arial" w:eastAsia="Arial" w:hAnsi="Arial" w:cs="Arial"/>
          <w:color w:val="002060"/>
          <w:lang w:val="en-US"/>
        </w:rPr>
      </w:pPr>
      <w:bookmarkStart w:id="1" w:name="_heading=h.30j0zll" w:colFirst="0" w:colLast="0"/>
      <w:bookmarkEnd w:id="1"/>
    </w:p>
    <w:p w:rsidR="001812BF" w:rsidRDefault="001812BF" w:rsidP="001812BF">
      <w:pPr>
        <w:numPr>
          <w:ilvl w:val="1"/>
          <w:numId w:val="1"/>
        </w:numPr>
        <w:pBdr>
          <w:top w:val="nil"/>
          <w:left w:val="nil"/>
          <w:bottom w:val="nil"/>
          <w:right w:val="nil"/>
          <w:between w:val="nil"/>
        </w:pBdr>
        <w:spacing w:after="0"/>
        <w:jc w:val="both"/>
        <w:rPr>
          <w:rFonts w:ascii="Arial" w:eastAsia="Arial" w:hAnsi="Arial" w:cs="Arial"/>
          <w:color w:val="002060"/>
        </w:rPr>
      </w:pPr>
      <w:r>
        <w:rPr>
          <w:rFonts w:ascii="Arial" w:eastAsia="Arial" w:hAnsi="Arial" w:cs="Arial"/>
          <w:color w:val="000000"/>
        </w:rPr>
        <w:t>Para la adopción de lo establecido en el punto anterior, cada Estado Parte adoptará las providencias pertinentes y determinará los plazos que considere necesarios para su implementación una vez que haya entrado en vigencia la presente Resolución.</w:t>
      </w:r>
    </w:p>
    <w:p w:rsidR="001812BF" w:rsidRDefault="001812BF" w:rsidP="001812BF">
      <w:pPr>
        <w:pBdr>
          <w:top w:val="nil"/>
          <w:left w:val="nil"/>
          <w:bottom w:val="nil"/>
          <w:right w:val="nil"/>
          <w:between w:val="nil"/>
        </w:pBdr>
        <w:ind w:left="720"/>
        <w:rPr>
          <w:rFonts w:ascii="Arial" w:eastAsia="Arial" w:hAnsi="Arial" w:cs="Arial"/>
          <w:color w:val="000000"/>
        </w:rPr>
      </w:pPr>
    </w:p>
    <w:p w:rsidR="001812BF" w:rsidRDefault="001812BF" w:rsidP="001812BF">
      <w:pPr>
        <w:numPr>
          <w:ilvl w:val="1"/>
          <w:numId w:val="1"/>
        </w:numPr>
        <w:pBdr>
          <w:top w:val="nil"/>
          <w:left w:val="nil"/>
          <w:bottom w:val="nil"/>
          <w:right w:val="nil"/>
          <w:between w:val="nil"/>
        </w:pBdr>
        <w:spacing w:after="0"/>
        <w:jc w:val="both"/>
        <w:rPr>
          <w:rFonts w:ascii="Arial" w:eastAsia="Arial" w:hAnsi="Arial" w:cs="Arial"/>
          <w:color w:val="002060"/>
        </w:rPr>
      </w:pPr>
      <w:r>
        <w:rPr>
          <w:rFonts w:ascii="Arial" w:eastAsia="Arial" w:hAnsi="Arial" w:cs="Arial"/>
          <w:color w:val="000000"/>
        </w:rPr>
        <w:t>Para la implementación de lo establecido en el ítem 2.1 se continuarán unificando los criterios de gestión de riesgos aplicables al proceso de inspección, así como se mantendrá la capacitación conjunta para inspectores.</w:t>
      </w:r>
    </w:p>
    <w:p w:rsidR="001812BF" w:rsidRDefault="001812BF" w:rsidP="001812BF">
      <w:pPr>
        <w:jc w:val="both"/>
        <w:rPr>
          <w:rFonts w:ascii="Arial" w:eastAsia="Arial" w:hAnsi="Arial" w:cs="Arial"/>
        </w:rPr>
      </w:pPr>
    </w:p>
    <w:p w:rsidR="001812BF" w:rsidRDefault="001812BF" w:rsidP="001812BF">
      <w:pPr>
        <w:rPr>
          <w:rFonts w:ascii="Arial" w:eastAsia="Arial" w:hAnsi="Arial" w:cs="Arial"/>
          <w:color w:val="FF0000"/>
        </w:rPr>
      </w:pPr>
    </w:p>
    <w:p w:rsidR="001E6CCB" w:rsidRDefault="001E6CCB">
      <w:bookmarkStart w:id="2" w:name="_GoBack"/>
      <w:bookmarkEnd w:id="2"/>
    </w:p>
    <w:sectPr w:rsidR="001E6CC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512AA"/>
    <w:multiLevelType w:val="multilevel"/>
    <w:tmpl w:val="56625204"/>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BF"/>
    <w:rsid w:val="001812BF"/>
    <w:rsid w:val="001E6CC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D1CDC-F97E-4DDF-B557-7D037A25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2BF"/>
    <w:pPr>
      <w:spacing w:after="200" w:line="276" w:lineRule="auto"/>
    </w:pPr>
    <w:rPr>
      <w:rFonts w:ascii="Calibri" w:eastAsia="Calibri" w:hAnsi="Calibri" w:cs="Calibri"/>
      <w:lang w:val="es-U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2954</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DINAVISA</dc:creator>
  <cp:keywords/>
  <dc:description/>
  <cp:lastModifiedBy>DINAVISA</cp:lastModifiedBy>
  <cp:revision>1</cp:revision>
  <dcterms:created xsi:type="dcterms:W3CDTF">2024-01-25T12:58:00Z</dcterms:created>
  <dcterms:modified xsi:type="dcterms:W3CDTF">2024-01-25T12:58:00Z</dcterms:modified>
</cp:coreProperties>
</file>