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C7723" w14:textId="77777777" w:rsidR="00533DDE" w:rsidRPr="00213356" w:rsidRDefault="00533DDE">
      <w:pPr>
        <w:spacing w:after="0" w:line="240" w:lineRule="auto"/>
        <w:jc w:val="right"/>
        <w:rPr>
          <w:rFonts w:ascii="Tahoma" w:hAnsi="Tahoma" w:cs="Tahoma"/>
          <w:color w:val="auto"/>
        </w:rPr>
      </w:pPr>
      <w:bookmarkStart w:id="0" w:name="_GoBack"/>
      <w:bookmarkEnd w:id="0"/>
      <w:r w:rsidRPr="00213356">
        <w:rPr>
          <w:rFonts w:ascii="Tahoma" w:hAnsi="Tahoma" w:cs="Tahoma"/>
          <w:color w:val="auto"/>
        </w:rPr>
        <w:t>Asunción, mayo de 2023</w:t>
      </w:r>
    </w:p>
    <w:p w14:paraId="5423635D" w14:textId="77777777" w:rsidR="00533DDE" w:rsidRPr="00213356" w:rsidRDefault="00533DDE">
      <w:pPr>
        <w:spacing w:after="0" w:line="240" w:lineRule="auto"/>
        <w:rPr>
          <w:rFonts w:ascii="Tahoma" w:hAnsi="Tahoma" w:cs="Tahoma"/>
          <w:b/>
          <w:color w:val="auto"/>
        </w:rPr>
      </w:pPr>
      <w:r w:rsidRPr="00213356">
        <w:rPr>
          <w:rFonts w:ascii="Tahoma" w:hAnsi="Tahoma" w:cs="Tahoma"/>
          <w:b/>
          <w:color w:val="auto"/>
        </w:rPr>
        <w:t>VISTO:</w:t>
      </w:r>
    </w:p>
    <w:p w14:paraId="6CA7C4F8" w14:textId="77777777" w:rsidR="00533DDE" w:rsidRPr="00213356" w:rsidRDefault="00533DDE">
      <w:pPr>
        <w:spacing w:after="0" w:line="240" w:lineRule="auto"/>
        <w:rPr>
          <w:rFonts w:ascii="Tahoma" w:hAnsi="Tahoma" w:cs="Tahoma"/>
          <w:b/>
          <w:color w:val="auto"/>
        </w:rPr>
      </w:pPr>
    </w:p>
    <w:p w14:paraId="7B3C444B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  <w:lang w:val="es-MX"/>
        </w:rPr>
      </w:pPr>
      <w:r w:rsidRPr="00213356">
        <w:rPr>
          <w:rFonts w:ascii="Tahoma" w:hAnsi="Tahoma" w:cs="Tahoma"/>
          <w:b/>
          <w:color w:val="auto"/>
        </w:rPr>
        <w:tab/>
      </w:r>
      <w:r w:rsidRPr="00213356">
        <w:rPr>
          <w:rFonts w:ascii="Tahoma" w:hAnsi="Tahoma" w:cs="Tahoma"/>
          <w:color w:val="auto"/>
        </w:rPr>
        <w:t xml:space="preserve">El Memorándum DGCC N° XX/2023, por el cual la Dirección General de Control de Calidad solicita la aprobación </w:t>
      </w:r>
      <w:r w:rsidRPr="00213356">
        <w:rPr>
          <w:rFonts w:ascii="Tahoma" w:hAnsi="Tahoma" w:cs="Tahoma"/>
          <w:color w:val="auto"/>
          <w:lang w:val="es-MX"/>
        </w:rPr>
        <w:t xml:space="preserve">por la cual se establece la obligatoriedad de implementar el método de ensayo para la determinación del complejo </w:t>
      </w:r>
      <w:r w:rsidRPr="00213356">
        <w:rPr>
          <w:rFonts w:ascii="Tahoma" w:hAnsi="Tahoma" w:cs="Tahoma"/>
          <w:b/>
          <w:bCs/>
          <w:i/>
          <w:iCs/>
          <w:color w:val="auto"/>
          <w:lang w:val="es-MX"/>
        </w:rPr>
        <w:t>BURKHOLDERIA CEPACI</w:t>
      </w:r>
      <w:r w:rsidRPr="00213356">
        <w:rPr>
          <w:rFonts w:ascii="Tahoma" w:hAnsi="Tahoma" w:cs="Tahoma"/>
          <w:b/>
          <w:i/>
          <w:color w:val="auto"/>
          <w:lang w:val="es-MX"/>
        </w:rPr>
        <w:t>A</w:t>
      </w:r>
      <w:r w:rsidRPr="00213356">
        <w:rPr>
          <w:rFonts w:ascii="Tahoma" w:hAnsi="Tahoma" w:cs="Tahoma"/>
          <w:color w:val="auto"/>
          <w:lang w:val="es-MX"/>
        </w:rPr>
        <w:t xml:space="preserve">, microorganismo en materia prima y productos termiandos. </w:t>
      </w:r>
    </w:p>
    <w:p w14:paraId="5214E828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  <w:lang w:val="es-MX"/>
        </w:rPr>
      </w:pPr>
    </w:p>
    <w:p w14:paraId="071B2A90" w14:textId="77777777" w:rsidR="00533DDE" w:rsidRPr="00213356" w:rsidRDefault="00533DDE">
      <w:pPr>
        <w:spacing w:after="0" w:line="240" w:lineRule="auto"/>
        <w:rPr>
          <w:rFonts w:ascii="Tahoma" w:hAnsi="Tahoma" w:cs="Tahoma"/>
          <w:b/>
          <w:color w:val="auto"/>
        </w:rPr>
      </w:pPr>
      <w:r w:rsidRPr="00213356">
        <w:rPr>
          <w:rFonts w:ascii="Tahoma" w:hAnsi="Tahoma" w:cs="Tahoma"/>
          <w:b/>
          <w:color w:val="auto"/>
        </w:rPr>
        <w:t>CONSIDERANDO:</w:t>
      </w:r>
    </w:p>
    <w:p w14:paraId="383C9C99" w14:textId="77777777" w:rsidR="00533DDE" w:rsidRPr="00213356" w:rsidRDefault="00533DDE">
      <w:pPr>
        <w:spacing w:after="0" w:line="240" w:lineRule="auto"/>
        <w:rPr>
          <w:rFonts w:ascii="Tahoma" w:hAnsi="Tahoma" w:cs="Tahoma"/>
          <w:b/>
          <w:color w:val="auto"/>
        </w:rPr>
      </w:pPr>
    </w:p>
    <w:p w14:paraId="08505B99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>Que, la Constitución Nacional, en su Artículo 72, Del Control de Calidad, establece: "</w:t>
      </w:r>
      <w:r w:rsidRPr="00213356">
        <w:rPr>
          <w:rFonts w:ascii="Tahoma" w:hAnsi="Tahoma" w:cs="Tahoma"/>
          <w:i/>
          <w:color w:val="auto"/>
        </w:rPr>
        <w:t>El Estado velará por el control de calidad de los productos alimenticios, químicos, farmacéuticos y biológicos, en las etapas de producción, importación y comercialización"</w:t>
      </w:r>
      <w:r w:rsidRPr="00213356">
        <w:rPr>
          <w:rFonts w:ascii="Tahoma" w:hAnsi="Tahoma" w:cs="Tahoma"/>
          <w:color w:val="auto"/>
        </w:rPr>
        <w:t>.</w:t>
      </w:r>
    </w:p>
    <w:p w14:paraId="0DD6B109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</w:p>
    <w:p w14:paraId="00525F72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>Que, la Ley 1119/97 “</w:t>
      </w:r>
      <w:r w:rsidRPr="00213356">
        <w:rPr>
          <w:rFonts w:ascii="Tahoma" w:hAnsi="Tahoma" w:cs="Tahoma"/>
          <w:i/>
          <w:color w:val="auto"/>
        </w:rPr>
        <w:t>De productos para la salud y otros</w:t>
      </w:r>
      <w:r w:rsidRPr="00213356">
        <w:rPr>
          <w:rFonts w:ascii="Tahoma" w:hAnsi="Tahoma" w:cs="Tahoma"/>
          <w:color w:val="auto"/>
        </w:rPr>
        <w:t>” expresa en su Artículo 1º.- “</w:t>
      </w:r>
      <w:r w:rsidRPr="00213356">
        <w:rPr>
          <w:rFonts w:ascii="Tahoma" w:hAnsi="Tahoma" w:cs="Tahoma"/>
          <w:i/>
          <w:color w:val="auto"/>
        </w:rPr>
        <w:t xml:space="preserve">1. La presente ley y sus correspondientes reglamentos regulan la fabricación, elaboración, fraccionamiento, control de calidad, distribución, prescripción, dispensación, comercialización, representación, importación, exportación, almacenamiento, uso racional, régimen de precios, información, publicidad, y la evaluación, autorización y registro de los medicamentos de uso humano, drogas, productos químicos, reactivos y todo otro producto de uso y aplicación en medicina humana, y los productos considerados como cosméticos y </w:t>
      </w:r>
      <w:proofErr w:type="spellStart"/>
      <w:r w:rsidRPr="00213356">
        <w:rPr>
          <w:rFonts w:ascii="Tahoma" w:hAnsi="Tahoma" w:cs="Tahoma"/>
          <w:i/>
          <w:color w:val="auto"/>
        </w:rPr>
        <w:t>domisanitarios</w:t>
      </w:r>
      <w:proofErr w:type="spellEnd"/>
      <w:r w:rsidRPr="00213356">
        <w:rPr>
          <w:rFonts w:ascii="Tahoma" w:hAnsi="Tahoma" w:cs="Tahoma"/>
          <w:i/>
          <w:color w:val="auto"/>
        </w:rPr>
        <w:t>. 2. También regula los principios, normas, criterios y exigencias básicas sobre la eficacia, seguridad y calidad de los productos objeto de esta ley, y la actuación de las personas físicas o jurídicas que intervienen en las actividades mencionadas en el párrafo anterior</w:t>
      </w:r>
      <w:r w:rsidRPr="00213356">
        <w:rPr>
          <w:rFonts w:ascii="Tahoma" w:hAnsi="Tahoma" w:cs="Tahoma"/>
          <w:color w:val="auto"/>
        </w:rPr>
        <w:t xml:space="preserve">”. </w:t>
      </w:r>
    </w:p>
    <w:p w14:paraId="73243C3A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</w:p>
    <w:p w14:paraId="50277688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>Igualmente, en su Artículo 9º dispone: “</w:t>
      </w:r>
      <w:r w:rsidRPr="00213356">
        <w:rPr>
          <w:rFonts w:ascii="Tahoma" w:hAnsi="Tahoma" w:cs="Tahoma"/>
          <w:i/>
          <w:color w:val="auto"/>
        </w:rPr>
        <w:t>1. La autoridad sanitaria nacional reglamentará el tipo de controles exigibles al fabricante para garantizar la calidad de las materias primas, de los productos semielaborados, del proceso de fabricación y del producto final, a efectos de la autorización y registro, manteniéndose dichos controles mientras dure la producción y/o comercialización de la especialidad farmacéutica, sin perjuicio de los cambios o modificaciones tecnológicas que puedan producirse por la evolución de la ciencia y las buenas prácticas de fabricación y control. Dichos cambios o modificaciones deberán ser informados a la autoridad sanitaria nacional para su aprobación y actualización del expediente de la especialidad farmacéutica afectada</w:t>
      </w:r>
      <w:r w:rsidRPr="00213356">
        <w:rPr>
          <w:rFonts w:ascii="Tahoma" w:hAnsi="Tahoma" w:cs="Tahoma"/>
          <w:color w:val="auto"/>
        </w:rPr>
        <w:t>”.</w:t>
      </w:r>
    </w:p>
    <w:p w14:paraId="14FB1234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</w:p>
    <w:p w14:paraId="7EF623B6" w14:textId="77777777" w:rsidR="00533DDE" w:rsidRPr="00213356" w:rsidRDefault="00533DDE">
      <w:pPr>
        <w:spacing w:after="0" w:line="240" w:lineRule="auto"/>
        <w:ind w:left="11" w:right="499" w:firstLine="697"/>
        <w:rPr>
          <w:rFonts w:ascii="Tahoma" w:hAnsi="Tahoma" w:cs="Tahoma"/>
          <w:color w:val="auto"/>
          <w:lang w:val="es-ES" w:eastAsia="es-ES"/>
        </w:rPr>
      </w:pPr>
      <w:r w:rsidRPr="00213356">
        <w:rPr>
          <w:rFonts w:ascii="Tahoma" w:hAnsi="Tahoma" w:cs="Tahoma"/>
          <w:bCs/>
          <w:color w:val="auto"/>
          <w:lang w:val="es-ES" w:eastAsia="es-ES"/>
        </w:rPr>
        <w:t>Que, la misma Ley 1119 en su Artículo</w:t>
      </w:r>
      <w:r w:rsidRPr="00213356">
        <w:rPr>
          <w:rFonts w:ascii="Tahoma" w:hAnsi="Tahoma" w:cs="Tahoma"/>
          <w:color w:val="auto"/>
          <w:lang w:val="es-ES" w:eastAsia="es-ES"/>
        </w:rPr>
        <w:t xml:space="preserve"> </w:t>
      </w:r>
      <w:r w:rsidRPr="00213356">
        <w:rPr>
          <w:rFonts w:ascii="Tahoma" w:hAnsi="Tahoma" w:cs="Tahoma"/>
          <w:bCs/>
          <w:color w:val="auto"/>
          <w:lang w:val="es-ES" w:eastAsia="es-ES"/>
        </w:rPr>
        <w:t>28,</w:t>
      </w:r>
      <w:r w:rsidRPr="00213356">
        <w:rPr>
          <w:rFonts w:ascii="Tahoma" w:hAnsi="Tahoma" w:cs="Tahoma"/>
          <w:color w:val="auto"/>
          <w:lang w:val="es-ES" w:eastAsia="es-ES"/>
        </w:rPr>
        <w:t xml:space="preserve"> dispone: “</w:t>
      </w:r>
      <w:r w:rsidRPr="00213356">
        <w:rPr>
          <w:rFonts w:ascii="Tahoma" w:hAnsi="Tahoma" w:cs="Tahoma"/>
          <w:i/>
          <w:color w:val="auto"/>
          <w:lang w:val="es-ES" w:eastAsia="es-ES"/>
        </w:rPr>
        <w:t>La autoridad sanitaria nacional realizará controles periódicos de calidad de las especialidades farmacéuticas existentes en el mercado, de las materias primas y productos semielaborados, así como del material de envasado y de las condiciones de conservación, transporte y venta, a efectos de verificar si se mantienen las condiciones establecidas en la autorización y registro de las mismas</w:t>
      </w:r>
      <w:r w:rsidRPr="00213356">
        <w:rPr>
          <w:rFonts w:ascii="Tahoma" w:hAnsi="Tahoma" w:cs="Tahoma"/>
          <w:color w:val="auto"/>
          <w:lang w:val="es-ES" w:eastAsia="es-ES"/>
        </w:rPr>
        <w:t xml:space="preserve">”. </w:t>
      </w:r>
    </w:p>
    <w:p w14:paraId="43C5009E" w14:textId="77777777" w:rsidR="00533DDE" w:rsidRPr="00213356" w:rsidRDefault="00533DDE">
      <w:pPr>
        <w:spacing w:after="0" w:line="240" w:lineRule="auto"/>
        <w:ind w:left="11" w:right="499" w:firstLine="697"/>
        <w:rPr>
          <w:rFonts w:ascii="Tahoma" w:hAnsi="Tahoma" w:cs="Tahoma"/>
          <w:color w:val="auto"/>
        </w:rPr>
      </w:pPr>
    </w:p>
    <w:p w14:paraId="77B57ED8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</w:p>
    <w:p w14:paraId="08D00F52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 xml:space="preserve">Que la Ley N°6788/2021,” </w:t>
      </w:r>
      <w:r w:rsidRPr="00213356">
        <w:rPr>
          <w:rFonts w:ascii="Tahoma" w:hAnsi="Tahoma" w:cs="Tahoma"/>
          <w:i/>
          <w:color w:val="auto"/>
        </w:rPr>
        <w:t>Que establece la competencia, atribuciones y estructura orgánica de la Dirección Nacional de Vigilancia Sanitaria</w:t>
      </w:r>
      <w:r w:rsidRPr="00213356">
        <w:rPr>
          <w:rFonts w:ascii="Tahoma" w:hAnsi="Tahoma" w:cs="Tahoma"/>
          <w:color w:val="auto"/>
        </w:rPr>
        <w:t xml:space="preserve">”, en su artículo </w:t>
      </w:r>
    </w:p>
    <w:p w14:paraId="30E8712A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</w:p>
    <w:p w14:paraId="604A30D2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>3, De la competencia y objetivos, dispone que: “</w:t>
      </w:r>
      <w:r w:rsidRPr="00213356">
        <w:rPr>
          <w:rFonts w:ascii="Tahoma" w:hAnsi="Tahoma" w:cs="Tahoma"/>
          <w:i/>
          <w:color w:val="auto"/>
        </w:rPr>
        <w:t xml:space="preserve">La Dirección Nacional de Vigilancia Sanitaria (DINAVISA) será considerada como la autoridad responsable en cuanto a las disposiciones relativas al ámbito de su competencia, a través de la ejecución de las políticas </w:t>
      </w:r>
      <w:r w:rsidRPr="00213356">
        <w:rPr>
          <w:rFonts w:ascii="Tahoma" w:hAnsi="Tahoma" w:cs="Tahoma"/>
          <w:i/>
          <w:color w:val="auto"/>
        </w:rPr>
        <w:lastRenderedPageBreak/>
        <w:t xml:space="preserve">públicas diseñadas por el Ministerio de Salud Pública y Bienestar Social, en su carácter de rector de la materia, el desarrollo de estrategias adecuadas, la regulación, control y fiscalización de los productos para la salud como medicamentos de uso humano, drogas, productos químicos, reactivos, dispositivos médicos y todo otro producto de uso y aplicación en medicina humana, así como los productos considerados como cosméticos, perfumes, </w:t>
      </w:r>
      <w:proofErr w:type="spellStart"/>
      <w:r w:rsidRPr="00213356">
        <w:rPr>
          <w:rFonts w:ascii="Tahoma" w:hAnsi="Tahoma" w:cs="Tahoma"/>
          <w:i/>
          <w:color w:val="auto"/>
        </w:rPr>
        <w:t>domisanitarios</w:t>
      </w:r>
      <w:proofErr w:type="spellEnd"/>
      <w:r w:rsidRPr="00213356">
        <w:rPr>
          <w:rFonts w:ascii="Tahoma" w:hAnsi="Tahoma" w:cs="Tahoma"/>
          <w:i/>
          <w:color w:val="auto"/>
        </w:rPr>
        <w:t xml:space="preserve"> y afines, y aquellos productos cuya regulación y control sean asignados por Ley, así como el aseguramiento de su calidad, seguridad y eficacia, pudiendo sancionar las infracciones que detecten</w:t>
      </w:r>
      <w:r w:rsidRPr="00213356">
        <w:rPr>
          <w:rFonts w:ascii="Tahoma" w:hAnsi="Tahoma" w:cs="Tahoma"/>
          <w:color w:val="auto"/>
        </w:rPr>
        <w:t>.</w:t>
      </w:r>
    </w:p>
    <w:p w14:paraId="193FDCF5" w14:textId="77777777" w:rsidR="00533DDE" w:rsidRPr="00213356" w:rsidRDefault="00533DDE">
      <w:pPr>
        <w:spacing w:after="0" w:line="240" w:lineRule="auto"/>
        <w:ind w:left="11" w:right="499" w:firstLine="720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 xml:space="preserve"> </w:t>
      </w:r>
    </w:p>
    <w:p w14:paraId="420C4F5D" w14:textId="77777777" w:rsidR="00533DDE" w:rsidRPr="00213356" w:rsidRDefault="00533DDE">
      <w:pPr>
        <w:spacing w:after="0" w:line="240" w:lineRule="auto"/>
        <w:ind w:left="11" w:right="499" w:firstLine="1276"/>
        <w:rPr>
          <w:rFonts w:ascii="Tahoma" w:hAnsi="Tahoma" w:cs="Tahoma"/>
          <w:i/>
          <w:color w:val="auto"/>
        </w:rPr>
      </w:pPr>
      <w:r w:rsidRPr="00213356">
        <w:rPr>
          <w:rFonts w:ascii="Tahoma" w:hAnsi="Tahoma" w:cs="Tahoma"/>
          <w:color w:val="auto"/>
        </w:rPr>
        <w:t>Que, en su Artículo 5°, la Ley 6788 dispone: “</w:t>
      </w:r>
      <w:r w:rsidRPr="00213356">
        <w:rPr>
          <w:rFonts w:ascii="Tahoma" w:hAnsi="Tahoma" w:cs="Tahoma"/>
          <w:i/>
          <w:color w:val="auto"/>
        </w:rPr>
        <w:t>La Dirección Nacional de Vigilancia Sanitaria (DINAVISA), tiene por finalidad velar por la protección de la salud humana. A tal efecto, deberá cumplir las siguientes funciones: a) …b) Establecer normas, reglamentos técnicos, guías y códigos de buenas prácticas de las actividades relacionadas a los productos para la salud, cuya regulación y control le sean asignados por Ley, las que serán actualizadas de forma periódica y en concordancia con la evolución científica y tecnológica</w:t>
      </w:r>
      <w:r w:rsidRPr="00213356">
        <w:rPr>
          <w:rFonts w:ascii="Tahoma" w:hAnsi="Tahoma" w:cs="Tahoma"/>
          <w:color w:val="auto"/>
        </w:rPr>
        <w:t xml:space="preserve">. </w:t>
      </w:r>
      <w:r w:rsidRPr="00213356">
        <w:rPr>
          <w:rFonts w:ascii="Tahoma" w:hAnsi="Tahoma" w:cs="Tahoma"/>
          <w:i/>
          <w:color w:val="auto"/>
        </w:rPr>
        <w:t xml:space="preserve">c) Regular, controlar y fiscalizar los productos para la salud como medicamentos de uso humano, drogas, productos químicos, reactivos, dispositivos médicos y todo otro producto de uso y aplicación en medicina humana, así como los considerados productos de higiene de uso personal, cosméticos, perfumes y </w:t>
      </w:r>
      <w:proofErr w:type="spellStart"/>
      <w:r w:rsidRPr="00213356">
        <w:rPr>
          <w:rFonts w:ascii="Tahoma" w:hAnsi="Tahoma" w:cs="Tahoma"/>
          <w:i/>
          <w:color w:val="auto"/>
        </w:rPr>
        <w:t>domisanitarios</w:t>
      </w:r>
      <w:proofErr w:type="spellEnd"/>
      <w:r w:rsidRPr="00213356">
        <w:rPr>
          <w:rFonts w:ascii="Tahoma" w:hAnsi="Tahoma" w:cs="Tahoma"/>
          <w:i/>
          <w:color w:val="auto"/>
        </w:rPr>
        <w:t>, asegurando su calidad, seguridad y eficacia, cuya regulación y control le sean asignados por Ley.</w:t>
      </w:r>
      <w:r w:rsidRPr="00213356">
        <w:rPr>
          <w:rFonts w:ascii="Tahoma" w:hAnsi="Tahoma" w:cs="Tahoma"/>
          <w:color w:val="auto"/>
        </w:rPr>
        <w:t xml:space="preserve"> </w:t>
      </w:r>
      <w:r w:rsidRPr="00213356">
        <w:rPr>
          <w:rFonts w:ascii="Tahoma" w:hAnsi="Tahoma" w:cs="Tahoma"/>
          <w:i/>
          <w:color w:val="auto"/>
        </w:rPr>
        <w:t xml:space="preserve">d) Regular y fiscalizar las actividades realizadas por las personas físicas o jurídicas que intervienen durante las etapas de la fabricación, elaboración, fraccionamiento, control de calidad, distribución, prescripción, dispensación, comercialización, representación, importación, exportación, almacenamiento, uso racional, fijación de precios, información y publicidad de los productos para la salud como medicamento de uso humano, drogas, productos químicos, reactivos. dispositivos médicos y todo otro producto de uso y aplicación de uso humano, así como los considerados de higiene personal, cosméticos, perfumes y </w:t>
      </w:r>
      <w:proofErr w:type="spellStart"/>
      <w:r w:rsidRPr="00213356">
        <w:rPr>
          <w:rFonts w:ascii="Tahoma" w:hAnsi="Tahoma" w:cs="Tahoma"/>
          <w:i/>
          <w:color w:val="auto"/>
        </w:rPr>
        <w:t>domisanitarios</w:t>
      </w:r>
      <w:proofErr w:type="spellEnd"/>
      <w:r w:rsidRPr="00213356">
        <w:rPr>
          <w:rFonts w:ascii="Tahoma" w:hAnsi="Tahoma" w:cs="Tahoma"/>
          <w:i/>
          <w:color w:val="auto"/>
        </w:rPr>
        <w:t>. e) Otorgar la habilitación y ejercer el control y la fiscalización de los establecimientos dedicados a las actividades relacionadas con los productos para la salud. g) Establecer las reglamentaciones técnicas para la ejecución de cualquier actividad de su competencia en todo el territorio nacional, de acuerdo a las legislaciones pertinentes, siendo las mismas de acatamiento obligatorio por parte de toda persona física, jurídica u organismos públicos o privados sin excepción.</w:t>
      </w:r>
    </w:p>
    <w:p w14:paraId="6D4D6AA4" w14:textId="77777777" w:rsidR="00533DDE" w:rsidRPr="00213356" w:rsidRDefault="00533DDE">
      <w:pPr>
        <w:spacing w:after="0" w:line="240" w:lineRule="auto"/>
        <w:ind w:left="11" w:right="499" w:firstLine="1276"/>
        <w:rPr>
          <w:rFonts w:ascii="Tahoma" w:hAnsi="Tahoma" w:cs="Tahoma"/>
          <w:i/>
          <w:color w:val="auto"/>
        </w:rPr>
      </w:pPr>
    </w:p>
    <w:p w14:paraId="4E00F6D6" w14:textId="77777777" w:rsidR="00533DDE" w:rsidRPr="00213356" w:rsidRDefault="00533DDE">
      <w:pPr>
        <w:spacing w:after="0" w:line="240" w:lineRule="auto"/>
        <w:ind w:right="499" w:firstLine="708"/>
        <w:rPr>
          <w:rFonts w:ascii="Tahoma" w:hAnsi="Tahoma" w:cs="Tahoma"/>
          <w:i/>
          <w:color w:val="auto"/>
        </w:rPr>
      </w:pP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Que, a partir de diciembre de 2019, la Farmacopea de los Estados Unidos (USP) publicó oficialmente el capítulo 60&gt; Examen Microbiológico de productos No Estériles: Pruebas para el Complejo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Cepacia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, mediante el cual a través de la utilización de un agar selectivo  -indicador y promotor del crecimiento para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cepacia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,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cenocepacia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y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multivorans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e inhibitorio para Pseudomonas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aeruginosa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, es posible determinar la ausencia del complejo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cepacia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en agua, materias primas y productos farmacéuticos terminados, cuando se aplican todas las medidas de control interno descritas  en el mismo capitulo.</w:t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br/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br/>
      </w:r>
      <w:r w:rsidRPr="00213356">
        <w:rPr>
          <w:rFonts w:ascii="Arial" w:eastAsia="SimSun" w:hAnsi="Arial" w:cs="Arial"/>
          <w:color w:val="auto"/>
          <w:sz w:val="24"/>
          <w:szCs w:val="24"/>
          <w:shd w:val="clear" w:color="auto" w:fill="FFFFFF"/>
          <w:lang w:val="es-MX"/>
        </w:rPr>
        <w:tab/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Que, la autoridad regulatoria de los Estados Unidos,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Food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and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Drug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Administration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(FDA) ha advertido a su industria farmacéutica aplicar el método/ examen &lt;60&gt; de la USP especialmente en productos farmacéuticos no estériles a base de agua, basado en que se han  producidos retiros repetidos de antisépticos </w:t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lastRenderedPageBreak/>
        <w:t xml:space="preserve">contaminados, como povidona yodada, cloruro de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benzalconia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y gluconato de clorhexidina, en los EE.  UU.,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asi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como en el extranjero.  Estos productos farmacéuticos se encuentran presentes en prácticamente todos los establecimientos de salud, siendo afectados particularmente los pacientes vulnerables debido a su condición médica.</w:t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br/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br/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  <w:lang w:val="es-MX"/>
        </w:rPr>
        <w:tab/>
      </w:r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Que, la autoridad regulatoria de Argentina, Administración Nacional de Medicamentos, Alimentos y Tecnología Médica (ANMAT), ha redactado el documento ANMAT-MED-MPF-001-000, actualmente en periodo de consulta pública, el que incorporará su determinación en productos farmacéuticos, y la autoridad regulatoria de Colombia, Instituto Nacional de Vigilancia de Medicamentos y Alimentos (INVIMA), ha publicado alertas de dispositivos médicos contaminados con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>cepacia</w:t>
      </w:r>
      <w:proofErr w:type="spellEnd"/>
      <w:r w:rsidRPr="00213356">
        <w:rPr>
          <w:rFonts w:ascii="Arial" w:eastAsia="SimSun" w:hAnsi="Arial" w:cs="Arial"/>
          <w:i/>
          <w:color w:val="auto"/>
          <w:sz w:val="24"/>
          <w:szCs w:val="24"/>
          <w:shd w:val="clear" w:color="auto" w:fill="FFFFFF"/>
        </w:rPr>
        <w:t xml:space="preserve"> y de retiros del mercado asociados a este complejo, </w:t>
      </w:r>
    </w:p>
    <w:p w14:paraId="160A40E4" w14:textId="77777777" w:rsidR="00533DDE" w:rsidRPr="00213356" w:rsidRDefault="00533DDE">
      <w:pPr>
        <w:spacing w:after="0" w:line="240" w:lineRule="auto"/>
        <w:ind w:left="11" w:right="499" w:firstLine="1276"/>
        <w:rPr>
          <w:rFonts w:ascii="Tahoma" w:hAnsi="Tahoma" w:cs="Tahoma"/>
          <w:i/>
          <w:color w:val="auto"/>
        </w:rPr>
      </w:pPr>
    </w:p>
    <w:p w14:paraId="226839CE" w14:textId="77777777" w:rsidR="00533DDE" w:rsidRPr="00213356" w:rsidRDefault="00533DDE">
      <w:pPr>
        <w:spacing w:after="0" w:line="240" w:lineRule="auto"/>
        <w:ind w:firstLine="720"/>
        <w:rPr>
          <w:rFonts w:ascii="Tahoma" w:hAnsi="Tahoma" w:cs="Tahoma"/>
          <w:color w:val="auto"/>
          <w:sz w:val="24"/>
          <w:szCs w:val="24"/>
          <w:shd w:val="clear" w:color="auto" w:fill="FFFFFF"/>
          <w:lang w:val="es-MX"/>
        </w:rPr>
      </w:pPr>
      <w:bookmarkStart w:id="1" w:name="_Hlk125621864"/>
      <w:r w:rsidRPr="00213356">
        <w:rPr>
          <w:rFonts w:ascii="Tahoma" w:hAnsi="Tahoma" w:cs="Tahoma"/>
          <w:i/>
          <w:color w:val="auto"/>
          <w:sz w:val="24"/>
          <w:szCs w:val="24"/>
          <w:shd w:val="clear" w:color="auto" w:fill="FFFFFF"/>
        </w:rPr>
        <w:t xml:space="preserve">Que, </w:t>
      </w:r>
      <w:bookmarkEnd w:id="1"/>
      <w:r w:rsidRPr="00213356">
        <w:rPr>
          <w:rFonts w:ascii="Tahoma" w:hAnsi="Tahoma" w:cs="Tahoma"/>
          <w:i/>
          <w:color w:val="auto"/>
          <w:sz w:val="24"/>
          <w:szCs w:val="24"/>
          <w:shd w:val="clear" w:color="auto" w:fill="FFFFFF"/>
          <w:lang w:val="es-MX"/>
        </w:rPr>
        <w:t xml:space="preserve">teniendo en cuenta lo expuesto, se ha visto la 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 xml:space="preserve">necesidad de 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  <w:lang w:val="es-MX"/>
        </w:rPr>
        <w:t>fortalecer en materia de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 xml:space="preserve"> vigilancia en las actividades de producción y garantía de calidad de los fabricantes de productos farmacéuticos para prevenir riesgos de contaminación microbiológica, 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  <w:lang w:val="es-MX"/>
        </w:rPr>
        <w:t xml:space="preserve">con 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 xml:space="preserve">relación a microorganismos como el complejo </w:t>
      </w:r>
      <w:proofErr w:type="spellStart"/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>cepacia</w:t>
      </w:r>
      <w:proofErr w:type="spellEnd"/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</w:rPr>
        <w:t>, para evitar la exposición de pacientes y consumidores a medicamentos inseguros</w:t>
      </w:r>
      <w:r w:rsidRPr="00213356">
        <w:rPr>
          <w:rFonts w:ascii="Tahoma" w:eastAsia="SimSun" w:hAnsi="Tahoma" w:cs="Tahoma"/>
          <w:i/>
          <w:color w:val="auto"/>
          <w:sz w:val="24"/>
          <w:szCs w:val="24"/>
          <w:shd w:val="clear" w:color="auto" w:fill="FFFFFF"/>
          <w:lang w:val="es-MX"/>
        </w:rPr>
        <w:t>, que redundará en beneficios en la salud de la problación.</w:t>
      </w:r>
      <w:r w:rsidRPr="00213356">
        <w:rPr>
          <w:rFonts w:ascii="Tahoma" w:eastAsia="SimSun" w:hAnsi="Tahoma" w:cs="Tahoma"/>
          <w:color w:val="auto"/>
          <w:sz w:val="24"/>
          <w:szCs w:val="24"/>
          <w:shd w:val="clear" w:color="auto" w:fill="FFFFFF"/>
          <w:lang w:val="es-MX"/>
        </w:rPr>
        <w:t xml:space="preserve"> </w:t>
      </w:r>
    </w:p>
    <w:p w14:paraId="137E588C" w14:textId="77777777" w:rsidR="00533DDE" w:rsidRPr="00213356" w:rsidRDefault="00533DDE">
      <w:pPr>
        <w:spacing w:after="0" w:line="240" w:lineRule="auto"/>
        <w:ind w:firstLine="720"/>
        <w:rPr>
          <w:rFonts w:ascii="Tahoma" w:hAnsi="Tahoma" w:cs="Tahoma"/>
          <w:color w:val="auto"/>
          <w:shd w:val="clear" w:color="auto" w:fill="FFFFFF"/>
          <w:lang w:val="es-MX"/>
        </w:rPr>
      </w:pPr>
    </w:p>
    <w:p w14:paraId="7117BBFD" w14:textId="77777777" w:rsidR="00533DDE" w:rsidRPr="00213356" w:rsidRDefault="00533DDE">
      <w:pPr>
        <w:spacing w:after="0" w:line="240" w:lineRule="auto"/>
        <w:ind w:firstLine="720"/>
        <w:rPr>
          <w:rFonts w:ascii="Tahoma" w:hAnsi="Tahoma" w:cs="Tahoma"/>
          <w:color w:val="auto"/>
          <w:shd w:val="clear" w:color="auto" w:fill="FFFFFF"/>
          <w:lang w:val="es-MX"/>
        </w:rPr>
      </w:pPr>
    </w:p>
    <w:p w14:paraId="3693BD8A" w14:textId="77777777" w:rsidR="00533DDE" w:rsidRPr="00213356" w:rsidRDefault="00533DDE">
      <w:pPr>
        <w:spacing w:after="0" w:line="240" w:lineRule="auto"/>
        <w:ind w:firstLine="720"/>
        <w:rPr>
          <w:rFonts w:ascii="Tahoma" w:hAnsi="Tahoma" w:cs="Tahoma"/>
          <w:color w:val="auto"/>
          <w:shd w:val="clear" w:color="auto" w:fill="FFFFFF"/>
          <w:lang w:val="es-MX"/>
        </w:rPr>
      </w:pPr>
    </w:p>
    <w:p w14:paraId="5CDB2EDF" w14:textId="77777777" w:rsidR="00533DDE" w:rsidRPr="00213356" w:rsidRDefault="00533DDE">
      <w:pPr>
        <w:spacing w:after="0" w:line="240" w:lineRule="auto"/>
        <w:ind w:firstLine="720"/>
        <w:rPr>
          <w:rFonts w:ascii="Tahoma" w:hAnsi="Tahoma" w:cs="Tahoma"/>
          <w:color w:val="auto"/>
          <w:shd w:val="clear" w:color="auto" w:fill="FFFFFF"/>
          <w:lang w:val="es-MX"/>
        </w:rPr>
      </w:pPr>
    </w:p>
    <w:p w14:paraId="5FA215C0" w14:textId="77777777" w:rsidR="00533DDE" w:rsidRPr="00213356" w:rsidRDefault="00533DDE">
      <w:pPr>
        <w:spacing w:after="0" w:line="240" w:lineRule="auto"/>
        <w:ind w:right="0" w:firstLine="698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>Que, la Dirección General de Asuntos Legales de la DINAVISA, a través del Dictamen de fecha XXXX, ha emitido su parecer favorable a la firma de la presente Resolución.</w:t>
      </w:r>
    </w:p>
    <w:p w14:paraId="68294070" w14:textId="77777777" w:rsidR="00533DDE" w:rsidRPr="00213356" w:rsidRDefault="00533DDE">
      <w:pPr>
        <w:spacing w:after="0" w:line="240" w:lineRule="auto"/>
        <w:ind w:left="11" w:right="499"/>
        <w:rPr>
          <w:rFonts w:ascii="Tahoma" w:hAnsi="Tahoma" w:cs="Tahoma"/>
          <w:color w:val="auto"/>
        </w:rPr>
      </w:pPr>
    </w:p>
    <w:p w14:paraId="1199F2CA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color w:val="auto"/>
        </w:rPr>
        <w:t xml:space="preserve">POR TANTO, en uso de sus atribuciones legales, </w:t>
      </w:r>
    </w:p>
    <w:p w14:paraId="5A03EAA6" w14:textId="77777777" w:rsidR="00533DDE" w:rsidRPr="00213356" w:rsidRDefault="00533DDE">
      <w:pPr>
        <w:spacing w:after="0" w:line="240" w:lineRule="auto"/>
        <w:ind w:left="11" w:right="499"/>
        <w:jc w:val="center"/>
        <w:rPr>
          <w:rFonts w:ascii="Tahoma" w:hAnsi="Tahoma" w:cs="Tahoma"/>
          <w:b/>
          <w:color w:val="auto"/>
        </w:rPr>
      </w:pPr>
    </w:p>
    <w:p w14:paraId="634DD624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b/>
          <w:color w:val="auto"/>
        </w:rPr>
      </w:pPr>
      <w:r w:rsidRPr="00213356">
        <w:rPr>
          <w:rFonts w:ascii="Tahoma" w:hAnsi="Tahoma" w:cs="Tahoma"/>
          <w:b/>
          <w:color w:val="auto"/>
        </w:rPr>
        <w:t>EL DIRECTOR NACIONAL DE VIGILANCIA SANITARIA</w:t>
      </w:r>
    </w:p>
    <w:p w14:paraId="3C1D1C3D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</w:rPr>
      </w:pPr>
      <w:r w:rsidRPr="00213356">
        <w:rPr>
          <w:rFonts w:ascii="Tahoma" w:hAnsi="Tahoma" w:cs="Tahoma"/>
          <w:b/>
          <w:color w:val="auto"/>
          <w:sz w:val="24"/>
        </w:rPr>
        <w:t>RESUELVE:</w:t>
      </w:r>
    </w:p>
    <w:p w14:paraId="43D11EFC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b/>
          <w:color w:val="auto"/>
          <w:sz w:val="24"/>
        </w:rPr>
      </w:pPr>
    </w:p>
    <w:p w14:paraId="489E86AF" w14:textId="77777777" w:rsidR="00533DDE" w:rsidRPr="00213356" w:rsidRDefault="00533DDE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  <w:r w:rsidRPr="00213356">
        <w:rPr>
          <w:rFonts w:ascii="Tahoma" w:hAnsi="Tahoma" w:cs="Tahoma"/>
          <w:b/>
          <w:color w:val="auto"/>
        </w:rPr>
        <w:t xml:space="preserve">Artículo 1°.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Establecer la obligatoriedad de Implementar el Método de Ensayo para la determinación del complejo</w:t>
      </w:r>
      <w:r w:rsidR="00847CB1" w:rsidRPr="00213356">
        <w:rPr>
          <w:rFonts w:ascii="Arial" w:eastAsia="SimSun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847CB1" w:rsidRPr="00213356">
        <w:rPr>
          <w:rFonts w:ascii="Arial" w:eastAsia="SimSun" w:hAnsi="Arial" w:cs="Arial"/>
          <w:color w:val="auto"/>
          <w:sz w:val="24"/>
          <w:szCs w:val="24"/>
          <w:shd w:val="clear" w:color="auto" w:fill="FFFFFF"/>
        </w:rPr>
        <w:t>Burkholderia</w:t>
      </w:r>
      <w:proofErr w:type="spellEnd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</w:t>
      </w:r>
      <w:proofErr w:type="spellStart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Cepaci</w:t>
      </w:r>
      <w:r w:rsidR="003410F3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a</w:t>
      </w:r>
      <w:proofErr w:type="spellEnd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en</w:t>
      </w:r>
      <w:r w:rsidR="00847CB1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agua de calidad farmacéutica</w:t>
      </w:r>
      <w:r w:rsidR="003410F3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, </w:t>
      </w:r>
      <w:r w:rsidR="00B7328F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materia prima y </w:t>
      </w:r>
      <w:r w:rsidR="006E7FB9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productos terminados </w:t>
      </w:r>
      <w:r w:rsidR="00847CB1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nacionales </w:t>
      </w:r>
      <w:r w:rsidR="00B7328F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e importados</w:t>
      </w:r>
      <w:r w:rsidR="00847CB1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.</w:t>
      </w:r>
    </w:p>
    <w:p w14:paraId="04A1B8F3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Century Gothic" w:hAnsi="Century Gothic" w:cs="Arial"/>
          <w:bCs/>
          <w:color w:val="auto"/>
          <w:sz w:val="24"/>
          <w:szCs w:val="24"/>
          <w:lang w:val="es-MX"/>
        </w:rPr>
      </w:pPr>
    </w:p>
    <w:p w14:paraId="4B40FFCB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  <w:r w:rsidRPr="00213356">
        <w:rPr>
          <w:rFonts w:ascii="Century Gothic" w:hAnsi="Century Gothic" w:cs="Arial"/>
          <w:bCs/>
          <w:color w:val="auto"/>
          <w:sz w:val="24"/>
          <w:szCs w:val="24"/>
          <w:lang w:val="es-MX"/>
        </w:rPr>
        <w:t xml:space="preserve">Articulo 2°.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Establecer la obligatoriedad para los laboratorios de control de calidad pertenecientes a los laboratorios de producción farmacéutica o laboratorios externos de control de calidad de implementar un método microbiológico de ensayo apropiado para la determinación del Complejo Burkholderia cepaci, microorganismo objetable, cuyo alcance corresponderá a agua calidad farmacéutica (producción propia o suministro externo)</w:t>
      </w:r>
      <w:r w:rsidR="002F4712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,</w:t>
      </w:r>
      <w:r w:rsidR="00B7328F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materias primas cuyo contenido de agua (actividad de agua -a w- ) esté por sobre 0,6 (</w:t>
      </w:r>
      <w:proofErr w:type="spellStart"/>
      <w:r w:rsidR="00B7328F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aw</w:t>
      </w:r>
      <w:proofErr w:type="spellEnd"/>
      <w:r w:rsidR="00B7328F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&gt; 0,6),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así como para productos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lastRenderedPageBreak/>
        <w:t>farmacéuticos terminados no estériles a base de agua, tales como preparaciones acuosas de uso oral, oromucosal, dérmicas, nasales y/o preparaciones para inhalación; con el fin de garantizar que los componentes de un producto farmacéutico y el lote del producto terminado antes de su distribución se encuentren libres de este contaminante.</w:t>
      </w:r>
    </w:p>
    <w:p w14:paraId="17A1ED75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color w:val="auto"/>
          <w:sz w:val="24"/>
          <w:szCs w:val="24"/>
          <w:shd w:val="clear" w:color="auto" w:fill="FFFFFF"/>
        </w:rPr>
      </w:pPr>
      <w:r w:rsidRPr="00213356">
        <w:rPr>
          <w:rFonts w:ascii="Tahoma" w:hAnsi="Tahoma" w:cs="Tahoma"/>
          <w:color w:val="auto"/>
          <w:sz w:val="29"/>
          <w:szCs w:val="29"/>
          <w:shd w:val="clear" w:color="auto" w:fill="FFFFFF"/>
        </w:rPr>
        <w:tab/>
      </w:r>
      <w:r w:rsidRPr="00213356">
        <w:rPr>
          <w:rFonts w:ascii="Tahoma" w:hAnsi="Tahoma" w:cs="Tahoma"/>
          <w:color w:val="auto"/>
          <w:sz w:val="29"/>
          <w:szCs w:val="29"/>
          <w:shd w:val="clear" w:color="auto" w:fill="FFFFFF"/>
        </w:rPr>
        <w:tab/>
      </w:r>
      <w:r w:rsidRPr="00213356">
        <w:rPr>
          <w:rFonts w:ascii="Tahoma" w:hAnsi="Tahoma" w:cs="Tahoma"/>
          <w:color w:val="auto"/>
          <w:sz w:val="24"/>
          <w:szCs w:val="24"/>
          <w:shd w:val="clear" w:color="auto" w:fill="FFFFFF"/>
        </w:rPr>
        <w:t>Los establecimientos de producción farmacéutica que posean sistemas propios de generación, almacenamiento y distribución de agua purificada (laboratorios farmacéuticos de producción y/o recetarios magistrales) deberán incorporar este método como parte de los programas de monitoreo rutinario de dichos sistemas.</w:t>
      </w:r>
    </w:p>
    <w:p w14:paraId="3A1F6BC2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</w:p>
    <w:p w14:paraId="6275CB8A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Articulo 3° La obligatoriedad de incorporar como parámetro microbiológico la ausencia del Complejo de </w:t>
      </w:r>
      <w:proofErr w:type="spellStart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Burkholderia</w:t>
      </w:r>
      <w:proofErr w:type="spellEnd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</w:t>
      </w:r>
      <w:proofErr w:type="spellStart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cepaci</w:t>
      </w:r>
      <w:r w:rsidR="008B778D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a</w:t>
      </w:r>
      <w:proofErr w:type="spellEnd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en las especificaciones de producto terminado de medicamentos no estériles a base de agua, con registro sanitario vigente, tales como preparaciones acuosas de uso oral, oromucosal, dérmicas, nasales y/o preparaciones para inhalación.</w:t>
      </w:r>
    </w:p>
    <w:p w14:paraId="5C0E53B5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</w:p>
    <w:p w14:paraId="2CAE3A25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</w:p>
    <w:p w14:paraId="32F96CCB" w14:textId="77777777" w:rsidR="00C17C80" w:rsidRPr="00213356" w:rsidRDefault="00C17C80" w:rsidP="00C17C8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Articulo 4° Implementar el método analítico para la detección del complejo Burkholderia cepaci</w:t>
      </w:r>
      <w:r w:rsidR="0029707A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,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el capítulo &lt;60&gt; Examen Microbiológico de Productos no Estériles: Pruebas para el Complejo </w:t>
      </w:r>
      <w:proofErr w:type="spellStart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Burkholderia</w:t>
      </w:r>
      <w:proofErr w:type="spellEnd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</w:t>
      </w:r>
      <w:proofErr w:type="spellStart"/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cepaci</w:t>
      </w:r>
      <w:r w:rsidR="008B778D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a</w:t>
      </w:r>
      <w:proofErr w:type="spellEnd"/>
      <w:r w:rsidR="0029707A"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>de la Farmacopea de Estados Unidos de América (USP), u otro método de detección validado.</w:t>
      </w:r>
    </w:p>
    <w:p w14:paraId="25CF68F0" w14:textId="77777777" w:rsidR="00C17C80" w:rsidRPr="00213356" w:rsidRDefault="00C17C80" w:rsidP="00C17C8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PY"/>
        </w:rPr>
      </w:pP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 xml:space="preserve">    </w:t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ab/>
      </w:r>
      <w:r w:rsidRPr="00213356">
        <w:rPr>
          <w:rFonts w:ascii="Tahoma" w:hAnsi="Tahoma" w:cs="Tahoma"/>
          <w:bCs/>
          <w:color w:val="auto"/>
          <w:sz w:val="24"/>
          <w:szCs w:val="24"/>
          <w:lang w:val="es-MX"/>
        </w:rPr>
        <w:tab/>
        <w:t>A causa de la existencia de métodos de control alternativos al recomendado; producto del advenimiento de nuevas tecnologías en el ámbito de la microbiología, se requerirá de la validación completa de ellos para su implementación."</w:t>
      </w:r>
    </w:p>
    <w:p w14:paraId="20F973B7" w14:textId="77777777" w:rsidR="00CB13D0" w:rsidRPr="00213356" w:rsidRDefault="00CB13D0">
      <w:pPr>
        <w:tabs>
          <w:tab w:val="left" w:pos="567"/>
        </w:tabs>
        <w:spacing w:after="0" w:line="240" w:lineRule="auto"/>
        <w:ind w:left="1418" w:right="0" w:hanging="1418"/>
        <w:rPr>
          <w:rFonts w:ascii="Tahoma" w:hAnsi="Tahoma" w:cs="Tahoma"/>
          <w:bCs/>
          <w:color w:val="auto"/>
          <w:sz w:val="24"/>
          <w:szCs w:val="24"/>
          <w:lang w:val="es-MX"/>
        </w:rPr>
      </w:pPr>
    </w:p>
    <w:p w14:paraId="1CD8F39F" w14:textId="77777777" w:rsidR="00533DDE" w:rsidRPr="00213356" w:rsidRDefault="00533DDE" w:rsidP="00C17C80">
      <w:pPr>
        <w:spacing w:after="0" w:line="240" w:lineRule="auto"/>
        <w:ind w:left="0"/>
        <w:rPr>
          <w:rFonts w:ascii="Tahoma" w:hAnsi="Tahoma" w:cs="Tahoma"/>
          <w:color w:val="auto"/>
        </w:rPr>
      </w:pPr>
    </w:p>
    <w:p w14:paraId="4A06E0D2" w14:textId="77777777" w:rsidR="00813CE3" w:rsidRPr="00213356" w:rsidRDefault="00533DDE" w:rsidP="00813CE3">
      <w:pPr>
        <w:spacing w:after="0" w:line="240" w:lineRule="auto"/>
        <w:ind w:left="4" w:right="788"/>
        <w:rPr>
          <w:rFonts w:ascii="Tahoma" w:hAnsi="Tahoma" w:cs="Tahoma"/>
          <w:color w:val="auto"/>
          <w:sz w:val="24"/>
          <w:szCs w:val="24"/>
          <w:lang w:val="es-MX"/>
        </w:rPr>
      </w:pPr>
      <w:r w:rsidRPr="00213356">
        <w:rPr>
          <w:rFonts w:ascii="Tahoma" w:hAnsi="Tahoma" w:cs="Tahoma"/>
          <w:color w:val="auto"/>
        </w:rPr>
        <w:t>Artículo</w:t>
      </w:r>
      <w:r w:rsidR="00813CE3" w:rsidRPr="00213356">
        <w:rPr>
          <w:rFonts w:ascii="Tahoma" w:hAnsi="Tahoma" w:cs="Tahoma"/>
          <w:color w:val="auto"/>
        </w:rPr>
        <w:t xml:space="preserve"> </w:t>
      </w:r>
      <w:r w:rsidR="00C17C80" w:rsidRPr="00213356">
        <w:rPr>
          <w:rFonts w:ascii="Tahoma" w:hAnsi="Tahoma" w:cs="Tahoma"/>
          <w:color w:val="auto"/>
        </w:rPr>
        <w:t>5</w:t>
      </w:r>
      <w:r w:rsidRPr="00213356">
        <w:rPr>
          <w:rFonts w:ascii="Tahoma" w:hAnsi="Tahoma" w:cs="Tahoma"/>
          <w:color w:val="auto"/>
        </w:rPr>
        <w:t xml:space="preserve">°. </w:t>
      </w:r>
      <w:r w:rsidR="00813CE3" w:rsidRPr="00213356">
        <w:rPr>
          <w:rFonts w:ascii="Tahoma" w:hAnsi="Tahoma" w:cs="Tahoma"/>
          <w:color w:val="auto"/>
        </w:rPr>
        <w:t xml:space="preserve"> Aprobar </w:t>
      </w:r>
      <w:r w:rsidRPr="00213356">
        <w:rPr>
          <w:rFonts w:ascii="Tahoma" w:hAnsi="Tahoma" w:cs="Tahoma"/>
          <w:color w:val="auto"/>
        </w:rPr>
        <w:t xml:space="preserve">Anexo I. </w:t>
      </w:r>
      <w:r w:rsidR="00813CE3" w:rsidRPr="00213356">
        <w:rPr>
          <w:rFonts w:ascii="Tahoma" w:hAnsi="Tahoma" w:cs="Tahoma"/>
          <w:color w:val="auto"/>
          <w:sz w:val="24"/>
          <w:szCs w:val="24"/>
          <w:lang w:val="es-MX"/>
        </w:rPr>
        <w:t>Plazos de implementación y fiscalización</w:t>
      </w:r>
    </w:p>
    <w:p w14:paraId="04EBABC3" w14:textId="77777777" w:rsidR="00813CE3" w:rsidRPr="00213356" w:rsidRDefault="00813CE3" w:rsidP="00813CE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602918A7" w14:textId="77777777" w:rsidR="00533DDE" w:rsidRPr="00213356" w:rsidRDefault="00533DDE" w:rsidP="00813CE3">
      <w:pPr>
        <w:tabs>
          <w:tab w:val="left" w:pos="567"/>
        </w:tabs>
        <w:spacing w:after="0" w:line="240" w:lineRule="auto"/>
        <w:ind w:left="1276" w:hanging="1266"/>
        <w:rPr>
          <w:rFonts w:ascii="Tahoma" w:hAnsi="Tahoma" w:cs="Tahoma"/>
          <w:color w:val="auto"/>
        </w:rPr>
      </w:pPr>
    </w:p>
    <w:p w14:paraId="23A39D14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  <w:r w:rsidRPr="00213356">
        <w:rPr>
          <w:rFonts w:ascii="Tahoma" w:hAnsi="Tahoma" w:cs="Tahoma"/>
          <w:b/>
          <w:color w:val="auto"/>
        </w:rPr>
        <w:t xml:space="preserve">Artículo </w:t>
      </w:r>
      <w:r w:rsidR="00C17C80" w:rsidRPr="00213356">
        <w:rPr>
          <w:rFonts w:ascii="Tahoma" w:hAnsi="Tahoma" w:cs="Tahoma"/>
          <w:b/>
          <w:color w:val="auto"/>
        </w:rPr>
        <w:t>6</w:t>
      </w:r>
      <w:r w:rsidRPr="00213356">
        <w:rPr>
          <w:rFonts w:ascii="Tahoma" w:hAnsi="Tahoma" w:cs="Tahoma"/>
          <w:b/>
          <w:color w:val="auto"/>
        </w:rPr>
        <w:t xml:space="preserve">°. </w:t>
      </w:r>
      <w:r w:rsidRPr="00213356">
        <w:rPr>
          <w:rFonts w:ascii="Tahoma" w:hAnsi="Tahoma" w:cs="Tahoma"/>
          <w:color w:val="auto"/>
        </w:rPr>
        <w:t>Comunicar a quienes corresponda, cumplido y archivar.</w:t>
      </w:r>
    </w:p>
    <w:p w14:paraId="56CDDD02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</w:p>
    <w:p w14:paraId="32A48047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</w:p>
    <w:p w14:paraId="6BD9E281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</w:p>
    <w:p w14:paraId="20D37057" w14:textId="77777777" w:rsidR="00533DDE" w:rsidRPr="00213356" w:rsidRDefault="00533DDE">
      <w:pPr>
        <w:spacing w:after="0" w:line="240" w:lineRule="auto"/>
        <w:rPr>
          <w:rFonts w:ascii="Tahoma" w:hAnsi="Tahoma" w:cs="Tahoma"/>
          <w:color w:val="auto"/>
        </w:rPr>
      </w:pPr>
    </w:p>
    <w:p w14:paraId="6A898EA6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color w:val="auto"/>
          <w:lang w:val="en-US"/>
        </w:rPr>
      </w:pPr>
      <w:r w:rsidRPr="00213356">
        <w:rPr>
          <w:rFonts w:ascii="Tahoma" w:hAnsi="Tahoma" w:cs="Tahoma"/>
          <w:color w:val="auto"/>
          <w:lang w:val="en-US"/>
        </w:rPr>
        <w:t xml:space="preserve">MSc Q.F. Jorge </w:t>
      </w:r>
      <w:proofErr w:type="spellStart"/>
      <w:r w:rsidRPr="00213356">
        <w:rPr>
          <w:rFonts w:ascii="Tahoma" w:hAnsi="Tahoma" w:cs="Tahoma"/>
          <w:color w:val="auto"/>
          <w:lang w:val="en-US"/>
        </w:rPr>
        <w:t>Illiou</w:t>
      </w:r>
      <w:proofErr w:type="spellEnd"/>
      <w:r w:rsidRPr="00213356">
        <w:rPr>
          <w:rFonts w:ascii="Tahoma" w:hAnsi="Tahoma" w:cs="Tahoma"/>
          <w:color w:val="auto"/>
          <w:lang w:val="en-US"/>
        </w:rPr>
        <w:t xml:space="preserve"> </w:t>
      </w:r>
      <w:proofErr w:type="spellStart"/>
      <w:r w:rsidRPr="00213356">
        <w:rPr>
          <w:rFonts w:ascii="Tahoma" w:hAnsi="Tahoma" w:cs="Tahoma"/>
          <w:color w:val="auto"/>
          <w:lang w:val="en-US"/>
        </w:rPr>
        <w:t>Silvero</w:t>
      </w:r>
      <w:proofErr w:type="spellEnd"/>
    </w:p>
    <w:p w14:paraId="3A32565D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color w:val="auto"/>
          <w:lang w:val="es-PY"/>
        </w:rPr>
      </w:pPr>
      <w:r w:rsidRPr="00213356">
        <w:rPr>
          <w:rFonts w:ascii="Tahoma" w:hAnsi="Tahoma" w:cs="Tahoma"/>
          <w:color w:val="auto"/>
          <w:lang w:val="es-PY"/>
        </w:rPr>
        <w:t>Director General</w:t>
      </w:r>
    </w:p>
    <w:p w14:paraId="38280261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color w:val="auto"/>
          <w:lang w:val="es-ES"/>
        </w:rPr>
      </w:pPr>
      <w:r w:rsidRPr="00213356">
        <w:rPr>
          <w:rFonts w:ascii="Tahoma" w:hAnsi="Tahoma" w:cs="Tahoma"/>
          <w:color w:val="auto"/>
          <w:lang w:val="es-ES"/>
        </w:rPr>
        <w:t>Dirección Nacional de Vigilancia Sanitaria</w:t>
      </w:r>
    </w:p>
    <w:p w14:paraId="71F01FD9" w14:textId="77777777" w:rsidR="00533DDE" w:rsidRPr="00213356" w:rsidRDefault="00533DDE">
      <w:pPr>
        <w:spacing w:after="0" w:line="240" w:lineRule="auto"/>
        <w:jc w:val="center"/>
        <w:rPr>
          <w:rFonts w:ascii="Tahoma" w:hAnsi="Tahoma" w:cs="Tahoma"/>
          <w:color w:val="auto"/>
          <w:lang w:val="es-ES"/>
        </w:rPr>
      </w:pPr>
    </w:p>
    <w:p w14:paraId="2402B528" w14:textId="77777777" w:rsidR="00533DDE" w:rsidRPr="00213356" w:rsidRDefault="00533DDE">
      <w:pPr>
        <w:spacing w:after="0"/>
        <w:rPr>
          <w:rFonts w:ascii="Tahoma" w:hAnsi="Tahoma" w:cs="Tahoma"/>
          <w:b/>
          <w:color w:val="auto"/>
          <w:sz w:val="24"/>
          <w:szCs w:val="24"/>
          <w:lang w:val="es-ES"/>
        </w:rPr>
      </w:pPr>
    </w:p>
    <w:p w14:paraId="16EC739C" w14:textId="718F456A" w:rsidR="00533DDE" w:rsidRDefault="00533DDE">
      <w:pPr>
        <w:rPr>
          <w:rFonts w:ascii="Tahoma" w:hAnsi="Tahoma" w:cs="Tahoma"/>
          <w:b/>
          <w:color w:val="auto"/>
          <w:sz w:val="24"/>
          <w:lang w:val="es-ES"/>
        </w:rPr>
      </w:pPr>
    </w:p>
    <w:p w14:paraId="6A70B29C" w14:textId="77777777" w:rsidR="00553738" w:rsidRPr="00213356" w:rsidRDefault="00553738">
      <w:pPr>
        <w:rPr>
          <w:rFonts w:ascii="Tahoma" w:hAnsi="Tahoma" w:cs="Tahoma"/>
          <w:b/>
          <w:color w:val="auto"/>
          <w:sz w:val="24"/>
          <w:lang w:val="es-ES"/>
        </w:rPr>
      </w:pPr>
    </w:p>
    <w:p w14:paraId="081BE45E" w14:textId="77777777" w:rsidR="00533DDE" w:rsidRPr="00213356" w:rsidRDefault="00533DDE">
      <w:pPr>
        <w:rPr>
          <w:rFonts w:ascii="Tahoma" w:hAnsi="Tahoma" w:cs="Tahoma"/>
          <w:b/>
          <w:color w:val="auto"/>
          <w:sz w:val="24"/>
          <w:lang w:val="es-ES"/>
        </w:rPr>
      </w:pPr>
    </w:p>
    <w:p w14:paraId="3114A292" w14:textId="77777777" w:rsidR="00533DDE" w:rsidRPr="00213356" w:rsidRDefault="00533DDE">
      <w:pPr>
        <w:spacing w:after="0" w:line="240" w:lineRule="auto"/>
        <w:ind w:left="4" w:right="788"/>
        <w:jc w:val="center"/>
        <w:rPr>
          <w:rFonts w:ascii="Tahoma" w:hAnsi="Tahoma" w:cs="Tahoma"/>
          <w:b/>
          <w:color w:val="auto"/>
          <w:sz w:val="28"/>
          <w:szCs w:val="28"/>
        </w:rPr>
      </w:pPr>
      <w:r w:rsidRPr="00213356">
        <w:rPr>
          <w:rFonts w:ascii="Tahoma" w:hAnsi="Tahoma" w:cs="Tahoma"/>
          <w:b/>
          <w:color w:val="auto"/>
          <w:sz w:val="28"/>
          <w:szCs w:val="28"/>
        </w:rPr>
        <w:lastRenderedPageBreak/>
        <w:t>ANEXO I</w:t>
      </w:r>
    </w:p>
    <w:p w14:paraId="7FAD8C42" w14:textId="77777777" w:rsidR="00533DDE" w:rsidRPr="00213356" w:rsidRDefault="00533DDE">
      <w:pPr>
        <w:spacing w:after="0" w:line="240" w:lineRule="auto"/>
        <w:ind w:left="4" w:right="788"/>
        <w:jc w:val="center"/>
        <w:rPr>
          <w:rFonts w:ascii="Tahoma" w:hAnsi="Tahoma" w:cs="Tahoma"/>
          <w:color w:val="auto"/>
        </w:rPr>
      </w:pPr>
    </w:p>
    <w:p w14:paraId="3FEABC48" w14:textId="77777777" w:rsidR="00533DDE" w:rsidRPr="00213356" w:rsidRDefault="00533DDE">
      <w:pPr>
        <w:spacing w:after="0" w:line="240" w:lineRule="auto"/>
        <w:ind w:left="4" w:right="788"/>
        <w:jc w:val="center"/>
        <w:rPr>
          <w:rFonts w:ascii="Tahoma" w:hAnsi="Tahoma" w:cs="Tahoma"/>
          <w:b/>
          <w:color w:val="auto"/>
          <w:sz w:val="24"/>
          <w:szCs w:val="24"/>
          <w:lang w:val="es-MX"/>
        </w:rPr>
      </w:pPr>
      <w:r w:rsidRPr="00213356">
        <w:rPr>
          <w:rFonts w:ascii="Tahoma" w:hAnsi="Tahoma" w:cs="Tahoma"/>
          <w:b/>
          <w:color w:val="auto"/>
          <w:sz w:val="24"/>
          <w:szCs w:val="24"/>
          <w:lang w:val="es-MX"/>
        </w:rPr>
        <w:t xml:space="preserve">PLAZOS PARA LA IMPEMENTACIÓN Y FISCALIZACIÓN </w:t>
      </w:r>
    </w:p>
    <w:tbl>
      <w:tblPr>
        <w:tblpPr w:leftFromText="141" w:rightFromText="141" w:vertAnchor="text" w:horzAnchor="margin" w:tblpXSpec="center" w:tblpY="228"/>
        <w:tblW w:w="6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94"/>
        <w:gridCol w:w="2268"/>
        <w:gridCol w:w="1843"/>
      </w:tblGrid>
      <w:tr w:rsidR="00213356" w:rsidRPr="00213356" w14:paraId="0DF0E7D4" w14:textId="77777777" w:rsidTr="002F4712">
        <w:tc>
          <w:tcPr>
            <w:tcW w:w="2594" w:type="dxa"/>
            <w:shd w:val="clear" w:color="auto" w:fill="auto"/>
          </w:tcPr>
          <w:p w14:paraId="2B45FD2F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</w:pPr>
          </w:p>
          <w:p w14:paraId="370EC48C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</w:pPr>
            <w:r w:rsidRPr="00213356"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  <w:t>ACTIVIDADES</w:t>
            </w:r>
          </w:p>
        </w:tc>
        <w:tc>
          <w:tcPr>
            <w:tcW w:w="2268" w:type="dxa"/>
            <w:shd w:val="clear" w:color="auto" w:fill="auto"/>
          </w:tcPr>
          <w:p w14:paraId="4C970BD8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16"/>
                <w:szCs w:val="18"/>
                <w:lang w:val="es-MX"/>
              </w:rPr>
            </w:pPr>
            <w:r w:rsidRPr="00213356">
              <w:rPr>
                <w:rFonts w:ascii="Tahoma" w:hAnsi="Tahoma" w:cs="Tahoma"/>
                <w:b/>
                <w:color w:val="auto"/>
                <w:sz w:val="16"/>
                <w:szCs w:val="18"/>
                <w:lang w:val="es-MX"/>
              </w:rPr>
              <w:t>FUENTE DE VERIFICACION</w:t>
            </w:r>
          </w:p>
        </w:tc>
        <w:tc>
          <w:tcPr>
            <w:tcW w:w="1843" w:type="dxa"/>
            <w:shd w:val="clear" w:color="auto" w:fill="auto"/>
          </w:tcPr>
          <w:p w14:paraId="59AE4744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  <w:r w:rsidRPr="00213356">
              <w:rPr>
                <w:rFonts w:ascii="Tahoma" w:hAnsi="Tahoma" w:cs="Tahoma"/>
                <w:b/>
                <w:color w:val="auto"/>
                <w:sz w:val="18"/>
                <w:szCs w:val="18"/>
                <w:lang w:val="es-MX"/>
              </w:rPr>
              <w:t>PLAZOS</w:t>
            </w:r>
          </w:p>
        </w:tc>
      </w:tr>
      <w:tr w:rsidR="00213356" w:rsidRPr="00213356" w14:paraId="6AA93F6A" w14:textId="77777777" w:rsidTr="002F4712">
        <w:tc>
          <w:tcPr>
            <w:tcW w:w="2594" w:type="dxa"/>
            <w:shd w:val="clear" w:color="auto" w:fill="auto"/>
          </w:tcPr>
          <w:p w14:paraId="6DFA679C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Cs/>
                <w:color w:val="auto"/>
                <w:sz w:val="20"/>
                <w:szCs w:val="20"/>
                <w:lang w:val="es-MX"/>
              </w:rPr>
            </w:pPr>
          </w:p>
          <w:p w14:paraId="3A65C355" w14:textId="70FB90E1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Cs/>
                <w:color w:val="auto"/>
                <w:sz w:val="16"/>
                <w:szCs w:val="16"/>
                <w:lang w:val="es-MX"/>
              </w:rPr>
            </w:pPr>
            <w:r w:rsidRPr="00213356">
              <w:rPr>
                <w:rFonts w:ascii="Tahoma" w:hAnsi="Tahoma" w:cs="Tahoma"/>
                <w:bCs/>
                <w:color w:val="auto"/>
                <w:sz w:val="16"/>
                <w:szCs w:val="16"/>
                <w:lang w:val="es-MX"/>
              </w:rPr>
              <w:t xml:space="preserve">Implementación del ensayo para agua de calidad farmacéutica </w:t>
            </w:r>
            <w:r w:rsidR="00553738">
              <w:rPr>
                <w:rFonts w:ascii="Tahoma" w:hAnsi="Tahoma" w:cs="Tahoma"/>
                <w:bCs/>
                <w:color w:val="auto"/>
                <w:sz w:val="16"/>
                <w:szCs w:val="16"/>
                <w:lang w:val="es-MX"/>
              </w:rPr>
              <w:t>y materia prima</w:t>
            </w:r>
          </w:p>
        </w:tc>
        <w:tc>
          <w:tcPr>
            <w:tcW w:w="2268" w:type="dxa"/>
            <w:shd w:val="clear" w:color="auto" w:fill="auto"/>
          </w:tcPr>
          <w:p w14:paraId="6D0370DD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rPr>
                <w:rFonts w:ascii="Tahoma" w:hAnsi="Tahoma" w:cs="Tahoma"/>
                <w:bCs/>
                <w:color w:val="auto"/>
                <w:sz w:val="24"/>
                <w:szCs w:val="24"/>
                <w:lang w:val="es-MX"/>
              </w:rPr>
            </w:pPr>
            <w:r w:rsidRPr="00213356">
              <w:rPr>
                <w:rFonts w:ascii="Tahoma" w:hAnsi="Tahoma" w:cs="Tahoma"/>
                <w:bCs/>
                <w:color w:val="auto"/>
                <w:sz w:val="24"/>
                <w:szCs w:val="24"/>
                <w:lang w:val="es-MX"/>
              </w:rPr>
              <w:t>I</w:t>
            </w:r>
            <w:r w:rsidRPr="00213356">
              <w:rPr>
                <w:rFonts w:ascii="Tahoma" w:hAnsi="Tahoma" w:cs="Tahoma"/>
                <w:bCs/>
                <w:color w:val="auto"/>
                <w:sz w:val="20"/>
                <w:szCs w:val="20"/>
                <w:lang w:val="es-MX"/>
              </w:rPr>
              <w:t>nspecciones de fiscalización</w:t>
            </w:r>
          </w:p>
        </w:tc>
        <w:tc>
          <w:tcPr>
            <w:tcW w:w="1843" w:type="dxa"/>
            <w:shd w:val="clear" w:color="auto" w:fill="auto"/>
          </w:tcPr>
          <w:p w14:paraId="380DB816" w14:textId="77777777" w:rsidR="002F4712" w:rsidRPr="00213356" w:rsidRDefault="002F4712" w:rsidP="007E6A93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val="es-MX"/>
              </w:rPr>
            </w:pPr>
          </w:p>
          <w:p w14:paraId="015BE9C1" w14:textId="77777777" w:rsidR="002F4712" w:rsidRPr="00213356" w:rsidRDefault="002F4712" w:rsidP="007E6A93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16"/>
                <w:szCs w:val="16"/>
                <w:lang w:val="es-MX"/>
              </w:rPr>
            </w:pPr>
            <w:r w:rsidRPr="00213356">
              <w:rPr>
                <w:rFonts w:ascii="Tahoma" w:hAnsi="Tahoma" w:cs="Tahoma"/>
                <w:b/>
                <w:color w:val="auto"/>
                <w:sz w:val="16"/>
                <w:szCs w:val="16"/>
                <w:lang w:val="es-MX"/>
              </w:rPr>
              <w:t>Seis meses</w:t>
            </w:r>
          </w:p>
          <w:p w14:paraId="3E2348B6" w14:textId="77777777" w:rsidR="002F4712" w:rsidRPr="00213356" w:rsidRDefault="002F4712" w:rsidP="007E6A93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  <w:lang w:val="es-MX"/>
              </w:rPr>
            </w:pPr>
          </w:p>
        </w:tc>
      </w:tr>
      <w:tr w:rsidR="00213356" w:rsidRPr="00213356" w14:paraId="430B4AD0" w14:textId="77777777" w:rsidTr="002F4712">
        <w:tc>
          <w:tcPr>
            <w:tcW w:w="2594" w:type="dxa"/>
            <w:shd w:val="clear" w:color="auto" w:fill="auto"/>
          </w:tcPr>
          <w:p w14:paraId="79F2ADE1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Cs/>
                <w:color w:val="auto"/>
                <w:sz w:val="18"/>
                <w:szCs w:val="18"/>
                <w:lang w:val="es-MX"/>
              </w:rPr>
            </w:pPr>
            <w:r w:rsidRPr="00213356">
              <w:rPr>
                <w:rFonts w:ascii="Tahoma" w:hAnsi="Tahoma" w:cs="Tahoma"/>
                <w:bCs/>
                <w:color w:val="auto"/>
                <w:sz w:val="18"/>
                <w:szCs w:val="18"/>
                <w:lang w:val="es-MX"/>
              </w:rPr>
              <w:t xml:space="preserve">Implementación del ensayo para productos terminados (nacionales </w:t>
            </w:r>
            <w:r w:rsidR="008B778D" w:rsidRPr="00213356">
              <w:rPr>
                <w:rFonts w:ascii="Tahoma" w:hAnsi="Tahoma" w:cs="Tahoma"/>
                <w:bCs/>
                <w:color w:val="auto"/>
                <w:sz w:val="18"/>
                <w:szCs w:val="18"/>
                <w:lang w:val="es-MX"/>
              </w:rPr>
              <w:t>e importados</w:t>
            </w:r>
            <w:r w:rsidRPr="00213356">
              <w:rPr>
                <w:rFonts w:ascii="Tahoma" w:hAnsi="Tahoma" w:cs="Tahoma"/>
                <w:bCs/>
                <w:color w:val="auto"/>
                <w:sz w:val="18"/>
                <w:szCs w:val="18"/>
                <w:lang w:val="es-MX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E0591EA" w14:textId="77777777" w:rsidR="002F4712" w:rsidRPr="00213356" w:rsidRDefault="002F4712" w:rsidP="008505ED">
            <w:pPr>
              <w:widowControl w:val="0"/>
              <w:spacing w:after="0" w:line="240" w:lineRule="auto"/>
              <w:ind w:right="788"/>
              <w:rPr>
                <w:rFonts w:ascii="Tahoma" w:hAnsi="Tahoma" w:cs="Tahoma"/>
                <w:bCs/>
                <w:color w:val="auto"/>
                <w:sz w:val="24"/>
                <w:szCs w:val="24"/>
                <w:lang w:val="es-MX"/>
              </w:rPr>
            </w:pPr>
            <w:r w:rsidRPr="00213356">
              <w:rPr>
                <w:rFonts w:ascii="Tahoma" w:hAnsi="Tahoma" w:cs="Tahoma"/>
                <w:bCs/>
                <w:color w:val="auto"/>
                <w:sz w:val="24"/>
                <w:szCs w:val="24"/>
                <w:lang w:val="es-MX"/>
              </w:rPr>
              <w:t>I</w:t>
            </w:r>
            <w:r w:rsidRPr="00213356">
              <w:rPr>
                <w:rFonts w:ascii="Tahoma" w:hAnsi="Tahoma" w:cs="Tahoma"/>
                <w:bCs/>
                <w:color w:val="auto"/>
                <w:sz w:val="20"/>
                <w:szCs w:val="20"/>
                <w:lang w:val="es-MX"/>
              </w:rPr>
              <w:t>nspecciones de fiscalización</w:t>
            </w:r>
          </w:p>
        </w:tc>
        <w:tc>
          <w:tcPr>
            <w:tcW w:w="1843" w:type="dxa"/>
            <w:shd w:val="clear" w:color="auto" w:fill="auto"/>
          </w:tcPr>
          <w:p w14:paraId="66BB9D8A" w14:textId="77777777" w:rsidR="002F4712" w:rsidRPr="00213356" w:rsidRDefault="002F4712" w:rsidP="002F4712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</w:pPr>
          </w:p>
          <w:p w14:paraId="4697A7C0" w14:textId="77777777" w:rsidR="002F4712" w:rsidRPr="00213356" w:rsidRDefault="002F4712" w:rsidP="002F4712">
            <w:pPr>
              <w:widowControl w:val="0"/>
              <w:spacing w:after="0" w:line="240" w:lineRule="auto"/>
              <w:ind w:right="788"/>
              <w:jc w:val="center"/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</w:pPr>
            <w:r w:rsidRPr="00213356">
              <w:rPr>
                <w:rFonts w:ascii="Tahoma" w:hAnsi="Tahoma" w:cs="Tahoma"/>
                <w:b/>
                <w:color w:val="auto"/>
                <w:sz w:val="20"/>
                <w:szCs w:val="20"/>
                <w:lang w:val="es-MX"/>
              </w:rPr>
              <w:t xml:space="preserve">12 meses </w:t>
            </w:r>
          </w:p>
        </w:tc>
      </w:tr>
    </w:tbl>
    <w:p w14:paraId="3190EB90" w14:textId="77777777" w:rsidR="00533DDE" w:rsidRPr="00213356" w:rsidRDefault="00533DDE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1FA9C6C9" w14:textId="77777777" w:rsidR="00533DDE" w:rsidRPr="00213356" w:rsidRDefault="00533DDE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4F3BCDD5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445442CA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6F931420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7877FA2C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2DC54F37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057CB3BF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1C0853CC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06836F70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7B56C33F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4A8D447E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28897250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3BF3270D" w14:textId="77777777" w:rsidR="00251423" w:rsidRPr="00213356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color w:val="auto"/>
          <w:sz w:val="24"/>
          <w:szCs w:val="24"/>
        </w:rPr>
      </w:pPr>
    </w:p>
    <w:p w14:paraId="7A2DFC34" w14:textId="77777777" w:rsidR="00251423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sz w:val="24"/>
          <w:szCs w:val="24"/>
        </w:rPr>
      </w:pPr>
    </w:p>
    <w:p w14:paraId="513158F7" w14:textId="77777777" w:rsidR="00251423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sz w:val="24"/>
          <w:szCs w:val="24"/>
        </w:rPr>
      </w:pPr>
    </w:p>
    <w:p w14:paraId="6D2EE228" w14:textId="77777777" w:rsidR="00251423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sz w:val="24"/>
          <w:szCs w:val="24"/>
        </w:rPr>
      </w:pPr>
    </w:p>
    <w:p w14:paraId="3AA6FDFC" w14:textId="77777777" w:rsidR="00251423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sz w:val="24"/>
          <w:szCs w:val="24"/>
        </w:rPr>
      </w:pPr>
    </w:p>
    <w:p w14:paraId="336A844A" w14:textId="77777777" w:rsidR="00251423" w:rsidRDefault="00251423">
      <w:pPr>
        <w:spacing w:after="0" w:line="240" w:lineRule="auto"/>
        <w:ind w:left="364" w:right="788"/>
        <w:jc w:val="left"/>
        <w:rPr>
          <w:rFonts w:ascii="Tahoma" w:hAnsi="Tahoma" w:cs="Tahoma"/>
          <w:b/>
          <w:sz w:val="24"/>
          <w:szCs w:val="24"/>
        </w:rPr>
      </w:pPr>
    </w:p>
    <w:sectPr w:rsidR="00251423" w:rsidSect="007E6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/>
      <w:pgMar w:top="1417" w:right="1750" w:bottom="1417" w:left="1276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FFAEE" w14:textId="77777777" w:rsidR="001A621A" w:rsidRDefault="001A621A">
      <w:pPr>
        <w:spacing w:after="0" w:line="240" w:lineRule="auto"/>
      </w:pPr>
      <w:r>
        <w:separator/>
      </w:r>
    </w:p>
  </w:endnote>
  <w:endnote w:type="continuationSeparator" w:id="0">
    <w:p w14:paraId="01B34ABC" w14:textId="77777777" w:rsidR="001A621A" w:rsidRDefault="001A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inyon Script">
    <w:altName w:val="Calibri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36B45" w14:textId="77777777" w:rsidR="007F3F8E" w:rsidRDefault="007F3F8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EFF5" w14:textId="77777777" w:rsidR="007F3F8E" w:rsidRDefault="007F3F8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97319" w14:textId="77777777" w:rsidR="007F3F8E" w:rsidRDefault="007F3F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92D18" w14:textId="77777777" w:rsidR="001A621A" w:rsidRDefault="001A621A">
      <w:pPr>
        <w:spacing w:after="0" w:line="240" w:lineRule="auto"/>
      </w:pPr>
      <w:r>
        <w:separator/>
      </w:r>
    </w:p>
  </w:footnote>
  <w:footnote w:type="continuationSeparator" w:id="0">
    <w:p w14:paraId="025875D5" w14:textId="77777777" w:rsidR="001A621A" w:rsidRDefault="001A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5C2CE" w14:textId="77777777" w:rsidR="007F3F8E" w:rsidRDefault="007F3F8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9B902" w14:textId="77777777" w:rsidR="00533DDE" w:rsidRDefault="00533DDE">
    <w:pPr>
      <w:pStyle w:val="Standard"/>
      <w:tabs>
        <w:tab w:val="center" w:pos="4252"/>
        <w:tab w:val="right" w:pos="8504"/>
      </w:tabs>
      <w:jc w:val="center"/>
      <w:rPr>
        <w:rFonts w:ascii="Pinyon Script" w:eastAsia="Pinyon Script" w:hAnsi="Pinyon Script" w:cs="Pinyon Script"/>
        <w:i/>
        <w:color w:val="000000"/>
        <w:sz w:val="24"/>
        <w:szCs w:val="24"/>
      </w:rPr>
    </w:pPr>
    <w:r>
      <w:rPr>
        <w:rFonts w:ascii="Pinyon Script" w:eastAsia="Pinyon Script" w:hAnsi="Pinyon Script" w:cs="Pinyon Script"/>
        <w:i/>
        <w:color w:val="000000"/>
        <w:sz w:val="24"/>
        <w:szCs w:val="24"/>
      </w:rPr>
      <w:t>“Sesquicentenario de la Epopeya Nacional: 1864 – 1870”</w:t>
    </w:r>
  </w:p>
  <w:p w14:paraId="610B2757" w14:textId="77777777" w:rsidR="00533DDE" w:rsidRDefault="00533DDE">
    <w:pPr>
      <w:pStyle w:val="Standard"/>
      <w:jc w:val="center"/>
      <w:rPr>
        <w:i/>
        <w:color w:val="000000"/>
        <w:sz w:val="24"/>
        <w:szCs w:val="24"/>
      </w:rPr>
    </w:pPr>
  </w:p>
  <w:p w14:paraId="03F1157E" w14:textId="77777777" w:rsidR="00533DDE" w:rsidRDefault="004835E6">
    <w:pPr>
      <w:pStyle w:val="Standard"/>
      <w:jc w:val="center"/>
    </w:pPr>
    <w:r>
      <w:rPr>
        <w:noProof/>
        <w:lang w:val="es-AR" w:eastAsia="es-AR" w:bidi="ar-SA"/>
      </w:rPr>
      <w:drawing>
        <wp:inline distT="0" distB="0" distL="0" distR="0" wp14:anchorId="5EC3DDF8" wp14:editId="1B27521B">
          <wp:extent cx="586105" cy="531495"/>
          <wp:effectExtent l="0" t="0" r="0" b="0"/>
          <wp:docPr id="1411572244" name="Imagen 141157224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D230EE" w14:textId="77777777" w:rsidR="00533DDE" w:rsidRDefault="00533DDE">
    <w:pPr>
      <w:pStyle w:val="Standard"/>
      <w:jc w:val="center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Poder Ejecutivo</w:t>
    </w:r>
  </w:p>
  <w:p w14:paraId="64ABF01A" w14:textId="77777777" w:rsidR="00533DDE" w:rsidRDefault="00533DDE">
    <w:pPr>
      <w:pStyle w:val="Standard"/>
      <w:jc w:val="center"/>
      <w:rPr>
        <w:b/>
        <w:i/>
        <w:color w:val="000000"/>
        <w:sz w:val="20"/>
        <w:szCs w:val="20"/>
      </w:rPr>
    </w:pPr>
    <w:r>
      <w:rPr>
        <w:b/>
        <w:i/>
        <w:color w:val="000000"/>
        <w:sz w:val="20"/>
        <w:szCs w:val="20"/>
      </w:rPr>
      <w:t>Dirección Nacional de Vigilancia Sanitaria</w:t>
    </w:r>
  </w:p>
  <w:p w14:paraId="332706E3" w14:textId="77777777" w:rsidR="00533DDE" w:rsidRDefault="00533DDE">
    <w:pPr>
      <w:pStyle w:val="Standard"/>
      <w:keepNext/>
      <w:numPr>
        <w:ilvl w:val="0"/>
        <w:numId w:val="1"/>
      </w:numPr>
      <w:jc w:val="center"/>
      <w:rPr>
        <w:b/>
        <w:i/>
        <w:color w:val="000000"/>
      </w:rPr>
    </w:pPr>
    <w:r>
      <w:rPr>
        <w:b/>
        <w:i/>
        <w:color w:val="000000"/>
        <w:sz w:val="20"/>
        <w:szCs w:val="20"/>
      </w:rPr>
      <w:t>Resolución DINAVISA N°_______</w:t>
    </w:r>
  </w:p>
  <w:p w14:paraId="7B400C73" w14:textId="77777777" w:rsidR="00533DDE" w:rsidRDefault="00533DDE">
    <w:pPr>
      <w:pStyle w:val="Encabezado"/>
      <w:rPr>
        <w:rFonts w:ascii="Tahoma" w:hAnsi="Tahoma" w:cs="Tahoma"/>
        <w:sz w:val="24"/>
        <w:lang w:val="es-ES"/>
      </w:rPr>
    </w:pPr>
  </w:p>
  <w:p w14:paraId="632A9DBF" w14:textId="77777777" w:rsidR="00533DDE" w:rsidRDefault="00533DDE">
    <w:pPr>
      <w:rPr>
        <w:rFonts w:ascii="Century Gothic" w:hAnsi="Century Gothic" w:cs="Arial"/>
        <w:color w:val="auto"/>
        <w:sz w:val="24"/>
        <w:szCs w:val="24"/>
        <w:lang w:val="es-PY" w:eastAsia="es-PY"/>
      </w:rPr>
    </w:pPr>
    <w:r>
      <w:rPr>
        <w:rFonts w:ascii="Century Gothic" w:hAnsi="Century Gothic" w:cs="Arial"/>
        <w:b/>
      </w:rPr>
      <w:t xml:space="preserve">“POR LA CUAL SE </w:t>
    </w:r>
    <w:r>
      <w:rPr>
        <w:rFonts w:ascii="Century Gothic" w:hAnsi="Century Gothic" w:cs="Arial"/>
        <w:b/>
        <w:lang w:val="es-MX"/>
      </w:rPr>
      <w:t xml:space="preserve">ESTABLECE LA OBLIGATORIEDAD DE IMPLEMENTAR EL MÉTODO DE </w:t>
    </w:r>
    <w:r w:rsidRPr="00213356">
      <w:rPr>
        <w:rFonts w:ascii="Century Gothic" w:hAnsi="Century Gothic" w:cs="Arial"/>
        <w:b/>
        <w:color w:val="auto"/>
        <w:lang w:val="es-MX"/>
      </w:rPr>
      <w:t xml:space="preserve">ENSAYO PARA LA DETERMIANCIÓN DEL COMPLEJO BURKHOLDERIA CEPACIA EN </w:t>
    </w:r>
    <w:r w:rsidR="00B7328F" w:rsidRPr="00213356">
      <w:rPr>
        <w:rFonts w:ascii="Century Gothic" w:hAnsi="Century Gothic" w:cs="Arial"/>
        <w:b/>
        <w:color w:val="auto"/>
        <w:lang w:val="es-MX"/>
      </w:rPr>
      <w:t xml:space="preserve">AGUA, </w:t>
    </w:r>
    <w:r w:rsidRPr="00213356">
      <w:rPr>
        <w:rFonts w:ascii="Century Gothic" w:hAnsi="Century Gothic" w:cs="Arial"/>
        <w:b/>
        <w:color w:val="auto"/>
        <w:lang w:val="es-MX"/>
      </w:rPr>
      <w:t xml:space="preserve">MATERIA PRIMA Y PRODUCTOS </w:t>
    </w:r>
    <w:r w:rsidR="00813CE3" w:rsidRPr="00213356">
      <w:rPr>
        <w:rFonts w:ascii="Century Gothic" w:hAnsi="Century Gothic" w:cs="Arial"/>
        <w:b/>
        <w:color w:val="auto"/>
        <w:lang w:val="es-MX"/>
      </w:rPr>
      <w:t>TERMINADOS</w:t>
    </w:r>
    <w:r w:rsidR="00B7328F" w:rsidRPr="00213356">
      <w:rPr>
        <w:rFonts w:ascii="Century Gothic" w:hAnsi="Century Gothic" w:cs="Arial"/>
        <w:b/>
        <w:color w:val="auto"/>
        <w:lang w:val="es-MX"/>
      </w:rPr>
      <w:t xml:space="preserve"> NACIONALES E IMPORTADOS</w:t>
    </w:r>
    <w:r w:rsidR="00813CE3" w:rsidRPr="00213356">
      <w:rPr>
        <w:rFonts w:ascii="Century Gothic" w:hAnsi="Century Gothic" w:cs="Arial"/>
        <w:b/>
        <w:color w:val="auto"/>
        <w:lang w:val="es-MX"/>
      </w:rPr>
      <w:t>”</w:t>
    </w:r>
  </w:p>
  <w:p w14:paraId="74F29FE5" w14:textId="77777777" w:rsidR="00533DDE" w:rsidRDefault="00533DDE">
    <w:pPr>
      <w:spacing w:after="0"/>
      <w:rPr>
        <w:rFonts w:ascii="Tahoma" w:hAnsi="Tahoma" w:cs="Tahoma"/>
        <w:b/>
      </w:rPr>
    </w:pPr>
    <w:r>
      <w:rPr>
        <w:rFonts w:ascii="Tahoma" w:hAnsi="Tahoma" w:cs="Tahoma"/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DCBCF" w14:textId="77777777" w:rsidR="007F3F8E" w:rsidRDefault="007F3F8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5521"/>
    <w:multiLevelType w:val="multilevel"/>
    <w:tmpl w:val="55EB5521"/>
    <w:lvl w:ilvl="0">
      <w:start w:val="1"/>
      <w:numFmt w:val="none"/>
      <w:lvlText w:val="%1​"/>
      <w:lvlJc w:val="left"/>
      <w:pPr>
        <w:ind w:left="432" w:hanging="432"/>
      </w:pPr>
      <w:rPr>
        <w:rFonts w:ascii="Times New Roman" w:hAnsi="Times New Roman"/>
        <w:b w:val="0"/>
        <w:position w:val="0"/>
        <w:sz w:val="20"/>
        <w:vertAlign w:val="baseline"/>
      </w:rPr>
    </w:lvl>
    <w:lvl w:ilvl="1">
      <w:start w:val="1"/>
      <w:numFmt w:val="none"/>
      <w:lvlText w:val="%2​"/>
      <w:lvlJc w:val="left"/>
      <w:pPr>
        <w:ind w:left="576" w:hanging="576"/>
      </w:pPr>
      <w:rPr>
        <w:position w:val="0"/>
        <w:vertAlign w:val="baseline"/>
      </w:rPr>
    </w:lvl>
    <w:lvl w:ilvl="2">
      <w:start w:val="1"/>
      <w:numFmt w:val="none"/>
      <w:lvlText w:val="%3​"/>
      <w:lvlJc w:val="left"/>
      <w:pPr>
        <w:ind w:left="720" w:hanging="720"/>
      </w:pPr>
      <w:rPr>
        <w:position w:val="0"/>
        <w:vertAlign w:val="baseline"/>
      </w:rPr>
    </w:lvl>
    <w:lvl w:ilvl="3">
      <w:start w:val="1"/>
      <w:numFmt w:val="none"/>
      <w:lvlText w:val="%4​"/>
      <w:lvlJc w:val="left"/>
      <w:pPr>
        <w:ind w:left="864" w:hanging="864"/>
      </w:pPr>
      <w:rPr>
        <w:position w:val="0"/>
        <w:vertAlign w:val="baseline"/>
      </w:rPr>
    </w:lvl>
    <w:lvl w:ilvl="4">
      <w:start w:val="1"/>
      <w:numFmt w:val="none"/>
      <w:lvlText w:val="%5​"/>
      <w:lvlJc w:val="left"/>
      <w:pPr>
        <w:ind w:left="1008" w:hanging="1008"/>
      </w:pPr>
      <w:rPr>
        <w:position w:val="0"/>
        <w:vertAlign w:val="baseline"/>
      </w:rPr>
    </w:lvl>
    <w:lvl w:ilvl="5">
      <w:start w:val="1"/>
      <w:numFmt w:val="none"/>
      <w:lvlText w:val="%6​"/>
      <w:lvlJc w:val="left"/>
      <w:pPr>
        <w:ind w:left="1152" w:hanging="1152"/>
      </w:pPr>
      <w:rPr>
        <w:position w:val="0"/>
        <w:vertAlign w:val="baseline"/>
      </w:rPr>
    </w:lvl>
    <w:lvl w:ilvl="6">
      <w:start w:val="1"/>
      <w:numFmt w:val="none"/>
      <w:lvlText w:val="%7​"/>
      <w:lvlJc w:val="left"/>
      <w:pPr>
        <w:ind w:left="1296" w:hanging="1296"/>
      </w:pPr>
      <w:rPr>
        <w:position w:val="0"/>
        <w:vertAlign w:val="baseline"/>
      </w:rPr>
    </w:lvl>
    <w:lvl w:ilvl="7">
      <w:start w:val="1"/>
      <w:numFmt w:val="none"/>
      <w:lvlText w:val="%8​"/>
      <w:lvlJc w:val="left"/>
      <w:pPr>
        <w:ind w:left="1440" w:hanging="1440"/>
      </w:pPr>
      <w:rPr>
        <w:position w:val="0"/>
        <w:vertAlign w:val="baseline"/>
      </w:rPr>
    </w:lvl>
    <w:lvl w:ilvl="8">
      <w:start w:val="1"/>
      <w:numFmt w:val="none"/>
      <w:lvlText w:val="%9​"/>
      <w:lvlJc w:val="left"/>
      <w:pPr>
        <w:ind w:left="1584" w:hanging="1584"/>
      </w:pPr>
      <w:rPr>
        <w:position w:val="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6E"/>
    <w:rsid w:val="00000CD7"/>
    <w:rsid w:val="000141F4"/>
    <w:rsid w:val="00017E71"/>
    <w:rsid w:val="00025288"/>
    <w:rsid w:val="00056285"/>
    <w:rsid w:val="00076D1D"/>
    <w:rsid w:val="0008082D"/>
    <w:rsid w:val="000978C9"/>
    <w:rsid w:val="000A7C59"/>
    <w:rsid w:val="000C2CB0"/>
    <w:rsid w:val="000E36CF"/>
    <w:rsid w:val="000F763D"/>
    <w:rsid w:val="00117F55"/>
    <w:rsid w:val="00126C4B"/>
    <w:rsid w:val="00135865"/>
    <w:rsid w:val="0014280D"/>
    <w:rsid w:val="00146EC4"/>
    <w:rsid w:val="0015267E"/>
    <w:rsid w:val="00152E5A"/>
    <w:rsid w:val="001626AE"/>
    <w:rsid w:val="00182FD7"/>
    <w:rsid w:val="00192035"/>
    <w:rsid w:val="001A621A"/>
    <w:rsid w:val="001A6350"/>
    <w:rsid w:val="001C14C1"/>
    <w:rsid w:val="001D144E"/>
    <w:rsid w:val="001D4E96"/>
    <w:rsid w:val="001D6659"/>
    <w:rsid w:val="001E5CCA"/>
    <w:rsid w:val="002065F1"/>
    <w:rsid w:val="00213356"/>
    <w:rsid w:val="00214963"/>
    <w:rsid w:val="002331D8"/>
    <w:rsid w:val="00247D78"/>
    <w:rsid w:val="00251423"/>
    <w:rsid w:val="0025473E"/>
    <w:rsid w:val="00272FE1"/>
    <w:rsid w:val="002740BC"/>
    <w:rsid w:val="00274786"/>
    <w:rsid w:val="00275215"/>
    <w:rsid w:val="00280663"/>
    <w:rsid w:val="0029707A"/>
    <w:rsid w:val="002A4C9E"/>
    <w:rsid w:val="002A6B24"/>
    <w:rsid w:val="002B24B0"/>
    <w:rsid w:val="002D2F8C"/>
    <w:rsid w:val="002E5779"/>
    <w:rsid w:val="002F1874"/>
    <w:rsid w:val="002F4712"/>
    <w:rsid w:val="00302CC7"/>
    <w:rsid w:val="0032398E"/>
    <w:rsid w:val="003410F3"/>
    <w:rsid w:val="00343DF1"/>
    <w:rsid w:val="003463AA"/>
    <w:rsid w:val="0035067D"/>
    <w:rsid w:val="003508F1"/>
    <w:rsid w:val="0037084C"/>
    <w:rsid w:val="00383676"/>
    <w:rsid w:val="003915A9"/>
    <w:rsid w:val="003968E3"/>
    <w:rsid w:val="003D651A"/>
    <w:rsid w:val="003E17E6"/>
    <w:rsid w:val="003F1204"/>
    <w:rsid w:val="003F401C"/>
    <w:rsid w:val="003F4BE7"/>
    <w:rsid w:val="004038C3"/>
    <w:rsid w:val="00413F49"/>
    <w:rsid w:val="00430940"/>
    <w:rsid w:val="00454E6E"/>
    <w:rsid w:val="0046418C"/>
    <w:rsid w:val="00467236"/>
    <w:rsid w:val="004835E6"/>
    <w:rsid w:val="00491143"/>
    <w:rsid w:val="004A2F36"/>
    <w:rsid w:val="004B2352"/>
    <w:rsid w:val="004C3894"/>
    <w:rsid w:val="004C4D33"/>
    <w:rsid w:val="004C5C72"/>
    <w:rsid w:val="004D10B3"/>
    <w:rsid w:val="004D1222"/>
    <w:rsid w:val="004D66B1"/>
    <w:rsid w:val="004E50C7"/>
    <w:rsid w:val="004F1E7E"/>
    <w:rsid w:val="004F7028"/>
    <w:rsid w:val="0050425F"/>
    <w:rsid w:val="00505C72"/>
    <w:rsid w:val="005128D2"/>
    <w:rsid w:val="0051361E"/>
    <w:rsid w:val="00522DC6"/>
    <w:rsid w:val="005300BF"/>
    <w:rsid w:val="005322A4"/>
    <w:rsid w:val="00533DDE"/>
    <w:rsid w:val="00535668"/>
    <w:rsid w:val="00553738"/>
    <w:rsid w:val="00567D52"/>
    <w:rsid w:val="0059026E"/>
    <w:rsid w:val="005902CC"/>
    <w:rsid w:val="005967E3"/>
    <w:rsid w:val="005A70B1"/>
    <w:rsid w:val="005D7295"/>
    <w:rsid w:val="005E1A55"/>
    <w:rsid w:val="005F67D5"/>
    <w:rsid w:val="006024CF"/>
    <w:rsid w:val="00607B8E"/>
    <w:rsid w:val="00615550"/>
    <w:rsid w:val="00632E8E"/>
    <w:rsid w:val="00632FC4"/>
    <w:rsid w:val="0063458A"/>
    <w:rsid w:val="00643FB4"/>
    <w:rsid w:val="006543C1"/>
    <w:rsid w:val="0066021A"/>
    <w:rsid w:val="006915A5"/>
    <w:rsid w:val="0069166B"/>
    <w:rsid w:val="006B2D38"/>
    <w:rsid w:val="006C685C"/>
    <w:rsid w:val="006E69D9"/>
    <w:rsid w:val="006E7FB9"/>
    <w:rsid w:val="006F17B8"/>
    <w:rsid w:val="006F1A38"/>
    <w:rsid w:val="006F584B"/>
    <w:rsid w:val="007056F3"/>
    <w:rsid w:val="00717E1D"/>
    <w:rsid w:val="00721964"/>
    <w:rsid w:val="00725185"/>
    <w:rsid w:val="00727ADC"/>
    <w:rsid w:val="00735E1F"/>
    <w:rsid w:val="0074212C"/>
    <w:rsid w:val="00776351"/>
    <w:rsid w:val="0079019B"/>
    <w:rsid w:val="007913CB"/>
    <w:rsid w:val="007960B7"/>
    <w:rsid w:val="007D02FD"/>
    <w:rsid w:val="007D35E6"/>
    <w:rsid w:val="007D3B2E"/>
    <w:rsid w:val="007E35F0"/>
    <w:rsid w:val="007E37E3"/>
    <w:rsid w:val="007E6A93"/>
    <w:rsid w:val="007F3F8E"/>
    <w:rsid w:val="007F7C64"/>
    <w:rsid w:val="00805B82"/>
    <w:rsid w:val="00810341"/>
    <w:rsid w:val="00813CE3"/>
    <w:rsid w:val="00823DEF"/>
    <w:rsid w:val="0083292C"/>
    <w:rsid w:val="00835C0E"/>
    <w:rsid w:val="00835D8B"/>
    <w:rsid w:val="00840EE8"/>
    <w:rsid w:val="00847CB1"/>
    <w:rsid w:val="008505ED"/>
    <w:rsid w:val="00883740"/>
    <w:rsid w:val="0088727C"/>
    <w:rsid w:val="00887EA7"/>
    <w:rsid w:val="008B03C4"/>
    <w:rsid w:val="008B13CD"/>
    <w:rsid w:val="008B2DC1"/>
    <w:rsid w:val="008B3D7E"/>
    <w:rsid w:val="008B778D"/>
    <w:rsid w:val="008B780D"/>
    <w:rsid w:val="008B7D1A"/>
    <w:rsid w:val="008C606B"/>
    <w:rsid w:val="008C788E"/>
    <w:rsid w:val="008D2504"/>
    <w:rsid w:val="008D6B12"/>
    <w:rsid w:val="008E03FB"/>
    <w:rsid w:val="008E13E7"/>
    <w:rsid w:val="008F02E2"/>
    <w:rsid w:val="008F6B15"/>
    <w:rsid w:val="0090010C"/>
    <w:rsid w:val="00906563"/>
    <w:rsid w:val="00907760"/>
    <w:rsid w:val="0091424B"/>
    <w:rsid w:val="00952E24"/>
    <w:rsid w:val="00956D3A"/>
    <w:rsid w:val="0096631E"/>
    <w:rsid w:val="00974AB9"/>
    <w:rsid w:val="009A1CEA"/>
    <w:rsid w:val="009B1C9B"/>
    <w:rsid w:val="009C437A"/>
    <w:rsid w:val="009D3F36"/>
    <w:rsid w:val="009D6D6D"/>
    <w:rsid w:val="009F1290"/>
    <w:rsid w:val="00A00C6A"/>
    <w:rsid w:val="00A15C91"/>
    <w:rsid w:val="00A25B9A"/>
    <w:rsid w:val="00A45056"/>
    <w:rsid w:val="00A47BB5"/>
    <w:rsid w:val="00A81DBC"/>
    <w:rsid w:val="00A96B9C"/>
    <w:rsid w:val="00AA597D"/>
    <w:rsid w:val="00AC01CE"/>
    <w:rsid w:val="00AC31C4"/>
    <w:rsid w:val="00AF26CA"/>
    <w:rsid w:val="00AF4A4E"/>
    <w:rsid w:val="00B0094A"/>
    <w:rsid w:val="00B03571"/>
    <w:rsid w:val="00B07607"/>
    <w:rsid w:val="00B11BAD"/>
    <w:rsid w:val="00B1243F"/>
    <w:rsid w:val="00B24AD5"/>
    <w:rsid w:val="00B30E5B"/>
    <w:rsid w:val="00B32C16"/>
    <w:rsid w:val="00B466D7"/>
    <w:rsid w:val="00B47AB9"/>
    <w:rsid w:val="00B7328F"/>
    <w:rsid w:val="00B81E60"/>
    <w:rsid w:val="00BD2423"/>
    <w:rsid w:val="00BD2FB1"/>
    <w:rsid w:val="00C01CDC"/>
    <w:rsid w:val="00C03A71"/>
    <w:rsid w:val="00C05DA5"/>
    <w:rsid w:val="00C17C80"/>
    <w:rsid w:val="00C25710"/>
    <w:rsid w:val="00C32A85"/>
    <w:rsid w:val="00C378C5"/>
    <w:rsid w:val="00C4072B"/>
    <w:rsid w:val="00C40EB6"/>
    <w:rsid w:val="00C50091"/>
    <w:rsid w:val="00C50BC5"/>
    <w:rsid w:val="00C529C3"/>
    <w:rsid w:val="00C60292"/>
    <w:rsid w:val="00C631A6"/>
    <w:rsid w:val="00C65A18"/>
    <w:rsid w:val="00C70265"/>
    <w:rsid w:val="00C74133"/>
    <w:rsid w:val="00C77502"/>
    <w:rsid w:val="00C81D8F"/>
    <w:rsid w:val="00C87413"/>
    <w:rsid w:val="00CB13D0"/>
    <w:rsid w:val="00CB61E6"/>
    <w:rsid w:val="00CB7916"/>
    <w:rsid w:val="00CC5EFD"/>
    <w:rsid w:val="00CE0CCD"/>
    <w:rsid w:val="00D332EC"/>
    <w:rsid w:val="00D36F40"/>
    <w:rsid w:val="00D464B9"/>
    <w:rsid w:val="00DB3E0E"/>
    <w:rsid w:val="00DC6422"/>
    <w:rsid w:val="00DF4FA5"/>
    <w:rsid w:val="00E34A97"/>
    <w:rsid w:val="00E44822"/>
    <w:rsid w:val="00E50084"/>
    <w:rsid w:val="00E70D55"/>
    <w:rsid w:val="00E751F8"/>
    <w:rsid w:val="00E810D4"/>
    <w:rsid w:val="00E84D4F"/>
    <w:rsid w:val="00E852D5"/>
    <w:rsid w:val="00E86657"/>
    <w:rsid w:val="00E91174"/>
    <w:rsid w:val="00E92986"/>
    <w:rsid w:val="00E94D53"/>
    <w:rsid w:val="00EA5FF8"/>
    <w:rsid w:val="00EB6BEC"/>
    <w:rsid w:val="00EC211E"/>
    <w:rsid w:val="00EC726C"/>
    <w:rsid w:val="00ED0203"/>
    <w:rsid w:val="00ED0E3D"/>
    <w:rsid w:val="00EE046A"/>
    <w:rsid w:val="00EF1C78"/>
    <w:rsid w:val="00EF20CE"/>
    <w:rsid w:val="00F11523"/>
    <w:rsid w:val="00F2428B"/>
    <w:rsid w:val="00F37ACD"/>
    <w:rsid w:val="00F43B6A"/>
    <w:rsid w:val="00F6515E"/>
    <w:rsid w:val="00F7084A"/>
    <w:rsid w:val="00F74A55"/>
    <w:rsid w:val="00F830F2"/>
    <w:rsid w:val="00FA26FB"/>
    <w:rsid w:val="00FB0958"/>
    <w:rsid w:val="00FB16A0"/>
    <w:rsid w:val="00FB780F"/>
    <w:rsid w:val="00FC2C47"/>
    <w:rsid w:val="00FE4897"/>
    <w:rsid w:val="00FE540C"/>
    <w:rsid w:val="00FE707D"/>
    <w:rsid w:val="00FF1B51"/>
    <w:rsid w:val="06354A57"/>
    <w:rsid w:val="42ED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5C7F1FB"/>
  <w15:docId w15:val="{4979DE05-0F39-49BA-A3DC-71C9B138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24CF"/>
    <w:pPr>
      <w:spacing w:after="5" w:line="247" w:lineRule="auto"/>
      <w:ind w:left="10" w:right="501"/>
      <w:jc w:val="both"/>
    </w:pPr>
    <w:rPr>
      <w:rFonts w:eastAsia="Times New Roman"/>
      <w:color w:val="000000"/>
      <w:sz w:val="22"/>
      <w:szCs w:val="22"/>
      <w:lang w:val="es-AR" w:eastAsia="es-AR"/>
    </w:rPr>
  </w:style>
  <w:style w:type="paragraph" w:styleId="Ttulo1">
    <w:name w:val="heading 1"/>
    <w:next w:val="Normal"/>
    <w:link w:val="Ttulo1Car"/>
    <w:uiPriority w:val="9"/>
    <w:qFormat/>
    <w:rsid w:val="006024CF"/>
    <w:pPr>
      <w:keepNext/>
      <w:keepLines/>
      <w:spacing w:after="13" w:line="249" w:lineRule="auto"/>
      <w:ind w:left="10" w:right="786" w:hanging="10"/>
      <w:jc w:val="center"/>
      <w:outlineLvl w:val="0"/>
    </w:pPr>
    <w:rPr>
      <w:rFonts w:eastAsia="Times New Roman"/>
      <w:b/>
      <w:color w:val="000000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6024CF"/>
    <w:rPr>
      <w:rFonts w:eastAsia="Times New Roman"/>
      <w:b/>
      <w:color w:val="000000"/>
      <w:lang w:eastAsia="es-AR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6024C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024CF"/>
    <w:rPr>
      <w:rFonts w:ascii="Segoe UI" w:eastAsia="Times New Roman" w:hAnsi="Segoe UI" w:cs="Segoe UI"/>
      <w:color w:val="000000"/>
      <w:sz w:val="18"/>
      <w:szCs w:val="18"/>
      <w:lang w:val="es-AR" w:eastAsia="es-AR"/>
    </w:rPr>
  </w:style>
  <w:style w:type="character" w:styleId="Refdecomentario">
    <w:name w:val="annotation reference"/>
    <w:uiPriority w:val="99"/>
    <w:unhideWhenUsed/>
    <w:rsid w:val="006024C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024CF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024CF"/>
    <w:rPr>
      <w:rFonts w:ascii="Times New Roman" w:eastAsia="Times New Roman" w:hAnsi="Times New Roman"/>
      <w:color w:val="000000"/>
      <w:lang w:val="es-AR" w:eastAsia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6024C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024CF"/>
    <w:rPr>
      <w:rFonts w:ascii="Times New Roman" w:eastAsia="Times New Roman" w:hAnsi="Times New Roman"/>
      <w:b/>
      <w:bCs/>
      <w:color w:val="000000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6024C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024CF"/>
    <w:rPr>
      <w:rFonts w:ascii="Times New Roman" w:eastAsia="Times New Roman" w:hAnsi="Times New Roman"/>
      <w:color w:val="000000"/>
      <w:sz w:val="22"/>
      <w:szCs w:val="22"/>
      <w:lang w:val="es-AR" w:eastAsia="es-AR"/>
    </w:rPr>
  </w:style>
  <w:style w:type="character" w:styleId="Refdenotaalpie">
    <w:name w:val="footnote reference"/>
    <w:uiPriority w:val="99"/>
    <w:unhideWhenUsed/>
    <w:rsid w:val="006024CF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unhideWhenUsed/>
    <w:rsid w:val="006024CF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024CF"/>
    <w:rPr>
      <w:rFonts w:ascii="Times New Roman" w:eastAsia="Times New Roman" w:hAnsi="Times New Roman"/>
      <w:color w:val="000000"/>
      <w:lang w:val="es-AR" w:eastAsia="es-AR"/>
    </w:rPr>
  </w:style>
  <w:style w:type="paragraph" w:styleId="Encabezado">
    <w:name w:val="header"/>
    <w:basedOn w:val="Normal"/>
    <w:link w:val="EncabezadoCar"/>
    <w:uiPriority w:val="99"/>
    <w:unhideWhenUsed/>
    <w:rsid w:val="006024C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024CF"/>
    <w:rPr>
      <w:rFonts w:ascii="Times New Roman" w:eastAsia="Times New Roman" w:hAnsi="Times New Roman"/>
      <w:color w:val="000000"/>
      <w:sz w:val="22"/>
      <w:szCs w:val="22"/>
      <w:lang w:val="es-AR" w:eastAsia="es-AR"/>
    </w:rPr>
  </w:style>
  <w:style w:type="paragraph" w:styleId="NormalWeb">
    <w:name w:val="Normal (Web)"/>
    <w:basedOn w:val="Normal"/>
    <w:uiPriority w:val="99"/>
    <w:unhideWhenUsed/>
    <w:rsid w:val="006024CF"/>
    <w:pPr>
      <w:spacing w:before="100" w:beforeAutospacing="1" w:after="100" w:afterAutospacing="1" w:line="240" w:lineRule="auto"/>
      <w:ind w:left="0" w:right="0"/>
      <w:jc w:val="left"/>
    </w:pPr>
    <w:rPr>
      <w:color w:val="auto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6024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6024CF"/>
    <w:rPr>
      <w:rFonts w:eastAsia="Times New Roman"/>
      <w:sz w:val="22"/>
      <w:szCs w:val="22"/>
      <w:lang w:val="es-AR" w:eastAsia="es-A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6024CF"/>
    <w:pPr>
      <w:ind w:left="708"/>
    </w:pPr>
  </w:style>
  <w:style w:type="paragraph" w:customStyle="1" w:styleId="Standard">
    <w:name w:val="Standard"/>
    <w:rsid w:val="006024CF"/>
    <w:pPr>
      <w:suppressAutoHyphens/>
      <w:autoSpaceDN w:val="0"/>
      <w:textAlignment w:val="baseline"/>
    </w:pPr>
    <w:rPr>
      <w:rFonts w:eastAsia="Times New Roman"/>
      <w:kern w:val="3"/>
      <w:sz w:val="22"/>
      <w:szCs w:val="22"/>
      <w:lang w:val="es-ES" w:eastAsia="es-ES" w:bidi="es-ES"/>
    </w:rPr>
  </w:style>
  <w:style w:type="character" w:customStyle="1" w:styleId="a">
    <w:name w:val="a"/>
    <w:rsid w:val="00602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1748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11342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dnvs107</cp:lastModifiedBy>
  <cp:revision>2</cp:revision>
  <cp:lastPrinted>2023-05-19T14:20:00Z</cp:lastPrinted>
  <dcterms:created xsi:type="dcterms:W3CDTF">2024-04-29T16:37:00Z</dcterms:created>
  <dcterms:modified xsi:type="dcterms:W3CDTF">2024-04-29T16:37:00Z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B8CD3057A4A34363BC6308E4AD09C5A5</vt:lpwstr>
  </property>
</Properties>
</file>