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B3" w:rsidRDefault="001C7DB3">
      <w:pPr>
        <w:pStyle w:val="Textoindependiente"/>
        <w:rPr>
          <w:rFonts w:ascii="Times New Roman"/>
          <w:b w:val="0"/>
          <w:i w:val="0"/>
          <w:sz w:val="20"/>
        </w:rPr>
      </w:pPr>
    </w:p>
    <w:p w:rsidR="001C7DB3" w:rsidRDefault="00502167" w:rsidP="00502167">
      <w:pPr>
        <w:pStyle w:val="Textoindependiente"/>
        <w:spacing w:before="207" w:line="254" w:lineRule="auto"/>
        <w:ind w:left="324" w:right="1655"/>
        <w:jc w:val="center"/>
      </w:pPr>
      <w:r>
        <w:t xml:space="preserve">              </w:t>
      </w:r>
      <w:r w:rsidR="005C2DA6">
        <w:t>FORMULARIO PRBE-00: PRESENTACIÓN DE RESULTADOS DE LOS ESTUDIOS DE BIOEQUIVALENCIA</w:t>
      </w:r>
    </w:p>
    <w:p w:rsidR="001C7DB3" w:rsidRDefault="001C7DB3">
      <w:pPr>
        <w:spacing w:before="1"/>
        <w:rPr>
          <w:b/>
          <w:i/>
          <w:sz w:val="15"/>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7658"/>
        <w:gridCol w:w="992"/>
      </w:tblGrid>
      <w:tr w:rsidR="001C7DB3">
        <w:trPr>
          <w:trHeight w:val="251"/>
        </w:trPr>
        <w:tc>
          <w:tcPr>
            <w:tcW w:w="845" w:type="dxa"/>
          </w:tcPr>
          <w:p w:rsidR="001C7DB3" w:rsidRDefault="005C2DA6">
            <w:pPr>
              <w:pStyle w:val="TableParagraph"/>
              <w:spacing w:line="231" w:lineRule="exact"/>
              <w:ind w:left="97" w:right="82"/>
              <w:jc w:val="center"/>
              <w:rPr>
                <w:b/>
              </w:rPr>
            </w:pPr>
            <w:r>
              <w:rPr>
                <w:b/>
              </w:rPr>
              <w:t>1.</w:t>
            </w:r>
          </w:p>
        </w:tc>
        <w:tc>
          <w:tcPr>
            <w:tcW w:w="7658" w:type="dxa"/>
          </w:tcPr>
          <w:p w:rsidR="001C7DB3" w:rsidRDefault="005C2DA6">
            <w:pPr>
              <w:pStyle w:val="TableParagraph"/>
              <w:spacing w:line="231" w:lineRule="exact"/>
              <w:ind w:left="109"/>
              <w:rPr>
                <w:b/>
              </w:rPr>
            </w:pPr>
            <w:r>
              <w:rPr>
                <w:b/>
              </w:rPr>
              <w:t xml:space="preserve">CONTENIDO DEL PROTOCOLO CLÍNICO </w:t>
            </w:r>
            <w:r>
              <w:t xml:space="preserve">según </w:t>
            </w:r>
            <w:r>
              <w:rPr>
                <w:b/>
              </w:rPr>
              <w:t>ANEXO 2</w:t>
            </w:r>
          </w:p>
        </w:tc>
        <w:tc>
          <w:tcPr>
            <w:tcW w:w="992" w:type="dxa"/>
          </w:tcPr>
          <w:p w:rsidR="001C7DB3" w:rsidRDefault="001C7DB3">
            <w:pPr>
              <w:pStyle w:val="TableParagraph"/>
              <w:rPr>
                <w:rFonts w:ascii="Times New Roman"/>
                <w:sz w:val="18"/>
              </w:rPr>
            </w:pPr>
          </w:p>
        </w:tc>
      </w:tr>
      <w:tr w:rsidR="001C7DB3">
        <w:trPr>
          <w:trHeight w:val="254"/>
        </w:trPr>
        <w:tc>
          <w:tcPr>
            <w:tcW w:w="845" w:type="dxa"/>
          </w:tcPr>
          <w:p w:rsidR="001C7DB3" w:rsidRDefault="005C2DA6">
            <w:pPr>
              <w:pStyle w:val="TableParagraph"/>
              <w:spacing w:line="234" w:lineRule="exact"/>
              <w:ind w:left="97" w:right="82"/>
              <w:jc w:val="center"/>
              <w:rPr>
                <w:b/>
              </w:rPr>
            </w:pPr>
            <w:r>
              <w:rPr>
                <w:b/>
              </w:rPr>
              <w:t>2.</w:t>
            </w:r>
          </w:p>
        </w:tc>
        <w:tc>
          <w:tcPr>
            <w:tcW w:w="7658" w:type="dxa"/>
          </w:tcPr>
          <w:p w:rsidR="001C7DB3" w:rsidRDefault="005C2DA6">
            <w:pPr>
              <w:pStyle w:val="TableParagraph"/>
              <w:spacing w:line="234" w:lineRule="exact"/>
              <w:ind w:left="109"/>
              <w:rPr>
                <w:b/>
              </w:rPr>
            </w:pPr>
            <w:r>
              <w:rPr>
                <w:b/>
              </w:rPr>
              <w:t>CONTENIDO DEL PROTOCOLO BIOANALITICO</w:t>
            </w:r>
          </w:p>
        </w:tc>
        <w:tc>
          <w:tcPr>
            <w:tcW w:w="992" w:type="dxa"/>
          </w:tcPr>
          <w:p w:rsidR="001C7DB3" w:rsidRDefault="001C7DB3">
            <w:pPr>
              <w:pStyle w:val="TableParagraph"/>
              <w:rPr>
                <w:rFonts w:ascii="Times New Roman"/>
                <w:sz w:val="18"/>
              </w:rPr>
            </w:pPr>
          </w:p>
        </w:tc>
      </w:tr>
      <w:tr w:rsidR="001C7DB3">
        <w:trPr>
          <w:trHeight w:val="253"/>
        </w:trPr>
        <w:tc>
          <w:tcPr>
            <w:tcW w:w="845" w:type="dxa"/>
          </w:tcPr>
          <w:p w:rsidR="001C7DB3" w:rsidRDefault="005C2DA6" w:rsidP="00502167">
            <w:pPr>
              <w:pStyle w:val="TableParagraph"/>
              <w:spacing w:line="234" w:lineRule="exact"/>
              <w:ind w:left="100" w:right="82"/>
              <w:jc w:val="center"/>
            </w:pPr>
            <w:r>
              <w:t>2.1</w:t>
            </w:r>
          </w:p>
        </w:tc>
        <w:tc>
          <w:tcPr>
            <w:tcW w:w="7658" w:type="dxa"/>
          </w:tcPr>
          <w:p w:rsidR="001C7DB3" w:rsidRDefault="005C2DA6" w:rsidP="00502167">
            <w:pPr>
              <w:pStyle w:val="TableParagraph"/>
              <w:spacing w:line="234" w:lineRule="exact"/>
              <w:ind w:left="109"/>
              <w:jc w:val="both"/>
            </w:pPr>
            <w:r>
              <w:t>Centro bioanalítico</w:t>
            </w:r>
          </w:p>
        </w:tc>
        <w:tc>
          <w:tcPr>
            <w:tcW w:w="992" w:type="dxa"/>
          </w:tcPr>
          <w:p w:rsidR="001C7DB3" w:rsidRDefault="001C7DB3" w:rsidP="00502167">
            <w:pPr>
              <w:pStyle w:val="TableParagraph"/>
              <w:jc w:val="both"/>
              <w:rPr>
                <w:rFonts w:ascii="Times New Roman"/>
                <w:sz w:val="18"/>
              </w:rPr>
            </w:pPr>
          </w:p>
        </w:tc>
      </w:tr>
      <w:tr w:rsidR="001C7DB3">
        <w:trPr>
          <w:trHeight w:val="249"/>
        </w:trPr>
        <w:tc>
          <w:tcPr>
            <w:tcW w:w="845" w:type="dxa"/>
          </w:tcPr>
          <w:p w:rsidR="001C7DB3" w:rsidRDefault="005C2DA6" w:rsidP="00502167">
            <w:pPr>
              <w:pStyle w:val="TableParagraph"/>
              <w:spacing w:line="229" w:lineRule="exact"/>
              <w:ind w:left="100" w:right="82"/>
              <w:jc w:val="center"/>
            </w:pPr>
            <w:r>
              <w:t>2.2</w:t>
            </w:r>
          </w:p>
        </w:tc>
        <w:tc>
          <w:tcPr>
            <w:tcW w:w="7658" w:type="dxa"/>
          </w:tcPr>
          <w:p w:rsidR="001C7DB3" w:rsidRDefault="005C2DA6" w:rsidP="00502167">
            <w:pPr>
              <w:pStyle w:val="TableParagraph"/>
              <w:spacing w:line="229" w:lineRule="exact"/>
              <w:ind w:left="109"/>
              <w:jc w:val="both"/>
            </w:pPr>
            <w:r>
              <w:t>Índice de contenido</w:t>
            </w:r>
          </w:p>
        </w:tc>
        <w:tc>
          <w:tcPr>
            <w:tcW w:w="992" w:type="dxa"/>
          </w:tcPr>
          <w:p w:rsidR="001C7DB3" w:rsidRDefault="001C7DB3" w:rsidP="00502167">
            <w:pPr>
              <w:pStyle w:val="TableParagraph"/>
              <w:jc w:val="both"/>
              <w:rPr>
                <w:rFonts w:ascii="Times New Roman"/>
                <w:sz w:val="18"/>
              </w:rPr>
            </w:pPr>
          </w:p>
        </w:tc>
      </w:tr>
      <w:tr w:rsidR="001C7DB3">
        <w:trPr>
          <w:trHeight w:val="254"/>
        </w:trPr>
        <w:tc>
          <w:tcPr>
            <w:tcW w:w="845" w:type="dxa"/>
          </w:tcPr>
          <w:p w:rsidR="001C7DB3" w:rsidRDefault="005C2DA6" w:rsidP="00502167">
            <w:pPr>
              <w:pStyle w:val="TableParagraph"/>
              <w:spacing w:line="234" w:lineRule="exact"/>
              <w:ind w:left="100" w:right="82"/>
              <w:jc w:val="center"/>
            </w:pPr>
            <w:r>
              <w:t>2.3</w:t>
            </w:r>
          </w:p>
        </w:tc>
        <w:tc>
          <w:tcPr>
            <w:tcW w:w="7658" w:type="dxa"/>
          </w:tcPr>
          <w:p w:rsidR="001C7DB3" w:rsidRDefault="005C2DA6" w:rsidP="00502167">
            <w:pPr>
              <w:pStyle w:val="TableParagraph"/>
              <w:spacing w:line="234" w:lineRule="exact"/>
              <w:ind w:left="109"/>
              <w:jc w:val="both"/>
            </w:pPr>
            <w:r>
              <w:t>Glosario</w:t>
            </w:r>
          </w:p>
        </w:tc>
        <w:tc>
          <w:tcPr>
            <w:tcW w:w="992" w:type="dxa"/>
          </w:tcPr>
          <w:p w:rsidR="001C7DB3" w:rsidRDefault="001C7DB3" w:rsidP="00502167">
            <w:pPr>
              <w:pStyle w:val="TableParagraph"/>
              <w:jc w:val="both"/>
              <w:rPr>
                <w:rFonts w:ascii="Times New Roman"/>
                <w:sz w:val="18"/>
              </w:rPr>
            </w:pPr>
          </w:p>
        </w:tc>
      </w:tr>
      <w:tr w:rsidR="001C7DB3">
        <w:trPr>
          <w:trHeight w:val="1010"/>
        </w:trPr>
        <w:tc>
          <w:tcPr>
            <w:tcW w:w="845" w:type="dxa"/>
          </w:tcPr>
          <w:p w:rsidR="001C7DB3" w:rsidRDefault="005C2DA6" w:rsidP="00502167">
            <w:pPr>
              <w:pStyle w:val="TableParagraph"/>
              <w:spacing w:line="250" w:lineRule="exact"/>
              <w:ind w:left="100" w:right="82"/>
              <w:jc w:val="center"/>
            </w:pPr>
            <w:r>
              <w:t>2.4</w:t>
            </w:r>
          </w:p>
        </w:tc>
        <w:tc>
          <w:tcPr>
            <w:tcW w:w="7658" w:type="dxa"/>
          </w:tcPr>
          <w:p w:rsidR="001C7DB3" w:rsidRDefault="005C2DA6" w:rsidP="00502167">
            <w:pPr>
              <w:pStyle w:val="TableParagraph"/>
              <w:spacing w:line="242" w:lineRule="auto"/>
              <w:ind w:left="109" w:right="68"/>
              <w:jc w:val="both"/>
            </w:pPr>
            <w:r>
              <w:t xml:space="preserve">Informe del Método bioanalítico según </w:t>
            </w:r>
            <w:r>
              <w:rPr>
                <w:b/>
              </w:rPr>
              <w:t xml:space="preserve">ANEXO 3 </w:t>
            </w:r>
            <w:r>
              <w:t>de la Guía técnica para la realización de los estudios de Biodisponibilidad Relativa/Bioequivalencia de Medicamentos.</w:t>
            </w:r>
          </w:p>
          <w:p w:rsidR="001C7DB3" w:rsidRDefault="005C2DA6" w:rsidP="00502167">
            <w:pPr>
              <w:pStyle w:val="TableParagraph"/>
              <w:spacing w:line="227" w:lineRule="exact"/>
              <w:ind w:left="109" w:right="68"/>
              <w:jc w:val="both"/>
            </w:pPr>
            <w:r>
              <w:t>Deberá incluir lo siguiente:</w:t>
            </w:r>
          </w:p>
        </w:tc>
        <w:tc>
          <w:tcPr>
            <w:tcW w:w="992" w:type="dxa"/>
          </w:tcPr>
          <w:p w:rsidR="001C7DB3" w:rsidRDefault="001C7DB3" w:rsidP="00502167">
            <w:pPr>
              <w:pStyle w:val="TableParagraph"/>
              <w:jc w:val="both"/>
              <w:rPr>
                <w:rFonts w:ascii="Times New Roman"/>
              </w:rPr>
            </w:pPr>
          </w:p>
        </w:tc>
      </w:tr>
      <w:tr w:rsidR="001C7DB3">
        <w:trPr>
          <w:trHeight w:val="253"/>
        </w:trPr>
        <w:tc>
          <w:tcPr>
            <w:tcW w:w="845" w:type="dxa"/>
          </w:tcPr>
          <w:p w:rsidR="001C7DB3" w:rsidRDefault="005C2DA6" w:rsidP="00502167">
            <w:pPr>
              <w:pStyle w:val="TableParagraph"/>
              <w:spacing w:line="234" w:lineRule="exact"/>
              <w:ind w:left="98" w:right="82"/>
              <w:jc w:val="center"/>
            </w:pPr>
            <w:r>
              <w:t>2.4.1</w:t>
            </w:r>
          </w:p>
        </w:tc>
        <w:tc>
          <w:tcPr>
            <w:tcW w:w="7658" w:type="dxa"/>
          </w:tcPr>
          <w:p w:rsidR="001C7DB3" w:rsidRDefault="005C2DA6" w:rsidP="00502167">
            <w:pPr>
              <w:pStyle w:val="TableParagraph"/>
              <w:spacing w:line="234" w:lineRule="exact"/>
              <w:ind w:left="109" w:right="68"/>
              <w:jc w:val="both"/>
            </w:pPr>
            <w:r>
              <w:t>Número de protocolo, versión, fecha</w:t>
            </w:r>
          </w:p>
        </w:tc>
        <w:tc>
          <w:tcPr>
            <w:tcW w:w="992" w:type="dxa"/>
          </w:tcPr>
          <w:p w:rsidR="001C7DB3" w:rsidRDefault="001C7DB3" w:rsidP="00502167">
            <w:pPr>
              <w:pStyle w:val="TableParagraph"/>
              <w:jc w:val="both"/>
              <w:rPr>
                <w:rFonts w:ascii="Times New Roman"/>
                <w:sz w:val="18"/>
              </w:rPr>
            </w:pPr>
          </w:p>
        </w:tc>
      </w:tr>
      <w:tr w:rsidR="001C7DB3">
        <w:trPr>
          <w:trHeight w:val="508"/>
        </w:trPr>
        <w:tc>
          <w:tcPr>
            <w:tcW w:w="845" w:type="dxa"/>
          </w:tcPr>
          <w:p w:rsidR="001C7DB3" w:rsidRDefault="005C2DA6" w:rsidP="00502167">
            <w:pPr>
              <w:pStyle w:val="TableParagraph"/>
              <w:spacing w:line="250" w:lineRule="exact"/>
              <w:ind w:left="98" w:right="82"/>
              <w:jc w:val="center"/>
            </w:pPr>
            <w:r>
              <w:t>2.4.2</w:t>
            </w:r>
          </w:p>
        </w:tc>
        <w:tc>
          <w:tcPr>
            <w:tcW w:w="7658" w:type="dxa"/>
          </w:tcPr>
          <w:p w:rsidR="001C7DB3" w:rsidRDefault="005C2DA6" w:rsidP="00502167">
            <w:pPr>
              <w:pStyle w:val="TableParagraph"/>
              <w:spacing w:before="2" w:line="252" w:lineRule="exact"/>
              <w:ind w:left="109" w:right="68"/>
              <w:jc w:val="both"/>
            </w:pPr>
            <w:r>
              <w:t>Técnica bioanalítica (Describir de forma resumida el método utilizado y el sistema de detección)</w:t>
            </w:r>
          </w:p>
        </w:tc>
        <w:tc>
          <w:tcPr>
            <w:tcW w:w="992" w:type="dxa"/>
          </w:tcPr>
          <w:p w:rsidR="001C7DB3" w:rsidRDefault="001C7DB3" w:rsidP="00502167">
            <w:pPr>
              <w:pStyle w:val="TableParagraph"/>
              <w:jc w:val="both"/>
              <w:rPr>
                <w:rFonts w:ascii="Times New Roman"/>
              </w:rPr>
            </w:pPr>
          </w:p>
        </w:tc>
      </w:tr>
      <w:tr w:rsidR="001C7DB3">
        <w:trPr>
          <w:trHeight w:val="1014"/>
        </w:trPr>
        <w:tc>
          <w:tcPr>
            <w:tcW w:w="845" w:type="dxa"/>
          </w:tcPr>
          <w:p w:rsidR="001C7DB3" w:rsidRDefault="005C2DA6" w:rsidP="00502167">
            <w:pPr>
              <w:pStyle w:val="TableParagraph"/>
              <w:spacing w:line="246" w:lineRule="exact"/>
              <w:ind w:left="98" w:right="82"/>
              <w:jc w:val="center"/>
            </w:pPr>
            <w:r>
              <w:t>2.4.3</w:t>
            </w:r>
          </w:p>
        </w:tc>
        <w:tc>
          <w:tcPr>
            <w:tcW w:w="7658" w:type="dxa"/>
          </w:tcPr>
          <w:p w:rsidR="001C7DB3" w:rsidRDefault="005C2DA6" w:rsidP="00502167">
            <w:pPr>
              <w:pStyle w:val="TableParagraph"/>
              <w:spacing w:line="242" w:lineRule="auto"/>
              <w:ind w:left="109" w:right="68"/>
              <w:jc w:val="both"/>
            </w:pPr>
            <w:r>
              <w:t>Condiciones cromatográficas (bomba, detector, columna, temperatura de inyección, temperatura de columna, velocidad de flujo, tiempo corrida, tiempo de retención de analito, tiempo de retención de estándar interno,</w:t>
            </w:r>
          </w:p>
          <w:p w:rsidR="001C7DB3" w:rsidRDefault="005C2DA6" w:rsidP="00502167">
            <w:pPr>
              <w:pStyle w:val="TableParagraph"/>
              <w:spacing w:line="231" w:lineRule="exact"/>
              <w:ind w:left="109" w:right="68"/>
              <w:jc w:val="both"/>
            </w:pPr>
            <w:r>
              <w:t>fase móvil, modo de elución, volumen de inyección, adquisición de datos)</w:t>
            </w:r>
          </w:p>
        </w:tc>
        <w:tc>
          <w:tcPr>
            <w:tcW w:w="992" w:type="dxa"/>
          </w:tcPr>
          <w:p w:rsidR="001C7DB3" w:rsidRDefault="001C7DB3" w:rsidP="00502167">
            <w:pPr>
              <w:pStyle w:val="TableParagraph"/>
              <w:jc w:val="both"/>
              <w:rPr>
                <w:rFonts w:ascii="Times New Roman"/>
              </w:rPr>
            </w:pPr>
          </w:p>
        </w:tc>
      </w:tr>
      <w:tr w:rsidR="001C7DB3">
        <w:trPr>
          <w:trHeight w:val="246"/>
        </w:trPr>
        <w:tc>
          <w:tcPr>
            <w:tcW w:w="845" w:type="dxa"/>
          </w:tcPr>
          <w:p w:rsidR="001C7DB3" w:rsidRDefault="005C2DA6" w:rsidP="00502167">
            <w:pPr>
              <w:pStyle w:val="TableParagraph"/>
              <w:spacing w:line="226" w:lineRule="exact"/>
              <w:ind w:left="98" w:right="82"/>
              <w:jc w:val="center"/>
            </w:pPr>
            <w:r>
              <w:t>2.4.4</w:t>
            </w:r>
          </w:p>
        </w:tc>
        <w:tc>
          <w:tcPr>
            <w:tcW w:w="7658" w:type="dxa"/>
          </w:tcPr>
          <w:p w:rsidR="001C7DB3" w:rsidRDefault="005C2DA6" w:rsidP="00502167">
            <w:pPr>
              <w:pStyle w:val="TableParagraph"/>
              <w:spacing w:line="226" w:lineRule="exact"/>
              <w:ind w:left="109" w:right="68"/>
              <w:jc w:val="both"/>
            </w:pPr>
            <w:r>
              <w:t>Descripción de todos los equipos destinados a la cuantificación</w:t>
            </w:r>
          </w:p>
        </w:tc>
        <w:tc>
          <w:tcPr>
            <w:tcW w:w="992" w:type="dxa"/>
          </w:tcPr>
          <w:p w:rsidR="001C7DB3" w:rsidRDefault="001C7DB3" w:rsidP="00502167">
            <w:pPr>
              <w:pStyle w:val="TableParagraph"/>
              <w:jc w:val="both"/>
              <w:rPr>
                <w:rFonts w:ascii="Times New Roman"/>
                <w:sz w:val="16"/>
              </w:rPr>
            </w:pPr>
          </w:p>
        </w:tc>
      </w:tr>
      <w:tr w:rsidR="001C7DB3" w:rsidTr="004554BA">
        <w:trPr>
          <w:trHeight w:val="216"/>
        </w:trPr>
        <w:tc>
          <w:tcPr>
            <w:tcW w:w="845" w:type="dxa"/>
          </w:tcPr>
          <w:p w:rsidR="001C7DB3" w:rsidRDefault="005C2DA6" w:rsidP="00502167">
            <w:pPr>
              <w:pStyle w:val="TableParagraph"/>
              <w:spacing w:line="250" w:lineRule="exact"/>
              <w:ind w:left="98" w:right="82"/>
              <w:jc w:val="center"/>
            </w:pPr>
            <w:r>
              <w:t>2.4.5</w:t>
            </w:r>
          </w:p>
        </w:tc>
        <w:tc>
          <w:tcPr>
            <w:tcW w:w="7658" w:type="dxa"/>
          </w:tcPr>
          <w:p w:rsidR="001C7DB3" w:rsidRDefault="005C2DA6" w:rsidP="00502167">
            <w:pPr>
              <w:pStyle w:val="TableParagraph"/>
              <w:spacing w:before="2" w:line="252" w:lineRule="exact"/>
              <w:ind w:left="109" w:right="68"/>
              <w:jc w:val="both"/>
            </w:pPr>
            <w:r>
              <w:t>Descripción de todos los reactivos y materiales utilizados en la cuantificación</w:t>
            </w:r>
          </w:p>
        </w:tc>
        <w:tc>
          <w:tcPr>
            <w:tcW w:w="992" w:type="dxa"/>
          </w:tcPr>
          <w:p w:rsidR="001C7DB3" w:rsidRDefault="001C7DB3" w:rsidP="00502167">
            <w:pPr>
              <w:pStyle w:val="TableParagraph"/>
              <w:jc w:val="both"/>
              <w:rPr>
                <w:rFonts w:ascii="Times New Roman"/>
              </w:rPr>
            </w:pPr>
          </w:p>
        </w:tc>
      </w:tr>
      <w:tr w:rsidR="001C7DB3">
        <w:trPr>
          <w:trHeight w:val="251"/>
        </w:trPr>
        <w:tc>
          <w:tcPr>
            <w:tcW w:w="845" w:type="dxa"/>
          </w:tcPr>
          <w:p w:rsidR="001C7DB3" w:rsidRDefault="005C2DA6" w:rsidP="00502167">
            <w:pPr>
              <w:pStyle w:val="TableParagraph"/>
              <w:spacing w:line="232" w:lineRule="exact"/>
              <w:ind w:left="98" w:right="82"/>
              <w:jc w:val="center"/>
            </w:pPr>
            <w:r>
              <w:t>2.4.6</w:t>
            </w:r>
          </w:p>
        </w:tc>
        <w:tc>
          <w:tcPr>
            <w:tcW w:w="7658" w:type="dxa"/>
          </w:tcPr>
          <w:p w:rsidR="001C7DB3" w:rsidRDefault="005C2DA6" w:rsidP="00502167">
            <w:pPr>
              <w:pStyle w:val="TableParagraph"/>
              <w:spacing w:line="232" w:lineRule="exact"/>
              <w:ind w:left="109"/>
              <w:jc w:val="both"/>
            </w:pPr>
            <w:r>
              <w:t>Matriz biológica</w:t>
            </w:r>
          </w:p>
        </w:tc>
        <w:tc>
          <w:tcPr>
            <w:tcW w:w="992" w:type="dxa"/>
          </w:tcPr>
          <w:p w:rsidR="001C7DB3" w:rsidRDefault="001C7DB3" w:rsidP="00502167">
            <w:pPr>
              <w:pStyle w:val="TableParagraph"/>
              <w:jc w:val="both"/>
              <w:rPr>
                <w:rFonts w:ascii="Times New Roman"/>
                <w:sz w:val="18"/>
              </w:rPr>
            </w:pPr>
          </w:p>
        </w:tc>
      </w:tr>
      <w:tr w:rsidR="001C7DB3">
        <w:trPr>
          <w:trHeight w:val="253"/>
        </w:trPr>
        <w:tc>
          <w:tcPr>
            <w:tcW w:w="845" w:type="dxa"/>
          </w:tcPr>
          <w:p w:rsidR="001C7DB3" w:rsidRDefault="005C2DA6" w:rsidP="00502167">
            <w:pPr>
              <w:pStyle w:val="TableParagraph"/>
              <w:spacing w:line="234" w:lineRule="exact"/>
              <w:ind w:left="98" w:right="82"/>
              <w:jc w:val="center"/>
            </w:pPr>
            <w:r>
              <w:t>2.4.7</w:t>
            </w:r>
          </w:p>
        </w:tc>
        <w:tc>
          <w:tcPr>
            <w:tcW w:w="7658" w:type="dxa"/>
          </w:tcPr>
          <w:p w:rsidR="001C7DB3" w:rsidRDefault="005C2DA6" w:rsidP="00502167">
            <w:pPr>
              <w:pStyle w:val="TableParagraph"/>
              <w:spacing w:line="234" w:lineRule="exact"/>
              <w:ind w:left="109"/>
              <w:jc w:val="both"/>
            </w:pPr>
            <w:r>
              <w:t>Anticoagulante</w:t>
            </w:r>
          </w:p>
        </w:tc>
        <w:tc>
          <w:tcPr>
            <w:tcW w:w="992" w:type="dxa"/>
          </w:tcPr>
          <w:p w:rsidR="001C7DB3" w:rsidRDefault="001C7DB3" w:rsidP="00502167">
            <w:pPr>
              <w:pStyle w:val="TableParagraph"/>
              <w:jc w:val="both"/>
              <w:rPr>
                <w:rFonts w:ascii="Times New Roman"/>
                <w:sz w:val="18"/>
              </w:rPr>
            </w:pPr>
          </w:p>
        </w:tc>
      </w:tr>
      <w:tr w:rsidR="001C7DB3">
        <w:trPr>
          <w:trHeight w:val="252"/>
        </w:trPr>
        <w:tc>
          <w:tcPr>
            <w:tcW w:w="845" w:type="dxa"/>
          </w:tcPr>
          <w:p w:rsidR="001C7DB3" w:rsidRDefault="005C2DA6" w:rsidP="00502167">
            <w:pPr>
              <w:pStyle w:val="TableParagraph"/>
              <w:spacing w:line="232" w:lineRule="exact"/>
              <w:ind w:left="98" w:right="82"/>
              <w:jc w:val="center"/>
            </w:pPr>
            <w:r>
              <w:t>2.4.8</w:t>
            </w:r>
          </w:p>
        </w:tc>
        <w:tc>
          <w:tcPr>
            <w:tcW w:w="7658" w:type="dxa"/>
          </w:tcPr>
          <w:p w:rsidR="001C7DB3" w:rsidRDefault="005C2DA6" w:rsidP="00502167">
            <w:pPr>
              <w:pStyle w:val="TableParagraph"/>
              <w:spacing w:line="232" w:lineRule="exact"/>
              <w:ind w:left="109"/>
              <w:jc w:val="both"/>
            </w:pPr>
            <w:r>
              <w:t>Tratamiento de las muestras -Tipo de extracción</w:t>
            </w:r>
          </w:p>
        </w:tc>
        <w:tc>
          <w:tcPr>
            <w:tcW w:w="992" w:type="dxa"/>
          </w:tcPr>
          <w:p w:rsidR="001C7DB3" w:rsidRDefault="001C7DB3" w:rsidP="00502167">
            <w:pPr>
              <w:pStyle w:val="TableParagraph"/>
              <w:jc w:val="both"/>
              <w:rPr>
                <w:rFonts w:ascii="Times New Roman"/>
                <w:sz w:val="18"/>
              </w:rPr>
            </w:pPr>
          </w:p>
        </w:tc>
      </w:tr>
      <w:tr w:rsidR="001C7DB3">
        <w:trPr>
          <w:trHeight w:val="254"/>
        </w:trPr>
        <w:tc>
          <w:tcPr>
            <w:tcW w:w="845" w:type="dxa"/>
          </w:tcPr>
          <w:p w:rsidR="001C7DB3" w:rsidRDefault="005C2DA6" w:rsidP="00502167">
            <w:pPr>
              <w:pStyle w:val="TableParagraph"/>
              <w:spacing w:line="234" w:lineRule="exact"/>
              <w:ind w:left="98" w:right="82"/>
              <w:jc w:val="center"/>
            </w:pPr>
            <w:r>
              <w:t>2.4.9</w:t>
            </w:r>
          </w:p>
        </w:tc>
        <w:tc>
          <w:tcPr>
            <w:tcW w:w="7658" w:type="dxa"/>
          </w:tcPr>
          <w:p w:rsidR="001C7DB3" w:rsidRDefault="005C2DA6" w:rsidP="00502167">
            <w:pPr>
              <w:pStyle w:val="TableParagraph"/>
              <w:spacing w:line="234" w:lineRule="exact"/>
              <w:ind w:left="109"/>
              <w:jc w:val="both"/>
            </w:pPr>
            <w:r>
              <w:t>Identificación del Analito del estudio</w:t>
            </w:r>
          </w:p>
        </w:tc>
        <w:tc>
          <w:tcPr>
            <w:tcW w:w="992" w:type="dxa"/>
          </w:tcPr>
          <w:p w:rsidR="001C7DB3" w:rsidRDefault="001C7DB3" w:rsidP="00502167">
            <w:pPr>
              <w:pStyle w:val="TableParagraph"/>
              <w:jc w:val="both"/>
              <w:rPr>
                <w:rFonts w:ascii="Times New Roman"/>
                <w:sz w:val="18"/>
              </w:rPr>
            </w:pPr>
          </w:p>
        </w:tc>
      </w:tr>
      <w:tr w:rsidR="001C7DB3">
        <w:trPr>
          <w:trHeight w:val="251"/>
        </w:trPr>
        <w:tc>
          <w:tcPr>
            <w:tcW w:w="845" w:type="dxa"/>
          </w:tcPr>
          <w:p w:rsidR="001C7DB3" w:rsidRDefault="005C2DA6" w:rsidP="00502167">
            <w:pPr>
              <w:pStyle w:val="TableParagraph"/>
              <w:spacing w:line="231" w:lineRule="exact"/>
              <w:ind w:left="101" w:right="82"/>
              <w:jc w:val="center"/>
            </w:pPr>
            <w:r>
              <w:t>2.4.10</w:t>
            </w:r>
          </w:p>
        </w:tc>
        <w:tc>
          <w:tcPr>
            <w:tcW w:w="7658" w:type="dxa"/>
          </w:tcPr>
          <w:p w:rsidR="001C7DB3" w:rsidRDefault="005C2DA6" w:rsidP="00502167">
            <w:pPr>
              <w:pStyle w:val="TableParagraph"/>
              <w:spacing w:line="231" w:lineRule="exact"/>
              <w:ind w:left="109"/>
              <w:jc w:val="both"/>
            </w:pPr>
            <w:r>
              <w:t>Estándar interno</w:t>
            </w:r>
          </w:p>
        </w:tc>
        <w:tc>
          <w:tcPr>
            <w:tcW w:w="992" w:type="dxa"/>
          </w:tcPr>
          <w:p w:rsidR="001C7DB3" w:rsidRDefault="001C7DB3" w:rsidP="00502167">
            <w:pPr>
              <w:pStyle w:val="TableParagraph"/>
              <w:jc w:val="both"/>
              <w:rPr>
                <w:rFonts w:ascii="Times New Roman"/>
                <w:sz w:val="18"/>
              </w:rPr>
            </w:pPr>
          </w:p>
        </w:tc>
      </w:tr>
      <w:tr w:rsidR="001C7DB3">
        <w:trPr>
          <w:trHeight w:val="1012"/>
        </w:trPr>
        <w:tc>
          <w:tcPr>
            <w:tcW w:w="845" w:type="dxa"/>
          </w:tcPr>
          <w:p w:rsidR="001C7DB3" w:rsidRDefault="005C2DA6" w:rsidP="00502167">
            <w:pPr>
              <w:pStyle w:val="TableParagraph"/>
              <w:spacing w:line="248" w:lineRule="exact"/>
              <w:ind w:left="101" w:right="82"/>
              <w:jc w:val="center"/>
            </w:pPr>
            <w:r>
              <w:t>2.4.11</w:t>
            </w:r>
          </w:p>
        </w:tc>
        <w:tc>
          <w:tcPr>
            <w:tcW w:w="7658" w:type="dxa"/>
          </w:tcPr>
          <w:p w:rsidR="001C7DB3" w:rsidRDefault="005C2DA6" w:rsidP="00502167">
            <w:pPr>
              <w:pStyle w:val="TableParagraph"/>
              <w:ind w:left="109"/>
              <w:jc w:val="both"/>
            </w:pPr>
            <w:r>
              <w:t>Preparación de solución patrón, soluciones de trabajo, estándares de calibración y controles de calidad. Informar detalles de preparación,</w:t>
            </w:r>
          </w:p>
          <w:p w:rsidR="001C7DB3" w:rsidRDefault="005C2DA6" w:rsidP="00502167">
            <w:pPr>
              <w:pStyle w:val="TableParagraph"/>
              <w:spacing w:before="12" w:line="223" w:lineRule="auto"/>
              <w:ind w:left="109" w:right="144"/>
              <w:jc w:val="both"/>
            </w:pPr>
            <w:r>
              <w:t>concentraciones, condiciones de almacenamiento (si es aplicable), pruebas realizadas.</w:t>
            </w:r>
          </w:p>
        </w:tc>
        <w:tc>
          <w:tcPr>
            <w:tcW w:w="992" w:type="dxa"/>
          </w:tcPr>
          <w:p w:rsidR="001C7DB3" w:rsidRDefault="001C7DB3" w:rsidP="00502167">
            <w:pPr>
              <w:pStyle w:val="TableParagraph"/>
              <w:jc w:val="both"/>
              <w:rPr>
                <w:rFonts w:ascii="Times New Roman"/>
              </w:rPr>
            </w:pPr>
          </w:p>
        </w:tc>
      </w:tr>
      <w:tr w:rsidR="001C7DB3">
        <w:trPr>
          <w:trHeight w:val="254"/>
        </w:trPr>
        <w:tc>
          <w:tcPr>
            <w:tcW w:w="845" w:type="dxa"/>
          </w:tcPr>
          <w:p w:rsidR="001C7DB3" w:rsidRDefault="005C2DA6" w:rsidP="00502167">
            <w:pPr>
              <w:pStyle w:val="TableParagraph"/>
              <w:spacing w:line="234" w:lineRule="exact"/>
              <w:ind w:left="101" w:right="82"/>
              <w:jc w:val="center"/>
            </w:pPr>
            <w:r>
              <w:t>2.4.12</w:t>
            </w:r>
          </w:p>
        </w:tc>
        <w:tc>
          <w:tcPr>
            <w:tcW w:w="7658" w:type="dxa"/>
          </w:tcPr>
          <w:p w:rsidR="001C7DB3" w:rsidRDefault="005C2DA6" w:rsidP="00502167">
            <w:pPr>
              <w:pStyle w:val="TableParagraph"/>
              <w:spacing w:line="234" w:lineRule="exact"/>
              <w:ind w:left="109"/>
              <w:jc w:val="both"/>
            </w:pPr>
            <w:r>
              <w:t>Aptitud del sistema</w:t>
            </w:r>
          </w:p>
        </w:tc>
        <w:tc>
          <w:tcPr>
            <w:tcW w:w="992" w:type="dxa"/>
          </w:tcPr>
          <w:p w:rsidR="001C7DB3" w:rsidRDefault="001C7DB3" w:rsidP="00502167">
            <w:pPr>
              <w:pStyle w:val="TableParagraph"/>
              <w:jc w:val="both"/>
              <w:rPr>
                <w:rFonts w:ascii="Times New Roman"/>
                <w:sz w:val="18"/>
              </w:rPr>
            </w:pPr>
          </w:p>
        </w:tc>
      </w:tr>
      <w:tr w:rsidR="001C7DB3">
        <w:trPr>
          <w:trHeight w:val="755"/>
        </w:trPr>
        <w:tc>
          <w:tcPr>
            <w:tcW w:w="845" w:type="dxa"/>
          </w:tcPr>
          <w:p w:rsidR="001C7DB3" w:rsidRDefault="005C2DA6" w:rsidP="00502167">
            <w:pPr>
              <w:pStyle w:val="TableParagraph"/>
              <w:spacing w:line="248" w:lineRule="exact"/>
              <w:ind w:left="100" w:right="82"/>
              <w:jc w:val="center"/>
            </w:pPr>
            <w:r>
              <w:t>2.5</w:t>
            </w:r>
          </w:p>
        </w:tc>
        <w:tc>
          <w:tcPr>
            <w:tcW w:w="7658" w:type="dxa"/>
          </w:tcPr>
          <w:p w:rsidR="001C7DB3" w:rsidRDefault="005C2DA6" w:rsidP="00502167">
            <w:pPr>
              <w:pStyle w:val="TableParagraph"/>
              <w:spacing w:line="250" w:lineRule="exact"/>
              <w:ind w:left="109"/>
              <w:jc w:val="both"/>
            </w:pPr>
            <w:r>
              <w:t>Patrones de referencia (identificación, número de lote, fecha de</w:t>
            </w:r>
          </w:p>
          <w:p w:rsidR="001C7DB3" w:rsidRDefault="005C2DA6" w:rsidP="00502167">
            <w:pPr>
              <w:pStyle w:val="TableParagraph"/>
              <w:spacing w:before="15" w:line="238" w:lineRule="exact"/>
              <w:ind w:left="109" w:right="646"/>
              <w:jc w:val="both"/>
            </w:pPr>
            <w:r>
              <w:t>vencimiento, nombre y dirección del fabricante, pureza, certificados de análisis, estabilidad y condiciones de almacenamiento)</w:t>
            </w:r>
          </w:p>
        </w:tc>
        <w:tc>
          <w:tcPr>
            <w:tcW w:w="992" w:type="dxa"/>
          </w:tcPr>
          <w:p w:rsidR="001C7DB3" w:rsidRDefault="001C7DB3" w:rsidP="00502167">
            <w:pPr>
              <w:pStyle w:val="TableParagraph"/>
              <w:jc w:val="both"/>
              <w:rPr>
                <w:rFonts w:ascii="Times New Roman"/>
              </w:rPr>
            </w:pPr>
          </w:p>
        </w:tc>
      </w:tr>
      <w:tr w:rsidR="001C7DB3">
        <w:trPr>
          <w:trHeight w:val="508"/>
        </w:trPr>
        <w:tc>
          <w:tcPr>
            <w:tcW w:w="845" w:type="dxa"/>
          </w:tcPr>
          <w:p w:rsidR="001C7DB3" w:rsidRDefault="005C2DA6" w:rsidP="00502167">
            <w:pPr>
              <w:pStyle w:val="TableParagraph"/>
              <w:spacing w:line="248" w:lineRule="exact"/>
              <w:ind w:left="100" w:right="82"/>
              <w:jc w:val="center"/>
            </w:pPr>
            <w:r>
              <w:t>2.6</w:t>
            </w:r>
          </w:p>
        </w:tc>
        <w:tc>
          <w:tcPr>
            <w:tcW w:w="7658" w:type="dxa"/>
          </w:tcPr>
          <w:p w:rsidR="001C7DB3" w:rsidRDefault="005C2DA6" w:rsidP="00502167">
            <w:pPr>
              <w:pStyle w:val="TableParagraph"/>
              <w:spacing w:line="248" w:lineRule="exact"/>
              <w:ind w:left="109"/>
              <w:jc w:val="both"/>
            </w:pPr>
            <w:r>
              <w:t>Validación método bioanalítico. Debe presentarse protocolo e informe</w:t>
            </w:r>
          </w:p>
          <w:p w:rsidR="001C7DB3" w:rsidRDefault="005C2DA6" w:rsidP="00502167">
            <w:pPr>
              <w:pStyle w:val="TableParagraph"/>
              <w:spacing w:before="1" w:line="239" w:lineRule="exact"/>
              <w:ind w:left="109"/>
              <w:jc w:val="both"/>
            </w:pPr>
            <w:r>
              <w:t>incluyendo lo siguiente:</w:t>
            </w:r>
          </w:p>
        </w:tc>
        <w:tc>
          <w:tcPr>
            <w:tcW w:w="992" w:type="dxa"/>
          </w:tcPr>
          <w:p w:rsidR="001C7DB3" w:rsidRDefault="001C7DB3" w:rsidP="00502167">
            <w:pPr>
              <w:pStyle w:val="TableParagraph"/>
              <w:jc w:val="both"/>
              <w:rPr>
                <w:rFonts w:ascii="Times New Roman"/>
              </w:rPr>
            </w:pPr>
          </w:p>
        </w:tc>
      </w:tr>
      <w:tr w:rsidR="001C7DB3">
        <w:trPr>
          <w:trHeight w:val="504"/>
        </w:trPr>
        <w:tc>
          <w:tcPr>
            <w:tcW w:w="845" w:type="dxa"/>
          </w:tcPr>
          <w:p w:rsidR="001C7DB3" w:rsidRDefault="005C2DA6" w:rsidP="00502167">
            <w:pPr>
              <w:pStyle w:val="TableParagraph"/>
              <w:spacing w:line="246" w:lineRule="exact"/>
              <w:ind w:left="98" w:right="82"/>
              <w:jc w:val="center"/>
            </w:pPr>
            <w:r>
              <w:t>2.6.1</w:t>
            </w:r>
          </w:p>
        </w:tc>
        <w:tc>
          <w:tcPr>
            <w:tcW w:w="7658" w:type="dxa"/>
          </w:tcPr>
          <w:p w:rsidR="001C7DB3" w:rsidRDefault="005C2DA6" w:rsidP="00502167">
            <w:pPr>
              <w:pStyle w:val="TableParagraph"/>
              <w:spacing w:before="7" w:line="223" w:lineRule="auto"/>
              <w:ind w:left="109" w:right="523"/>
              <w:jc w:val="both"/>
            </w:pPr>
            <w:r>
              <w:t>Cronograma de validación indicando los atributos ensayados por día de validación</w:t>
            </w:r>
          </w:p>
        </w:tc>
        <w:tc>
          <w:tcPr>
            <w:tcW w:w="992" w:type="dxa"/>
          </w:tcPr>
          <w:p w:rsidR="001C7DB3" w:rsidRDefault="001C7DB3" w:rsidP="00502167">
            <w:pPr>
              <w:pStyle w:val="TableParagraph"/>
              <w:jc w:val="both"/>
              <w:rPr>
                <w:rFonts w:ascii="Times New Roman"/>
              </w:rPr>
            </w:pPr>
          </w:p>
        </w:tc>
      </w:tr>
      <w:tr w:rsidR="001C7DB3">
        <w:trPr>
          <w:trHeight w:val="508"/>
        </w:trPr>
        <w:tc>
          <w:tcPr>
            <w:tcW w:w="845" w:type="dxa"/>
          </w:tcPr>
          <w:p w:rsidR="001C7DB3" w:rsidRDefault="005C2DA6" w:rsidP="00502167">
            <w:pPr>
              <w:pStyle w:val="TableParagraph"/>
              <w:spacing w:line="248" w:lineRule="exact"/>
              <w:ind w:left="98" w:right="82"/>
              <w:jc w:val="center"/>
            </w:pPr>
            <w:r>
              <w:t>2.6.2</w:t>
            </w:r>
          </w:p>
        </w:tc>
        <w:tc>
          <w:tcPr>
            <w:tcW w:w="7658" w:type="dxa"/>
          </w:tcPr>
          <w:p w:rsidR="001C7DB3" w:rsidRDefault="005C2DA6" w:rsidP="00502167">
            <w:pPr>
              <w:pStyle w:val="TableParagraph"/>
              <w:spacing w:line="248" w:lineRule="exact"/>
              <w:ind w:left="109"/>
              <w:jc w:val="both"/>
            </w:pPr>
            <w:r>
              <w:t>Plasmas blancos utilizados durante la validación (Indicar origen,</w:t>
            </w:r>
          </w:p>
          <w:p w:rsidR="001C7DB3" w:rsidRDefault="005C2DA6" w:rsidP="00502167">
            <w:pPr>
              <w:pStyle w:val="TableParagraph"/>
              <w:spacing w:before="1" w:line="239" w:lineRule="exact"/>
              <w:ind w:left="109"/>
              <w:jc w:val="both"/>
            </w:pPr>
            <w:r>
              <w:t>identificación conservación, uso)</w:t>
            </w:r>
          </w:p>
        </w:tc>
        <w:tc>
          <w:tcPr>
            <w:tcW w:w="992" w:type="dxa"/>
          </w:tcPr>
          <w:p w:rsidR="001C7DB3" w:rsidRDefault="001C7DB3" w:rsidP="00502167">
            <w:pPr>
              <w:pStyle w:val="TableParagraph"/>
              <w:jc w:val="both"/>
              <w:rPr>
                <w:rFonts w:ascii="Times New Roman"/>
              </w:rPr>
            </w:pPr>
          </w:p>
        </w:tc>
      </w:tr>
      <w:tr w:rsidR="001C7DB3">
        <w:trPr>
          <w:trHeight w:val="1516"/>
        </w:trPr>
        <w:tc>
          <w:tcPr>
            <w:tcW w:w="845" w:type="dxa"/>
          </w:tcPr>
          <w:p w:rsidR="001C7DB3" w:rsidRDefault="005C2DA6" w:rsidP="00502167">
            <w:pPr>
              <w:pStyle w:val="TableParagraph"/>
              <w:spacing w:line="246" w:lineRule="exact"/>
              <w:ind w:left="98" w:right="82"/>
              <w:jc w:val="center"/>
            </w:pPr>
            <w:r>
              <w:t>2.6.3</w:t>
            </w:r>
          </w:p>
        </w:tc>
        <w:tc>
          <w:tcPr>
            <w:tcW w:w="7658" w:type="dxa"/>
          </w:tcPr>
          <w:p w:rsidR="001C7DB3" w:rsidRDefault="005C2DA6" w:rsidP="00502167">
            <w:pPr>
              <w:pStyle w:val="TableParagraph"/>
              <w:ind w:left="109" w:right="303"/>
              <w:jc w:val="both"/>
            </w:pPr>
            <w:r>
              <w:t>Preparación de solución patrón, soluciones de trabajo, estándares de calibración, controles de calidad (bajo, medio, alto) y control de calidad de la dilución. Informar cantidad de replicados preparados y concentración, datos crudos de pesadas, fecha de preparación, detalles de preparación, condiciones de almacenamiento empleadas previas a sus análisis,</w:t>
            </w:r>
          </w:p>
          <w:p w:rsidR="001C7DB3" w:rsidRDefault="005C2DA6" w:rsidP="00502167">
            <w:pPr>
              <w:pStyle w:val="TableParagraph"/>
              <w:spacing w:line="234" w:lineRule="exact"/>
              <w:ind w:left="109"/>
              <w:jc w:val="both"/>
            </w:pPr>
            <w:r>
              <w:t>cumplimiento o desvíos de POS.</w:t>
            </w:r>
          </w:p>
        </w:tc>
        <w:tc>
          <w:tcPr>
            <w:tcW w:w="992" w:type="dxa"/>
          </w:tcPr>
          <w:p w:rsidR="001C7DB3" w:rsidRDefault="001C7DB3" w:rsidP="00502167">
            <w:pPr>
              <w:pStyle w:val="TableParagraph"/>
              <w:jc w:val="both"/>
              <w:rPr>
                <w:rFonts w:ascii="Times New Roman"/>
              </w:rPr>
            </w:pPr>
          </w:p>
        </w:tc>
      </w:tr>
      <w:tr w:rsidR="001C7DB3">
        <w:trPr>
          <w:trHeight w:val="505"/>
        </w:trPr>
        <w:tc>
          <w:tcPr>
            <w:tcW w:w="845" w:type="dxa"/>
          </w:tcPr>
          <w:p w:rsidR="001C7DB3" w:rsidRDefault="005C2DA6" w:rsidP="00502167">
            <w:pPr>
              <w:pStyle w:val="TableParagraph"/>
              <w:spacing w:line="248" w:lineRule="exact"/>
              <w:ind w:left="98" w:right="82"/>
              <w:jc w:val="center"/>
            </w:pPr>
            <w:r>
              <w:t>2.6.4</w:t>
            </w:r>
          </w:p>
        </w:tc>
        <w:tc>
          <w:tcPr>
            <w:tcW w:w="7658" w:type="dxa"/>
          </w:tcPr>
          <w:p w:rsidR="001C7DB3" w:rsidRDefault="005C2DA6" w:rsidP="00502167">
            <w:pPr>
              <w:pStyle w:val="TableParagraph"/>
              <w:spacing w:line="248" w:lineRule="exact"/>
              <w:ind w:left="109"/>
              <w:jc w:val="both"/>
            </w:pPr>
            <w:r>
              <w:t>Registros de verificación inicial de preparación de soluciones y/o</w:t>
            </w:r>
          </w:p>
          <w:p w:rsidR="001C7DB3" w:rsidRDefault="005C2DA6" w:rsidP="00502167">
            <w:pPr>
              <w:pStyle w:val="TableParagraph"/>
              <w:spacing w:before="1" w:line="237" w:lineRule="exact"/>
              <w:ind w:left="109"/>
              <w:jc w:val="both"/>
            </w:pPr>
            <w:r>
              <w:t>estándares de calibración - controles de calidad</w:t>
            </w:r>
          </w:p>
        </w:tc>
        <w:tc>
          <w:tcPr>
            <w:tcW w:w="992" w:type="dxa"/>
          </w:tcPr>
          <w:p w:rsidR="001C7DB3" w:rsidRDefault="001C7DB3" w:rsidP="00502167">
            <w:pPr>
              <w:pStyle w:val="TableParagraph"/>
              <w:jc w:val="both"/>
              <w:rPr>
                <w:rFonts w:ascii="Times New Roman"/>
              </w:rPr>
            </w:pPr>
          </w:p>
        </w:tc>
      </w:tr>
    </w:tbl>
    <w:p w:rsidR="001C7DB3" w:rsidRDefault="001C7DB3" w:rsidP="00502167">
      <w:pPr>
        <w:jc w:val="both"/>
        <w:rPr>
          <w:rFonts w:ascii="Times New Roman"/>
        </w:rPr>
        <w:sectPr w:rsidR="001C7DB3">
          <w:headerReference w:type="default" r:id="rId6"/>
          <w:footerReference w:type="default" r:id="rId7"/>
          <w:type w:val="continuous"/>
          <w:pgSz w:w="11920" w:h="16850"/>
          <w:pgMar w:top="980" w:right="700" w:bottom="1100" w:left="1380" w:header="720" w:footer="911" w:gutter="0"/>
          <w:pgNumType w:start="1"/>
          <w:cols w:space="720"/>
        </w:sectPr>
      </w:pPr>
    </w:p>
    <w:p w:rsidR="001C7DB3" w:rsidRDefault="001C7DB3" w:rsidP="00502167">
      <w:pPr>
        <w:pStyle w:val="Textoindependiente"/>
        <w:jc w:val="both"/>
        <w:rPr>
          <w:rFonts w:ascii="Times New Roman"/>
          <w:b w:val="0"/>
          <w:i w:val="0"/>
          <w:sz w:val="20"/>
        </w:rPr>
      </w:pPr>
      <w:bookmarkStart w:id="0" w:name="_GoBack"/>
      <w:bookmarkEnd w:id="0"/>
    </w:p>
    <w:p w:rsidR="001C7DB3" w:rsidRDefault="001C7DB3" w:rsidP="00502167">
      <w:pPr>
        <w:pStyle w:val="Textoindependiente"/>
        <w:jc w:val="both"/>
        <w:rPr>
          <w:rFonts w:ascii="Times New Roman"/>
          <w:b w:val="0"/>
          <w:i w:val="0"/>
        </w:rPr>
      </w:pPr>
    </w:p>
    <w:tbl>
      <w:tblPr>
        <w:tblStyle w:val="TableNormal"/>
        <w:tblW w:w="0" w:type="auto"/>
        <w:tblInd w:w="2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47"/>
        <w:gridCol w:w="7657"/>
        <w:gridCol w:w="989"/>
      </w:tblGrid>
      <w:tr w:rsidR="001C7DB3">
        <w:trPr>
          <w:trHeight w:val="756"/>
        </w:trPr>
        <w:tc>
          <w:tcPr>
            <w:tcW w:w="847" w:type="dxa"/>
            <w:tcBorders>
              <w:left w:val="single" w:sz="4" w:space="0" w:color="000000"/>
              <w:bottom w:val="single" w:sz="4" w:space="0" w:color="000000"/>
              <w:right w:val="single" w:sz="4" w:space="0" w:color="000000"/>
            </w:tcBorders>
          </w:tcPr>
          <w:p w:rsidR="001C7DB3" w:rsidRDefault="005C2DA6" w:rsidP="00502167">
            <w:pPr>
              <w:pStyle w:val="TableParagraph"/>
              <w:spacing w:line="249" w:lineRule="exact"/>
              <w:ind w:left="100" w:right="81"/>
              <w:jc w:val="center"/>
            </w:pPr>
            <w:r>
              <w:t>2.6.5</w:t>
            </w:r>
          </w:p>
        </w:tc>
        <w:tc>
          <w:tcPr>
            <w:tcW w:w="7657" w:type="dxa"/>
            <w:tcBorders>
              <w:left w:val="single" w:sz="4" w:space="0" w:color="000000"/>
              <w:bottom w:val="single" w:sz="4" w:space="0" w:color="000000"/>
              <w:right w:val="single" w:sz="4" w:space="0" w:color="000000"/>
            </w:tcBorders>
          </w:tcPr>
          <w:p w:rsidR="001C7DB3" w:rsidRDefault="005C2DA6" w:rsidP="004554BA">
            <w:pPr>
              <w:pStyle w:val="TableParagraph"/>
              <w:spacing w:before="1" w:line="252" w:lineRule="exact"/>
              <w:ind w:left="110" w:right="77"/>
              <w:jc w:val="both"/>
            </w:pPr>
            <w:r>
              <w:t xml:space="preserve">Requisitos completos de movimiento de soluciones </w:t>
            </w:r>
            <w:r>
              <w:rPr>
                <w:i/>
              </w:rPr>
              <w:t xml:space="preserve">y/o </w:t>
            </w:r>
            <w:r>
              <w:t>estándares de calibración - controles de calidad en freezer/heladera durante todos los días de validación</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506"/>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50" w:lineRule="exact"/>
              <w:ind w:left="100" w:right="81"/>
              <w:jc w:val="center"/>
            </w:pPr>
            <w:r>
              <w:t>2.6.6</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before="2" w:line="252" w:lineRule="exact"/>
              <w:ind w:left="110" w:right="203"/>
              <w:jc w:val="both"/>
            </w:pPr>
            <w:r>
              <w:t>Selectividad (Indicar Identificación de las muestras analizadas,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251"/>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31" w:lineRule="exact"/>
              <w:ind w:left="100" w:right="81"/>
              <w:jc w:val="center"/>
            </w:pPr>
            <w:r>
              <w:t>2.6.7</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31" w:lineRule="exact"/>
              <w:ind w:left="110"/>
              <w:jc w:val="both"/>
              <w:rPr>
                <w:i/>
              </w:rPr>
            </w:pPr>
            <w:r>
              <w:t xml:space="preserve">Contaminación </w:t>
            </w:r>
            <w:r>
              <w:rPr>
                <w:i/>
              </w:rPr>
              <w:t xml:space="preserve">(efecto </w:t>
            </w:r>
            <w:proofErr w:type="spellStart"/>
            <w:r>
              <w:rPr>
                <w:i/>
              </w:rPr>
              <w:t>Carry</w:t>
            </w:r>
            <w:proofErr w:type="spellEnd"/>
            <w:r>
              <w:rPr>
                <w:i/>
              </w:rPr>
              <w:t xml:space="preserve"> </w:t>
            </w:r>
            <w:proofErr w:type="spellStart"/>
            <w:r>
              <w:rPr>
                <w:i/>
              </w:rPr>
              <w:t>Over</w:t>
            </w:r>
            <w:proofErr w:type="spellEnd"/>
            <w:r>
              <w:rPr>
                <w:i/>
              </w:rPr>
              <w:t>)</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sz w:val="18"/>
              </w:rPr>
            </w:pPr>
          </w:p>
        </w:tc>
      </w:tr>
      <w:tr w:rsidR="001C7DB3">
        <w:trPr>
          <w:trHeight w:val="1770"/>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50" w:lineRule="exact"/>
              <w:ind w:left="100" w:right="81"/>
              <w:jc w:val="center"/>
            </w:pPr>
            <w:r>
              <w:t>2.6.8</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203"/>
              <w:jc w:val="both"/>
            </w:pPr>
            <w:r>
              <w:t>Curva de calibración (Indicar Fecha de preparación de las muestras; Número de niveles de estándares de calibración; Número de curvas analizadas; Rango lineal; Análisis estadístico de linealidad, modelo de regresión y datos descriptivos - pendiente, ordenada al origen y coeficiente de correlación, valores cuantificados de los estándares de calibración con</w:t>
            </w:r>
          </w:p>
          <w:p w:rsidR="001C7DB3" w:rsidRDefault="005C2DA6" w:rsidP="00502167">
            <w:pPr>
              <w:pStyle w:val="TableParagraph"/>
              <w:spacing w:before="9" w:line="225" w:lineRule="auto"/>
              <w:ind w:left="110" w:right="827"/>
              <w:jc w:val="both"/>
            </w:pPr>
            <w:r>
              <w:t>porcentajes de desvíos respecto a valores nominales; Conclusiones; Descarte de datos)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3"/>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51" w:lineRule="exact"/>
              <w:ind w:left="100" w:right="81"/>
              <w:jc w:val="center"/>
            </w:pPr>
            <w:r>
              <w:t>2.6.9</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203"/>
              <w:jc w:val="both"/>
            </w:pPr>
            <w:r>
              <w:t>Exactitud y Precisión (Indicar Fecha de preparación de las muestras; Concentraciones de las muestras de control de calidad (CC) – Número de</w:t>
            </w:r>
          </w:p>
          <w:p w:rsidR="001C7DB3" w:rsidRDefault="005C2DA6" w:rsidP="00502167">
            <w:pPr>
              <w:pStyle w:val="TableParagraph"/>
              <w:spacing w:before="13" w:line="223" w:lineRule="auto"/>
              <w:ind w:left="110" w:right="277"/>
              <w:jc w:val="both"/>
            </w:pPr>
            <w:r>
              <w:t xml:space="preserve">replicados; Resultados y conclusiones; Descarte de datos; Precisión Intra- día e </w:t>
            </w:r>
            <w:proofErr w:type="spellStart"/>
            <w:r>
              <w:t>Inter-</w:t>
            </w:r>
            <w:proofErr w:type="gramStart"/>
            <w:r>
              <w:t>día</w:t>
            </w:r>
            <w:proofErr w:type="spellEnd"/>
            <w:r>
              <w:t xml:space="preserve"> ;</w:t>
            </w:r>
            <w:proofErr w:type="gramEnd"/>
            <w:r>
              <w:t xml:space="preserve"> Exactitud </w:t>
            </w:r>
            <w:proofErr w:type="spellStart"/>
            <w:r>
              <w:t>Intra-día</w:t>
            </w:r>
            <w:proofErr w:type="spellEnd"/>
            <w:r>
              <w:t xml:space="preserve"> e </w:t>
            </w:r>
            <w:proofErr w:type="spellStart"/>
            <w:r>
              <w:t>Inter-día</w:t>
            </w:r>
            <w:proofErr w:type="spellEnd"/>
            <w:r>
              <w:t>)</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2.6.10</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265"/>
              <w:jc w:val="both"/>
            </w:pPr>
            <w:r>
              <w:t xml:space="preserve">Límite inferior de cuantificación - LLOQ - (Indicar Fecha de preparación de las muestras; Concentración - Número de replicados; Precisión </w:t>
            </w:r>
            <w:proofErr w:type="spellStart"/>
            <w:r>
              <w:t>Intra-día</w:t>
            </w:r>
            <w:proofErr w:type="spellEnd"/>
            <w:r>
              <w:t xml:space="preserve"> e</w:t>
            </w:r>
          </w:p>
          <w:p w:rsidR="001C7DB3" w:rsidRDefault="005C2DA6" w:rsidP="00502167">
            <w:pPr>
              <w:pStyle w:val="TableParagraph"/>
              <w:spacing w:before="12" w:line="223" w:lineRule="auto"/>
              <w:ind w:left="110" w:right="938"/>
              <w:jc w:val="both"/>
            </w:pPr>
            <w:proofErr w:type="spellStart"/>
            <w:r>
              <w:t>Inter-día</w:t>
            </w:r>
            <w:proofErr w:type="spellEnd"/>
            <w:r>
              <w:t xml:space="preserve">; Exactitud </w:t>
            </w:r>
            <w:proofErr w:type="spellStart"/>
            <w:r>
              <w:t>Intra-día</w:t>
            </w:r>
            <w:proofErr w:type="spellEnd"/>
            <w:r>
              <w:t xml:space="preserve"> e </w:t>
            </w:r>
            <w:proofErr w:type="spellStart"/>
            <w:r>
              <w:t>Inter-día</w:t>
            </w:r>
            <w:proofErr w:type="spellEnd"/>
            <w:r>
              <w:t>; Resultados y conclusiones, Descarte de datos)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2.6.11</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142"/>
              <w:jc w:val="both"/>
            </w:pPr>
            <w:r>
              <w:t>Integridad de la dilución (Indicar Fecha de preparación de las muestras; Concentraciones de las muestras de control de calidad diluidas, Número de</w:t>
            </w:r>
          </w:p>
          <w:p w:rsidR="001C7DB3" w:rsidRDefault="005C2DA6" w:rsidP="00502167">
            <w:pPr>
              <w:pStyle w:val="TableParagraph"/>
              <w:spacing w:line="252" w:lineRule="exact"/>
              <w:ind w:left="110" w:right="1096"/>
              <w:jc w:val="both"/>
            </w:pPr>
            <w:r>
              <w:t>veces que son diluidas; Factor de dilución; Número de replicados;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07"/>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3" w:lineRule="exact"/>
              <w:ind w:left="103" w:right="81"/>
              <w:jc w:val="center"/>
            </w:pPr>
            <w:r>
              <w:t>2.6.12</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81"/>
              <w:jc w:val="both"/>
            </w:pPr>
            <w:r>
              <w:t>Recuperación (Indicar Fecha de preparación de las muestras; Concentraciones de las muestras de control de analito y de estándar interno</w:t>
            </w:r>
          </w:p>
          <w:p w:rsidR="001C7DB3" w:rsidRDefault="005C2DA6" w:rsidP="00502167">
            <w:pPr>
              <w:pStyle w:val="TableParagraph"/>
              <w:spacing w:line="246" w:lineRule="exact"/>
              <w:ind w:left="110"/>
              <w:jc w:val="both"/>
            </w:pPr>
            <w:r>
              <w:t>- Número de replicados; Recuperación del analito (%); Recuperación del</w:t>
            </w:r>
          </w:p>
          <w:p w:rsidR="001C7DB3" w:rsidRDefault="005C2DA6" w:rsidP="00502167">
            <w:pPr>
              <w:pStyle w:val="TableParagraph"/>
              <w:spacing w:line="236" w:lineRule="exact"/>
              <w:ind w:left="110"/>
              <w:jc w:val="both"/>
            </w:pPr>
            <w:r>
              <w:t>estándar interno (%) ·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202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2.6.13</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167"/>
              <w:jc w:val="both"/>
            </w:pPr>
            <w:r>
              <w:t xml:space="preserve">Efecto matriz - </w:t>
            </w:r>
            <w:r>
              <w:rPr>
                <w:i/>
              </w:rPr>
              <w:t xml:space="preserve">Presentar los siguientes datos sólo para métodos de espectrofotometría de masas. </w:t>
            </w:r>
            <w:r>
              <w:t>(Indicar Identificación de muestras analizadas; Fecha de preparación de las muestras; Concentraciones de las muestras de control de calidad (CC) - Número de replicados; Efecto matriz para todas las concentraciones CC; Efecto matriz normalizado por el estándar Interno, para todas las concentraciones CC; Coeficiente de</w:t>
            </w:r>
          </w:p>
          <w:p w:rsidR="001C7DB3" w:rsidRDefault="005C2DA6" w:rsidP="00502167">
            <w:pPr>
              <w:pStyle w:val="TableParagraph"/>
              <w:spacing w:before="13" w:line="223" w:lineRule="auto"/>
              <w:ind w:left="110" w:right="240"/>
              <w:jc w:val="both"/>
            </w:pPr>
            <w:r>
              <w:t>variación del Efecto matriz normalizado por el estándar Interno, para todas las concentraciones CC;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4"/>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2.6.14</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203"/>
              <w:jc w:val="both"/>
            </w:pPr>
            <w:r>
              <w:t>Estabilidad de la solución stock y soluciones de trabajo (Indicar Solvente utilizado; Concentraciones - Número de replicados; Fecha de Solvente</w:t>
            </w:r>
          </w:p>
          <w:p w:rsidR="001C7DB3" w:rsidRDefault="005C2DA6" w:rsidP="00502167">
            <w:pPr>
              <w:pStyle w:val="TableParagraph"/>
              <w:spacing w:line="252" w:lineRule="exact"/>
              <w:ind w:left="110" w:right="81"/>
              <w:jc w:val="both"/>
            </w:pPr>
            <w:r>
              <w:t>utilizado; Fechas y horas de inicio y finalización del ensayo; Condiciones del ensayo; Período de estabilidad;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26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6" w:lineRule="exact"/>
              <w:ind w:left="103" w:right="81"/>
              <w:jc w:val="center"/>
            </w:pPr>
            <w:r>
              <w:t>2.6.15</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before="2" w:line="235" w:lineRule="auto"/>
              <w:ind w:left="110" w:right="265"/>
              <w:jc w:val="both"/>
            </w:pPr>
            <w:r>
              <w:t>Estabilidad a corto plazo en la matriz biológica (Indicar Concentración de las muestras de control de calidad (CC) - Número de replicados; Fecha de preparación de las muestras; Fechas y horas de inicio, extracción de las muestras y finalización del ensayo; Condiciones del ensayo· Período de estabilidad;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264"/>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2.6.16</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889"/>
              <w:jc w:val="both"/>
            </w:pPr>
            <w:r>
              <w:t xml:space="preserve">Estabilidad en las condiciones de análisis - </w:t>
            </w:r>
            <w:proofErr w:type="spellStart"/>
            <w:r>
              <w:t>autoinyector</w:t>
            </w:r>
            <w:proofErr w:type="spellEnd"/>
            <w:r>
              <w:t xml:space="preserve"> - (Indicar Concentración de las muestras de control de calidad (CC) - Número</w:t>
            </w:r>
          </w:p>
          <w:p w:rsidR="001C7DB3" w:rsidRDefault="005C2DA6" w:rsidP="00502167">
            <w:pPr>
              <w:pStyle w:val="TableParagraph"/>
              <w:spacing w:line="251" w:lineRule="exact"/>
              <w:ind w:left="110"/>
              <w:jc w:val="both"/>
            </w:pPr>
            <w:r>
              <w:t>de replicados; Fecha de preparación de las muestras; Fechas y horas de</w:t>
            </w:r>
          </w:p>
          <w:p w:rsidR="001C7DB3" w:rsidRDefault="005C2DA6" w:rsidP="00502167">
            <w:pPr>
              <w:pStyle w:val="TableParagraph"/>
              <w:spacing w:before="16" w:line="236" w:lineRule="exact"/>
              <w:ind w:left="110" w:right="143"/>
              <w:jc w:val="both"/>
            </w:pPr>
            <w:r>
              <w:t>inicio, extracción de las muestras y finalización del ensayo; Condiciones del ensayo; Período de estabilidad;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bl>
    <w:p w:rsidR="001C7DB3" w:rsidRDefault="001C7DB3" w:rsidP="00502167">
      <w:pPr>
        <w:jc w:val="both"/>
        <w:rPr>
          <w:rFonts w:ascii="Times New Roman"/>
        </w:rPr>
        <w:sectPr w:rsidR="001C7DB3">
          <w:headerReference w:type="default" r:id="rId8"/>
          <w:pgSz w:w="11920" w:h="16850"/>
          <w:pgMar w:top="1440" w:right="700" w:bottom="1100" w:left="1380" w:header="253" w:footer="911" w:gutter="0"/>
          <w:cols w:space="720"/>
        </w:sectPr>
      </w:pPr>
    </w:p>
    <w:p w:rsidR="001C7DB3" w:rsidRDefault="001C7DB3" w:rsidP="00502167">
      <w:pPr>
        <w:pStyle w:val="Textoindependiente"/>
        <w:spacing w:before="10" w:after="1"/>
        <w:jc w:val="both"/>
        <w:rPr>
          <w:rFonts w:ascii="Times New Roman"/>
          <w:b w:val="0"/>
          <w:i w:val="0"/>
          <w:sz w:val="21"/>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7658"/>
        <w:gridCol w:w="990"/>
      </w:tblGrid>
      <w:tr w:rsidR="001C7DB3">
        <w:trPr>
          <w:trHeight w:val="254"/>
        </w:trPr>
        <w:tc>
          <w:tcPr>
            <w:tcW w:w="826" w:type="dxa"/>
          </w:tcPr>
          <w:p w:rsidR="001C7DB3" w:rsidRDefault="005C2DA6" w:rsidP="00502167">
            <w:pPr>
              <w:pStyle w:val="TableParagraph"/>
              <w:spacing w:line="234" w:lineRule="exact"/>
              <w:ind w:left="103" w:right="60"/>
              <w:jc w:val="center"/>
            </w:pPr>
            <w:r>
              <w:t>2.6.17</w:t>
            </w:r>
          </w:p>
        </w:tc>
        <w:tc>
          <w:tcPr>
            <w:tcW w:w="7658" w:type="dxa"/>
          </w:tcPr>
          <w:p w:rsidR="001C7DB3" w:rsidRDefault="005C2DA6" w:rsidP="00502167">
            <w:pPr>
              <w:pStyle w:val="TableParagraph"/>
              <w:spacing w:line="234" w:lineRule="exact"/>
              <w:ind w:left="109"/>
              <w:jc w:val="both"/>
            </w:pPr>
            <w:r>
              <w:t>Estabilidad durante los ciclos de congelado-descongelado (Indicar</w:t>
            </w:r>
          </w:p>
        </w:tc>
        <w:tc>
          <w:tcPr>
            <w:tcW w:w="990" w:type="dxa"/>
          </w:tcPr>
          <w:p w:rsidR="001C7DB3" w:rsidRDefault="001C7DB3" w:rsidP="00502167">
            <w:pPr>
              <w:pStyle w:val="TableParagraph"/>
              <w:jc w:val="both"/>
              <w:rPr>
                <w:rFonts w:ascii="Times New Roman"/>
                <w:sz w:val="18"/>
              </w:rPr>
            </w:pPr>
          </w:p>
        </w:tc>
      </w:tr>
      <w:tr w:rsidR="001C7DB3">
        <w:trPr>
          <w:trHeight w:val="1264"/>
        </w:trPr>
        <w:tc>
          <w:tcPr>
            <w:tcW w:w="826" w:type="dxa"/>
          </w:tcPr>
          <w:p w:rsidR="001C7DB3" w:rsidRDefault="001C7DB3" w:rsidP="00502167">
            <w:pPr>
              <w:pStyle w:val="TableParagraph"/>
              <w:jc w:val="center"/>
              <w:rPr>
                <w:rFonts w:ascii="Times New Roman"/>
              </w:rPr>
            </w:pPr>
          </w:p>
        </w:tc>
        <w:tc>
          <w:tcPr>
            <w:tcW w:w="7658" w:type="dxa"/>
          </w:tcPr>
          <w:p w:rsidR="001C7DB3" w:rsidRDefault="005C2DA6" w:rsidP="00502167">
            <w:pPr>
              <w:pStyle w:val="TableParagraph"/>
              <w:spacing w:before="1" w:line="235" w:lineRule="auto"/>
              <w:ind w:left="109" w:right="438"/>
              <w:jc w:val="both"/>
            </w:pPr>
            <w:r>
              <w:t>Concentración de las muestras de control de calidad (CC) – Número de replicados; Fecha de preparación de las muestras; Fecha y hora de extracción de las muestras; Fechas y horas de inicio y finalización de los ciclos de congelado-descongelado; Condiciones del ensayo; Período de estabilidad - Número de ciclos por muestra-; Resultados y conclusiones)</w:t>
            </w:r>
          </w:p>
        </w:tc>
        <w:tc>
          <w:tcPr>
            <w:tcW w:w="990" w:type="dxa"/>
          </w:tcPr>
          <w:p w:rsidR="001C7DB3" w:rsidRDefault="001C7DB3" w:rsidP="00502167">
            <w:pPr>
              <w:pStyle w:val="TableParagraph"/>
              <w:jc w:val="both"/>
              <w:rPr>
                <w:rFonts w:ascii="Times New Roman"/>
              </w:rPr>
            </w:pPr>
          </w:p>
        </w:tc>
      </w:tr>
      <w:tr w:rsidR="001C7DB3">
        <w:trPr>
          <w:trHeight w:val="1770"/>
        </w:trPr>
        <w:tc>
          <w:tcPr>
            <w:tcW w:w="826" w:type="dxa"/>
          </w:tcPr>
          <w:p w:rsidR="001C7DB3" w:rsidRDefault="005C2DA6" w:rsidP="00502167">
            <w:pPr>
              <w:pStyle w:val="TableParagraph"/>
              <w:spacing w:line="250" w:lineRule="exact"/>
              <w:ind w:left="103" w:right="60"/>
              <w:jc w:val="center"/>
            </w:pPr>
            <w:r>
              <w:t>2.6.18</w:t>
            </w:r>
          </w:p>
        </w:tc>
        <w:tc>
          <w:tcPr>
            <w:tcW w:w="7658" w:type="dxa"/>
          </w:tcPr>
          <w:p w:rsidR="001C7DB3" w:rsidRDefault="005C2DA6" w:rsidP="00502167">
            <w:pPr>
              <w:pStyle w:val="TableParagraph"/>
              <w:ind w:left="109" w:right="136"/>
              <w:jc w:val="both"/>
              <w:rPr>
                <w:i/>
              </w:rPr>
            </w:pPr>
            <w:r>
              <w:t xml:space="preserve">Estabilidad a largo plazo en la matriz biológica (Indicar Concentración de las muestras de control de calidad (CC) - Número de replicados; Fecha de preparación de las muestras; Fechas y horas de inicio, extracción de las muestras y finalización del ensayo; Condiciones del ensayo; Período de estabilidad; Resultados y conclusiones). </w:t>
            </w:r>
            <w:r>
              <w:rPr>
                <w:i/>
              </w:rPr>
              <w:t>(Si el ensayo de estabilidad a</w:t>
            </w:r>
            <w:r>
              <w:rPr>
                <w:i/>
                <w:spacing w:val="-21"/>
              </w:rPr>
              <w:t xml:space="preserve"> </w:t>
            </w:r>
            <w:r>
              <w:rPr>
                <w:i/>
              </w:rPr>
              <w:t>largo</w:t>
            </w:r>
          </w:p>
          <w:p w:rsidR="001C7DB3" w:rsidRDefault="005C2DA6" w:rsidP="00502167">
            <w:pPr>
              <w:pStyle w:val="TableParagraph"/>
              <w:spacing w:before="14" w:line="223" w:lineRule="auto"/>
              <w:ind w:left="109"/>
              <w:jc w:val="both"/>
              <w:rPr>
                <w:i/>
              </w:rPr>
            </w:pPr>
            <w:r>
              <w:rPr>
                <w:i/>
              </w:rPr>
              <w:t>plazo no se ha finalizado, deberá presentarse antes de la aprobación de los resultados del estudio)</w:t>
            </w:r>
          </w:p>
        </w:tc>
        <w:tc>
          <w:tcPr>
            <w:tcW w:w="990" w:type="dxa"/>
          </w:tcPr>
          <w:p w:rsidR="001C7DB3" w:rsidRDefault="001C7DB3" w:rsidP="00502167">
            <w:pPr>
              <w:pStyle w:val="TableParagraph"/>
              <w:jc w:val="both"/>
              <w:rPr>
                <w:rFonts w:ascii="Times New Roman"/>
              </w:rPr>
            </w:pPr>
          </w:p>
        </w:tc>
      </w:tr>
      <w:tr w:rsidR="001C7DB3">
        <w:trPr>
          <w:trHeight w:val="251"/>
        </w:trPr>
        <w:tc>
          <w:tcPr>
            <w:tcW w:w="826" w:type="dxa"/>
          </w:tcPr>
          <w:p w:rsidR="001C7DB3" w:rsidRDefault="005C2DA6" w:rsidP="00502167">
            <w:pPr>
              <w:pStyle w:val="TableParagraph"/>
              <w:spacing w:line="231" w:lineRule="exact"/>
              <w:ind w:left="103" w:right="60"/>
              <w:jc w:val="center"/>
            </w:pPr>
            <w:r>
              <w:t>2.6.19</w:t>
            </w:r>
          </w:p>
        </w:tc>
        <w:tc>
          <w:tcPr>
            <w:tcW w:w="7658" w:type="dxa"/>
          </w:tcPr>
          <w:p w:rsidR="001C7DB3" w:rsidRDefault="005C2DA6" w:rsidP="00502167">
            <w:pPr>
              <w:pStyle w:val="TableParagraph"/>
              <w:spacing w:line="231" w:lineRule="exact"/>
              <w:ind w:left="109"/>
              <w:jc w:val="both"/>
            </w:pPr>
            <w:r>
              <w:t>Tablas de cálculos y resultados para cada atributo de validación</w:t>
            </w:r>
          </w:p>
        </w:tc>
        <w:tc>
          <w:tcPr>
            <w:tcW w:w="990" w:type="dxa"/>
          </w:tcPr>
          <w:p w:rsidR="001C7DB3" w:rsidRDefault="001C7DB3" w:rsidP="00502167">
            <w:pPr>
              <w:pStyle w:val="TableParagraph"/>
              <w:jc w:val="both"/>
              <w:rPr>
                <w:rFonts w:ascii="Times New Roman"/>
                <w:sz w:val="18"/>
              </w:rPr>
            </w:pPr>
          </w:p>
        </w:tc>
      </w:tr>
      <w:tr w:rsidR="001C7DB3">
        <w:trPr>
          <w:trHeight w:val="254"/>
        </w:trPr>
        <w:tc>
          <w:tcPr>
            <w:tcW w:w="826" w:type="dxa"/>
          </w:tcPr>
          <w:p w:rsidR="001C7DB3" w:rsidRDefault="005C2DA6" w:rsidP="00502167">
            <w:pPr>
              <w:pStyle w:val="TableParagraph"/>
              <w:spacing w:line="234" w:lineRule="exact"/>
              <w:ind w:left="103" w:right="60"/>
              <w:jc w:val="center"/>
            </w:pPr>
            <w:r>
              <w:t>2.6.20</w:t>
            </w:r>
          </w:p>
        </w:tc>
        <w:tc>
          <w:tcPr>
            <w:tcW w:w="7658" w:type="dxa"/>
          </w:tcPr>
          <w:p w:rsidR="001C7DB3" w:rsidRDefault="005C2DA6" w:rsidP="00502167">
            <w:pPr>
              <w:pStyle w:val="TableParagraph"/>
              <w:spacing w:line="234" w:lineRule="exact"/>
              <w:ind w:left="109"/>
              <w:jc w:val="both"/>
            </w:pPr>
            <w:r>
              <w:t>Comentarios</w:t>
            </w:r>
          </w:p>
        </w:tc>
        <w:tc>
          <w:tcPr>
            <w:tcW w:w="990" w:type="dxa"/>
          </w:tcPr>
          <w:p w:rsidR="001C7DB3" w:rsidRDefault="001C7DB3" w:rsidP="00502167">
            <w:pPr>
              <w:pStyle w:val="TableParagraph"/>
              <w:jc w:val="both"/>
              <w:rPr>
                <w:rFonts w:ascii="Times New Roman"/>
                <w:sz w:val="18"/>
              </w:rPr>
            </w:pPr>
          </w:p>
        </w:tc>
      </w:tr>
      <w:tr w:rsidR="001C7DB3">
        <w:trPr>
          <w:trHeight w:val="251"/>
        </w:trPr>
        <w:tc>
          <w:tcPr>
            <w:tcW w:w="826" w:type="dxa"/>
          </w:tcPr>
          <w:p w:rsidR="001C7DB3" w:rsidRDefault="005C2DA6" w:rsidP="00502167">
            <w:pPr>
              <w:pStyle w:val="TableParagraph"/>
              <w:spacing w:line="231" w:lineRule="exact"/>
              <w:ind w:left="103" w:right="60"/>
              <w:jc w:val="center"/>
            </w:pPr>
            <w:r>
              <w:t>2.6.21</w:t>
            </w:r>
          </w:p>
        </w:tc>
        <w:tc>
          <w:tcPr>
            <w:tcW w:w="7658" w:type="dxa"/>
          </w:tcPr>
          <w:p w:rsidR="001C7DB3" w:rsidRDefault="005C2DA6" w:rsidP="00502167">
            <w:pPr>
              <w:pStyle w:val="TableParagraph"/>
              <w:spacing w:line="231" w:lineRule="exact"/>
              <w:ind w:left="109"/>
              <w:jc w:val="both"/>
            </w:pPr>
            <w:r>
              <w:t>Conclusiones de la validación</w:t>
            </w:r>
          </w:p>
        </w:tc>
        <w:tc>
          <w:tcPr>
            <w:tcW w:w="990" w:type="dxa"/>
          </w:tcPr>
          <w:p w:rsidR="001C7DB3" w:rsidRDefault="001C7DB3" w:rsidP="00502167">
            <w:pPr>
              <w:pStyle w:val="TableParagraph"/>
              <w:jc w:val="both"/>
              <w:rPr>
                <w:rFonts w:ascii="Times New Roman"/>
                <w:sz w:val="18"/>
              </w:rPr>
            </w:pPr>
          </w:p>
        </w:tc>
      </w:tr>
      <w:tr w:rsidR="001C7DB3">
        <w:trPr>
          <w:trHeight w:val="251"/>
        </w:trPr>
        <w:tc>
          <w:tcPr>
            <w:tcW w:w="826" w:type="dxa"/>
          </w:tcPr>
          <w:p w:rsidR="001C7DB3" w:rsidRDefault="005C2DA6" w:rsidP="00502167">
            <w:pPr>
              <w:pStyle w:val="TableParagraph"/>
              <w:spacing w:line="232" w:lineRule="exact"/>
              <w:ind w:left="102" w:right="60"/>
              <w:jc w:val="center"/>
            </w:pPr>
            <w:r>
              <w:t>2.7</w:t>
            </w:r>
          </w:p>
        </w:tc>
        <w:tc>
          <w:tcPr>
            <w:tcW w:w="7658" w:type="dxa"/>
          </w:tcPr>
          <w:p w:rsidR="001C7DB3" w:rsidRDefault="005C2DA6" w:rsidP="00502167">
            <w:pPr>
              <w:pStyle w:val="TableParagraph"/>
              <w:spacing w:line="232" w:lineRule="exact"/>
              <w:ind w:left="109"/>
              <w:jc w:val="both"/>
            </w:pPr>
            <w:r>
              <w:t>Cromatogramas</w:t>
            </w:r>
          </w:p>
        </w:tc>
        <w:tc>
          <w:tcPr>
            <w:tcW w:w="990" w:type="dxa"/>
          </w:tcPr>
          <w:p w:rsidR="001C7DB3" w:rsidRDefault="001C7DB3" w:rsidP="00502167">
            <w:pPr>
              <w:pStyle w:val="TableParagraph"/>
              <w:jc w:val="both"/>
              <w:rPr>
                <w:rFonts w:ascii="Times New Roman"/>
                <w:sz w:val="18"/>
              </w:rPr>
            </w:pPr>
          </w:p>
        </w:tc>
      </w:tr>
      <w:tr w:rsidR="001C7DB3">
        <w:trPr>
          <w:trHeight w:val="508"/>
        </w:trPr>
        <w:tc>
          <w:tcPr>
            <w:tcW w:w="826" w:type="dxa"/>
          </w:tcPr>
          <w:p w:rsidR="001C7DB3" w:rsidRDefault="005C2DA6" w:rsidP="00502167">
            <w:pPr>
              <w:pStyle w:val="TableParagraph"/>
              <w:spacing w:line="248" w:lineRule="exact"/>
              <w:ind w:left="100" w:right="60"/>
              <w:jc w:val="center"/>
            </w:pPr>
            <w:r>
              <w:t>2.7.1</w:t>
            </w:r>
          </w:p>
        </w:tc>
        <w:tc>
          <w:tcPr>
            <w:tcW w:w="7658" w:type="dxa"/>
          </w:tcPr>
          <w:p w:rsidR="001C7DB3" w:rsidRDefault="005C2DA6" w:rsidP="00502167">
            <w:pPr>
              <w:pStyle w:val="TableParagraph"/>
              <w:spacing w:line="248" w:lineRule="exact"/>
              <w:ind w:left="109"/>
              <w:jc w:val="both"/>
            </w:pPr>
            <w:r>
              <w:t>Secuencia cromatográfica de inyección correspondiente a cada serie</w:t>
            </w:r>
          </w:p>
          <w:p w:rsidR="001C7DB3" w:rsidRDefault="005C2DA6" w:rsidP="00502167">
            <w:pPr>
              <w:pStyle w:val="TableParagraph"/>
              <w:spacing w:before="1" w:line="239" w:lineRule="exact"/>
              <w:ind w:left="109"/>
              <w:jc w:val="both"/>
            </w:pPr>
            <w:r>
              <w:t>analítica o día de validación</w:t>
            </w:r>
          </w:p>
        </w:tc>
        <w:tc>
          <w:tcPr>
            <w:tcW w:w="990" w:type="dxa"/>
          </w:tcPr>
          <w:p w:rsidR="001C7DB3" w:rsidRDefault="001C7DB3" w:rsidP="00502167">
            <w:pPr>
              <w:pStyle w:val="TableParagraph"/>
              <w:jc w:val="both"/>
              <w:rPr>
                <w:rFonts w:ascii="Times New Roman"/>
              </w:rPr>
            </w:pPr>
          </w:p>
        </w:tc>
      </w:tr>
      <w:tr w:rsidR="001C7DB3">
        <w:trPr>
          <w:trHeight w:val="2022"/>
        </w:trPr>
        <w:tc>
          <w:tcPr>
            <w:tcW w:w="826" w:type="dxa"/>
          </w:tcPr>
          <w:p w:rsidR="001C7DB3" w:rsidRDefault="005C2DA6" w:rsidP="00502167">
            <w:pPr>
              <w:pStyle w:val="TableParagraph"/>
              <w:spacing w:line="246" w:lineRule="exact"/>
              <w:ind w:left="100" w:right="60"/>
              <w:jc w:val="center"/>
            </w:pPr>
            <w:r>
              <w:t>2.7.2</w:t>
            </w:r>
          </w:p>
        </w:tc>
        <w:tc>
          <w:tcPr>
            <w:tcW w:w="7658" w:type="dxa"/>
          </w:tcPr>
          <w:p w:rsidR="001C7DB3" w:rsidRDefault="005C2DA6" w:rsidP="00502167">
            <w:pPr>
              <w:pStyle w:val="TableParagraph"/>
              <w:ind w:left="109" w:right="181"/>
              <w:jc w:val="both"/>
            </w:pPr>
            <w:r>
              <w:t>Serie completa de los cromatogramas de validación, con los siguientes datos: identificación de la serie analítica, identificación de la muestra, fecha y hora de análisis, concentración calculada, parámetros (analito y patrón interno), relación de los parámetros (analito / patrón interno), tiempos retención (analito y patrón interno). Los cromatogramas deben estar impresos en una escala apropiada que permita la verificación visual de la</w:t>
            </w:r>
          </w:p>
          <w:p w:rsidR="001C7DB3" w:rsidRDefault="005C2DA6" w:rsidP="00502167">
            <w:pPr>
              <w:pStyle w:val="TableParagraph"/>
              <w:spacing w:before="1" w:line="252" w:lineRule="exact"/>
              <w:ind w:left="109" w:right="377"/>
              <w:jc w:val="both"/>
              <w:rPr>
                <w:i/>
              </w:rPr>
            </w:pPr>
            <w:r>
              <w:t xml:space="preserve">forma de integración del pico. </w:t>
            </w:r>
            <w:r>
              <w:rPr>
                <w:i/>
              </w:rPr>
              <w:t>(Indicar la ubicación de los cromatogramas dentro de la información presentada)</w:t>
            </w:r>
          </w:p>
        </w:tc>
        <w:tc>
          <w:tcPr>
            <w:tcW w:w="990" w:type="dxa"/>
          </w:tcPr>
          <w:p w:rsidR="001C7DB3" w:rsidRDefault="001C7DB3" w:rsidP="00502167">
            <w:pPr>
              <w:pStyle w:val="TableParagraph"/>
              <w:jc w:val="both"/>
              <w:rPr>
                <w:rFonts w:ascii="Times New Roman"/>
              </w:rPr>
            </w:pPr>
          </w:p>
        </w:tc>
      </w:tr>
      <w:tr w:rsidR="001C7DB3">
        <w:trPr>
          <w:trHeight w:val="1516"/>
        </w:trPr>
        <w:tc>
          <w:tcPr>
            <w:tcW w:w="826" w:type="dxa"/>
          </w:tcPr>
          <w:p w:rsidR="001C7DB3" w:rsidRDefault="005C2DA6" w:rsidP="00502167">
            <w:pPr>
              <w:pStyle w:val="TableParagraph"/>
              <w:spacing w:line="246" w:lineRule="exact"/>
              <w:ind w:left="100" w:right="60"/>
              <w:jc w:val="center"/>
            </w:pPr>
            <w:r>
              <w:t>2.7.3</w:t>
            </w:r>
          </w:p>
        </w:tc>
        <w:tc>
          <w:tcPr>
            <w:tcW w:w="7658" w:type="dxa"/>
          </w:tcPr>
          <w:p w:rsidR="001C7DB3" w:rsidRDefault="005C2DA6" w:rsidP="00502167">
            <w:pPr>
              <w:pStyle w:val="TableParagraph"/>
              <w:ind w:left="109" w:right="108"/>
              <w:jc w:val="both"/>
            </w:pPr>
            <w:r>
              <w:t>Reporte final de las series analíticas de validación, con los siguientes datos: identificación de la serie analítica, identificación de la muestra, fecha, hora, concentración nominal, tiempos de retención (analito y patrón interno), parámetros (analito y estándar interno), relación de los parámetros (analito /</w:t>
            </w:r>
          </w:p>
          <w:p w:rsidR="001C7DB3" w:rsidRDefault="005C2DA6" w:rsidP="00502167">
            <w:pPr>
              <w:pStyle w:val="TableParagraph"/>
              <w:spacing w:before="13" w:line="223" w:lineRule="auto"/>
              <w:ind w:left="109" w:right="426"/>
              <w:jc w:val="both"/>
            </w:pPr>
            <w:r>
              <w:t>estándar interno), concentración calculada, % de valor nominal o desvío, parámetro de integración, registro de modificación y de exclusión.</w:t>
            </w:r>
          </w:p>
        </w:tc>
        <w:tc>
          <w:tcPr>
            <w:tcW w:w="990" w:type="dxa"/>
          </w:tcPr>
          <w:p w:rsidR="001C7DB3" w:rsidRDefault="001C7DB3" w:rsidP="00502167">
            <w:pPr>
              <w:pStyle w:val="TableParagraph"/>
              <w:jc w:val="both"/>
              <w:rPr>
                <w:rFonts w:ascii="Times New Roman"/>
              </w:rPr>
            </w:pPr>
          </w:p>
        </w:tc>
      </w:tr>
      <w:tr w:rsidR="001C7DB3">
        <w:trPr>
          <w:trHeight w:val="758"/>
        </w:trPr>
        <w:tc>
          <w:tcPr>
            <w:tcW w:w="826" w:type="dxa"/>
          </w:tcPr>
          <w:p w:rsidR="001C7DB3" w:rsidRDefault="005C2DA6" w:rsidP="00502167">
            <w:pPr>
              <w:pStyle w:val="TableParagraph"/>
              <w:spacing w:line="250" w:lineRule="exact"/>
              <w:ind w:left="100" w:right="60"/>
              <w:jc w:val="center"/>
            </w:pPr>
            <w:r>
              <w:t>2.7.4</w:t>
            </w:r>
          </w:p>
        </w:tc>
        <w:tc>
          <w:tcPr>
            <w:tcW w:w="7658" w:type="dxa"/>
          </w:tcPr>
          <w:p w:rsidR="001C7DB3" w:rsidRDefault="005C2DA6" w:rsidP="00502167">
            <w:pPr>
              <w:pStyle w:val="TableParagraph"/>
              <w:spacing w:before="4" w:line="250" w:lineRule="exact"/>
              <w:ind w:left="109" w:right="188"/>
              <w:jc w:val="both"/>
            </w:pPr>
            <w:r>
              <w:t>Para los casos de reintegración: Cromatogramas originales y reintegrados. Identificación de la muestra y corrida, valor inicial y reintegrado, razón de la reintegración y método utilizado.</w:t>
            </w:r>
          </w:p>
        </w:tc>
        <w:tc>
          <w:tcPr>
            <w:tcW w:w="990" w:type="dxa"/>
          </w:tcPr>
          <w:p w:rsidR="001C7DB3" w:rsidRDefault="001C7DB3" w:rsidP="00502167">
            <w:pPr>
              <w:pStyle w:val="TableParagraph"/>
              <w:jc w:val="both"/>
              <w:rPr>
                <w:rFonts w:ascii="Times New Roman"/>
              </w:rPr>
            </w:pPr>
          </w:p>
        </w:tc>
      </w:tr>
      <w:tr w:rsidR="001C7DB3">
        <w:trPr>
          <w:trHeight w:val="506"/>
        </w:trPr>
        <w:tc>
          <w:tcPr>
            <w:tcW w:w="826" w:type="dxa"/>
          </w:tcPr>
          <w:p w:rsidR="001C7DB3" w:rsidRDefault="005C2DA6" w:rsidP="00502167">
            <w:pPr>
              <w:pStyle w:val="TableParagraph"/>
              <w:spacing w:line="248" w:lineRule="exact"/>
              <w:ind w:left="100" w:right="60"/>
              <w:jc w:val="center"/>
            </w:pPr>
            <w:r>
              <w:t>2.7.5</w:t>
            </w:r>
          </w:p>
        </w:tc>
        <w:tc>
          <w:tcPr>
            <w:tcW w:w="7658" w:type="dxa"/>
          </w:tcPr>
          <w:p w:rsidR="001C7DB3" w:rsidRDefault="005C2DA6" w:rsidP="00502167">
            <w:pPr>
              <w:pStyle w:val="TableParagraph"/>
              <w:spacing w:line="248" w:lineRule="exact"/>
              <w:ind w:left="109"/>
              <w:jc w:val="both"/>
            </w:pPr>
            <w:r>
              <w:t>Programas utilizados para la determinación de las áreas de los picos</w:t>
            </w:r>
          </w:p>
          <w:p w:rsidR="001C7DB3" w:rsidRDefault="005C2DA6" w:rsidP="00502167">
            <w:pPr>
              <w:pStyle w:val="TableParagraph"/>
              <w:spacing w:before="1" w:line="237" w:lineRule="exact"/>
              <w:ind w:left="109"/>
              <w:jc w:val="both"/>
            </w:pPr>
            <w:r>
              <w:t>(Indicar nombre, licencia y versión)</w:t>
            </w:r>
          </w:p>
        </w:tc>
        <w:tc>
          <w:tcPr>
            <w:tcW w:w="990" w:type="dxa"/>
          </w:tcPr>
          <w:p w:rsidR="001C7DB3" w:rsidRDefault="001C7DB3" w:rsidP="00502167">
            <w:pPr>
              <w:pStyle w:val="TableParagraph"/>
              <w:jc w:val="both"/>
              <w:rPr>
                <w:rFonts w:ascii="Times New Roman"/>
              </w:rPr>
            </w:pPr>
          </w:p>
        </w:tc>
      </w:tr>
      <w:tr w:rsidR="001C7DB3">
        <w:trPr>
          <w:trHeight w:val="1010"/>
        </w:trPr>
        <w:tc>
          <w:tcPr>
            <w:tcW w:w="826" w:type="dxa"/>
          </w:tcPr>
          <w:p w:rsidR="001C7DB3" w:rsidRDefault="005C2DA6" w:rsidP="00502167">
            <w:pPr>
              <w:pStyle w:val="TableParagraph"/>
              <w:spacing w:line="248" w:lineRule="exact"/>
              <w:ind w:left="102" w:right="60"/>
              <w:jc w:val="center"/>
            </w:pPr>
            <w:r>
              <w:t>2.8</w:t>
            </w:r>
          </w:p>
        </w:tc>
        <w:tc>
          <w:tcPr>
            <w:tcW w:w="7658" w:type="dxa"/>
          </w:tcPr>
          <w:p w:rsidR="001C7DB3" w:rsidRDefault="005C2DA6" w:rsidP="00502167">
            <w:pPr>
              <w:pStyle w:val="TableParagraph"/>
              <w:spacing w:line="242" w:lineRule="auto"/>
              <w:ind w:left="109"/>
              <w:jc w:val="both"/>
            </w:pPr>
            <w:r>
              <w:t>Validación Parcial (Este ítem corresponde si se efectúan validaciones parciales posteriores a la validación inicial del método bioanalítico,</w:t>
            </w:r>
          </w:p>
          <w:p w:rsidR="001C7DB3" w:rsidRDefault="005C2DA6" w:rsidP="00502167">
            <w:pPr>
              <w:pStyle w:val="TableParagraph"/>
              <w:spacing w:before="7" w:line="223" w:lineRule="auto"/>
              <w:ind w:left="109" w:right="609"/>
              <w:jc w:val="both"/>
            </w:pPr>
            <w:r>
              <w:t>presentar la documentación correspondiente explicando la razón de su realización</w:t>
            </w:r>
          </w:p>
        </w:tc>
        <w:tc>
          <w:tcPr>
            <w:tcW w:w="990" w:type="dxa"/>
          </w:tcPr>
          <w:p w:rsidR="001C7DB3" w:rsidRDefault="001C7DB3" w:rsidP="00502167">
            <w:pPr>
              <w:pStyle w:val="TableParagraph"/>
              <w:jc w:val="both"/>
              <w:rPr>
                <w:rFonts w:ascii="Times New Roman"/>
              </w:rPr>
            </w:pPr>
          </w:p>
        </w:tc>
      </w:tr>
      <w:tr w:rsidR="001C7DB3">
        <w:trPr>
          <w:trHeight w:val="253"/>
        </w:trPr>
        <w:tc>
          <w:tcPr>
            <w:tcW w:w="826" w:type="dxa"/>
          </w:tcPr>
          <w:p w:rsidR="001C7DB3" w:rsidRDefault="005C2DA6" w:rsidP="00502167">
            <w:pPr>
              <w:pStyle w:val="TableParagraph"/>
              <w:spacing w:line="234" w:lineRule="exact"/>
              <w:ind w:left="102" w:right="60"/>
              <w:jc w:val="center"/>
            </w:pPr>
            <w:r>
              <w:t>2.9</w:t>
            </w:r>
          </w:p>
        </w:tc>
        <w:tc>
          <w:tcPr>
            <w:tcW w:w="7658" w:type="dxa"/>
          </w:tcPr>
          <w:p w:rsidR="001C7DB3" w:rsidRDefault="005C2DA6" w:rsidP="00502167">
            <w:pPr>
              <w:pStyle w:val="TableParagraph"/>
              <w:spacing w:line="234" w:lineRule="exact"/>
              <w:ind w:left="109"/>
              <w:jc w:val="both"/>
            </w:pPr>
            <w:r>
              <w:t>Anexos</w:t>
            </w:r>
          </w:p>
        </w:tc>
        <w:tc>
          <w:tcPr>
            <w:tcW w:w="990" w:type="dxa"/>
          </w:tcPr>
          <w:p w:rsidR="001C7DB3" w:rsidRDefault="001C7DB3" w:rsidP="00502167">
            <w:pPr>
              <w:pStyle w:val="TableParagraph"/>
              <w:jc w:val="both"/>
              <w:rPr>
                <w:rFonts w:ascii="Times New Roman"/>
                <w:sz w:val="18"/>
              </w:rPr>
            </w:pPr>
          </w:p>
        </w:tc>
      </w:tr>
      <w:tr w:rsidR="001C7DB3">
        <w:trPr>
          <w:trHeight w:val="249"/>
        </w:trPr>
        <w:tc>
          <w:tcPr>
            <w:tcW w:w="826" w:type="dxa"/>
          </w:tcPr>
          <w:p w:rsidR="001C7DB3" w:rsidRDefault="005C2DA6" w:rsidP="00502167">
            <w:pPr>
              <w:pStyle w:val="TableParagraph"/>
              <w:spacing w:line="229" w:lineRule="exact"/>
              <w:ind w:left="100" w:right="60"/>
              <w:jc w:val="center"/>
            </w:pPr>
            <w:r>
              <w:t>2.9.1</w:t>
            </w:r>
          </w:p>
        </w:tc>
        <w:tc>
          <w:tcPr>
            <w:tcW w:w="7658" w:type="dxa"/>
          </w:tcPr>
          <w:p w:rsidR="001C7DB3" w:rsidRDefault="005C2DA6" w:rsidP="00502167">
            <w:pPr>
              <w:pStyle w:val="TableParagraph"/>
              <w:spacing w:line="229" w:lineRule="exact"/>
              <w:ind w:left="109"/>
              <w:jc w:val="both"/>
            </w:pPr>
            <w:r>
              <w:t>Bibliografía</w:t>
            </w:r>
          </w:p>
        </w:tc>
        <w:tc>
          <w:tcPr>
            <w:tcW w:w="990" w:type="dxa"/>
          </w:tcPr>
          <w:p w:rsidR="001C7DB3" w:rsidRDefault="001C7DB3" w:rsidP="00502167">
            <w:pPr>
              <w:pStyle w:val="TableParagraph"/>
              <w:jc w:val="both"/>
              <w:rPr>
                <w:rFonts w:ascii="Times New Roman"/>
                <w:sz w:val="18"/>
              </w:rPr>
            </w:pPr>
          </w:p>
        </w:tc>
      </w:tr>
      <w:tr w:rsidR="001C7DB3">
        <w:trPr>
          <w:trHeight w:val="253"/>
        </w:trPr>
        <w:tc>
          <w:tcPr>
            <w:tcW w:w="826" w:type="dxa"/>
          </w:tcPr>
          <w:p w:rsidR="001C7DB3" w:rsidRDefault="005C2DA6" w:rsidP="00502167">
            <w:pPr>
              <w:pStyle w:val="TableParagraph"/>
              <w:spacing w:line="234" w:lineRule="exact"/>
              <w:ind w:left="100" w:right="60"/>
              <w:jc w:val="center"/>
            </w:pPr>
            <w:r>
              <w:t>2.9.2</w:t>
            </w:r>
          </w:p>
        </w:tc>
        <w:tc>
          <w:tcPr>
            <w:tcW w:w="7658" w:type="dxa"/>
          </w:tcPr>
          <w:p w:rsidR="001C7DB3" w:rsidRDefault="005C2DA6" w:rsidP="00502167">
            <w:pPr>
              <w:pStyle w:val="TableParagraph"/>
              <w:spacing w:line="234" w:lineRule="exact"/>
              <w:ind w:left="109"/>
              <w:jc w:val="both"/>
            </w:pPr>
            <w:r>
              <w:t>Certificados de análisis de los patrones de analito y estándar interno</w:t>
            </w:r>
          </w:p>
        </w:tc>
        <w:tc>
          <w:tcPr>
            <w:tcW w:w="990" w:type="dxa"/>
          </w:tcPr>
          <w:p w:rsidR="001C7DB3" w:rsidRDefault="001C7DB3" w:rsidP="00502167">
            <w:pPr>
              <w:pStyle w:val="TableParagraph"/>
              <w:jc w:val="both"/>
              <w:rPr>
                <w:rFonts w:ascii="Times New Roman"/>
                <w:sz w:val="18"/>
              </w:rPr>
            </w:pPr>
          </w:p>
        </w:tc>
      </w:tr>
      <w:tr w:rsidR="001C7DB3">
        <w:trPr>
          <w:trHeight w:val="508"/>
        </w:trPr>
        <w:tc>
          <w:tcPr>
            <w:tcW w:w="826" w:type="dxa"/>
          </w:tcPr>
          <w:p w:rsidR="001C7DB3" w:rsidRDefault="005C2DA6" w:rsidP="00502167">
            <w:pPr>
              <w:pStyle w:val="TableParagraph"/>
              <w:spacing w:line="248" w:lineRule="exact"/>
              <w:ind w:left="100" w:right="60"/>
              <w:jc w:val="center"/>
            </w:pPr>
            <w:r>
              <w:t>2.9.3</w:t>
            </w:r>
          </w:p>
        </w:tc>
        <w:tc>
          <w:tcPr>
            <w:tcW w:w="7658" w:type="dxa"/>
          </w:tcPr>
          <w:p w:rsidR="001C7DB3" w:rsidRDefault="005C2DA6" w:rsidP="00502167">
            <w:pPr>
              <w:pStyle w:val="TableParagraph"/>
              <w:spacing w:line="248" w:lineRule="exact"/>
              <w:ind w:left="109" w:right="-207"/>
              <w:jc w:val="both"/>
            </w:pPr>
            <w:r>
              <w:t>Procedimiento Operativo Estándar del método analítico: debe describir la</w:t>
            </w:r>
          </w:p>
          <w:p w:rsidR="001C7DB3" w:rsidRDefault="005C2DA6" w:rsidP="00502167">
            <w:pPr>
              <w:pStyle w:val="TableParagraph"/>
              <w:spacing w:before="1" w:line="239" w:lineRule="exact"/>
              <w:ind w:left="109" w:right="-207"/>
              <w:jc w:val="both"/>
            </w:pPr>
            <w:r>
              <w:t>metodología en detalle (versión vigente al momento de la validación)</w:t>
            </w:r>
          </w:p>
        </w:tc>
        <w:tc>
          <w:tcPr>
            <w:tcW w:w="990" w:type="dxa"/>
          </w:tcPr>
          <w:p w:rsidR="001C7DB3" w:rsidRDefault="001C7DB3" w:rsidP="00502167">
            <w:pPr>
              <w:pStyle w:val="TableParagraph"/>
              <w:jc w:val="both"/>
              <w:rPr>
                <w:rFonts w:ascii="Times New Roman"/>
              </w:rPr>
            </w:pPr>
          </w:p>
        </w:tc>
      </w:tr>
      <w:tr w:rsidR="001C7DB3">
        <w:trPr>
          <w:trHeight w:val="1014"/>
        </w:trPr>
        <w:tc>
          <w:tcPr>
            <w:tcW w:w="826" w:type="dxa"/>
          </w:tcPr>
          <w:p w:rsidR="001C7DB3" w:rsidRDefault="005C2DA6" w:rsidP="00502167">
            <w:pPr>
              <w:pStyle w:val="TableParagraph"/>
              <w:spacing w:line="246" w:lineRule="exact"/>
              <w:ind w:left="100" w:right="60"/>
              <w:jc w:val="center"/>
            </w:pPr>
            <w:r>
              <w:t>2.9.4</w:t>
            </w:r>
          </w:p>
        </w:tc>
        <w:tc>
          <w:tcPr>
            <w:tcW w:w="7658" w:type="dxa"/>
          </w:tcPr>
          <w:p w:rsidR="001C7DB3" w:rsidRDefault="005C2DA6" w:rsidP="00502167">
            <w:pPr>
              <w:pStyle w:val="TableParagraph"/>
              <w:spacing w:line="242" w:lineRule="auto"/>
              <w:ind w:left="109" w:right="77"/>
              <w:jc w:val="both"/>
            </w:pPr>
            <w:r>
              <w:t>Procedimiento Operativo Estándar para preparación, almacenamiento y criterios de aceptación de las soluciones stock, estándares de calibración, muestras de control de calidad, estándares de dilución y soluciones de</w:t>
            </w:r>
          </w:p>
          <w:p w:rsidR="001C7DB3" w:rsidRDefault="00502167" w:rsidP="00502167">
            <w:pPr>
              <w:pStyle w:val="TableParagraph"/>
              <w:spacing w:line="231" w:lineRule="exact"/>
              <w:ind w:left="109" w:right="77"/>
              <w:jc w:val="both"/>
            </w:pPr>
            <w:r>
              <w:t>R</w:t>
            </w:r>
            <w:r w:rsidR="005C2DA6">
              <w:t>eferencia</w:t>
            </w:r>
            <w:r>
              <w:t xml:space="preserve"> </w:t>
            </w:r>
            <w:r w:rsidR="005C2DA6">
              <w:t>(versión vigente al momento de la validación)</w:t>
            </w:r>
          </w:p>
        </w:tc>
        <w:tc>
          <w:tcPr>
            <w:tcW w:w="990" w:type="dxa"/>
          </w:tcPr>
          <w:p w:rsidR="001C7DB3" w:rsidRDefault="001C7DB3" w:rsidP="00502167">
            <w:pPr>
              <w:pStyle w:val="TableParagraph"/>
              <w:jc w:val="both"/>
              <w:rPr>
                <w:rFonts w:ascii="Times New Roman"/>
              </w:rPr>
            </w:pPr>
          </w:p>
        </w:tc>
      </w:tr>
    </w:tbl>
    <w:p w:rsidR="001C7DB3" w:rsidRDefault="001C7DB3" w:rsidP="00502167">
      <w:pPr>
        <w:jc w:val="both"/>
        <w:rPr>
          <w:rFonts w:ascii="Times New Roman"/>
        </w:rPr>
        <w:sectPr w:rsidR="001C7DB3">
          <w:pgSz w:w="11920" w:h="16850"/>
          <w:pgMar w:top="1440" w:right="700" w:bottom="1100" w:left="1380" w:header="253" w:footer="911" w:gutter="0"/>
          <w:cols w:space="720"/>
        </w:sectPr>
      </w:pPr>
    </w:p>
    <w:p w:rsidR="001C7DB3" w:rsidRDefault="001C7DB3" w:rsidP="00502167">
      <w:pPr>
        <w:pStyle w:val="Textoindependiente"/>
        <w:jc w:val="both"/>
        <w:rPr>
          <w:rFonts w:ascii="Times New Roman"/>
          <w:b w:val="0"/>
          <w:i w:val="0"/>
          <w:sz w:val="20"/>
        </w:rPr>
      </w:pPr>
    </w:p>
    <w:p w:rsidR="001C7DB3" w:rsidRDefault="001C7DB3" w:rsidP="00502167">
      <w:pPr>
        <w:pStyle w:val="Textoindependiente"/>
        <w:spacing w:before="1"/>
        <w:jc w:val="both"/>
        <w:rPr>
          <w:rFonts w:ascii="Times New Roman"/>
          <w:b w:val="0"/>
          <w:i w:val="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7658"/>
        <w:gridCol w:w="990"/>
      </w:tblGrid>
      <w:tr w:rsidR="001C7DB3">
        <w:trPr>
          <w:trHeight w:val="249"/>
        </w:trPr>
        <w:tc>
          <w:tcPr>
            <w:tcW w:w="826" w:type="dxa"/>
          </w:tcPr>
          <w:p w:rsidR="001C7DB3" w:rsidRDefault="005C2DA6" w:rsidP="00502167">
            <w:pPr>
              <w:pStyle w:val="TableParagraph"/>
              <w:spacing w:line="229" w:lineRule="exact"/>
              <w:ind w:left="100" w:right="60"/>
              <w:jc w:val="center"/>
            </w:pPr>
            <w:r>
              <w:t>2.9.5</w:t>
            </w:r>
          </w:p>
        </w:tc>
        <w:tc>
          <w:tcPr>
            <w:tcW w:w="7658" w:type="dxa"/>
          </w:tcPr>
          <w:p w:rsidR="001C7DB3" w:rsidRDefault="005C2DA6" w:rsidP="00502167">
            <w:pPr>
              <w:pStyle w:val="TableParagraph"/>
              <w:spacing w:line="229" w:lineRule="exact"/>
              <w:ind w:left="109"/>
              <w:jc w:val="both"/>
            </w:pPr>
            <w:r>
              <w:t>Procedimiento Operativo Estándar para realización de los ensayos de</w:t>
            </w:r>
          </w:p>
        </w:tc>
        <w:tc>
          <w:tcPr>
            <w:tcW w:w="990" w:type="dxa"/>
          </w:tcPr>
          <w:p w:rsidR="001C7DB3" w:rsidRDefault="001C7DB3" w:rsidP="00502167">
            <w:pPr>
              <w:pStyle w:val="TableParagraph"/>
              <w:jc w:val="both"/>
              <w:rPr>
                <w:rFonts w:ascii="Times New Roman"/>
                <w:sz w:val="18"/>
              </w:rPr>
            </w:pPr>
          </w:p>
        </w:tc>
      </w:tr>
      <w:tr w:rsidR="001C7DB3">
        <w:trPr>
          <w:trHeight w:val="505"/>
        </w:trPr>
        <w:tc>
          <w:tcPr>
            <w:tcW w:w="826" w:type="dxa"/>
          </w:tcPr>
          <w:p w:rsidR="001C7DB3" w:rsidRDefault="001C7DB3" w:rsidP="00502167">
            <w:pPr>
              <w:pStyle w:val="TableParagraph"/>
              <w:jc w:val="center"/>
              <w:rPr>
                <w:rFonts w:ascii="Times New Roman"/>
                <w:sz w:val="20"/>
              </w:rPr>
            </w:pPr>
          </w:p>
        </w:tc>
        <w:tc>
          <w:tcPr>
            <w:tcW w:w="7658" w:type="dxa"/>
          </w:tcPr>
          <w:p w:rsidR="001C7DB3" w:rsidRDefault="005C2DA6" w:rsidP="00502167">
            <w:pPr>
              <w:pStyle w:val="TableParagraph"/>
              <w:spacing w:before="2" w:line="252" w:lineRule="exact"/>
              <w:ind w:left="109" w:right="536"/>
              <w:jc w:val="both"/>
            </w:pPr>
            <w:r>
              <w:t>validación y criterios de aceptación de los resultados (versión vigente al momento de la validación)</w:t>
            </w:r>
          </w:p>
        </w:tc>
        <w:tc>
          <w:tcPr>
            <w:tcW w:w="990" w:type="dxa"/>
          </w:tcPr>
          <w:p w:rsidR="001C7DB3" w:rsidRDefault="001C7DB3" w:rsidP="00502167">
            <w:pPr>
              <w:pStyle w:val="TableParagraph"/>
              <w:jc w:val="both"/>
              <w:rPr>
                <w:rFonts w:ascii="Times New Roman"/>
                <w:sz w:val="20"/>
              </w:rPr>
            </w:pPr>
          </w:p>
        </w:tc>
      </w:tr>
      <w:tr w:rsidR="001C7DB3">
        <w:trPr>
          <w:trHeight w:val="757"/>
        </w:trPr>
        <w:tc>
          <w:tcPr>
            <w:tcW w:w="826" w:type="dxa"/>
          </w:tcPr>
          <w:p w:rsidR="001C7DB3" w:rsidRDefault="005C2DA6" w:rsidP="00502167">
            <w:pPr>
              <w:pStyle w:val="TableParagraph"/>
              <w:spacing w:line="248" w:lineRule="exact"/>
              <w:ind w:left="100" w:right="60"/>
              <w:jc w:val="center"/>
            </w:pPr>
            <w:r>
              <w:t>2.9.6</w:t>
            </w:r>
          </w:p>
        </w:tc>
        <w:tc>
          <w:tcPr>
            <w:tcW w:w="7658" w:type="dxa"/>
          </w:tcPr>
          <w:p w:rsidR="001C7DB3" w:rsidRDefault="005C2DA6" w:rsidP="00502167">
            <w:pPr>
              <w:pStyle w:val="TableParagraph"/>
              <w:spacing w:before="2" w:line="252" w:lineRule="exact"/>
              <w:ind w:left="109" w:right="891"/>
              <w:jc w:val="both"/>
            </w:pPr>
            <w:r>
              <w:t>Procedimiento Operativo Estándar para recepción, rotulado y almacenamiento de las muestras hasta su análisis por el laboratorio bioanalítico (versión vigente al momento de la validación)</w:t>
            </w:r>
          </w:p>
        </w:tc>
        <w:tc>
          <w:tcPr>
            <w:tcW w:w="990" w:type="dxa"/>
          </w:tcPr>
          <w:p w:rsidR="001C7DB3" w:rsidRDefault="001C7DB3" w:rsidP="00502167">
            <w:pPr>
              <w:pStyle w:val="TableParagraph"/>
              <w:jc w:val="both"/>
              <w:rPr>
                <w:rFonts w:ascii="Times New Roman"/>
                <w:sz w:val="20"/>
              </w:rPr>
            </w:pPr>
          </w:p>
        </w:tc>
      </w:tr>
      <w:tr w:rsidR="001C7DB3">
        <w:trPr>
          <w:trHeight w:val="757"/>
        </w:trPr>
        <w:tc>
          <w:tcPr>
            <w:tcW w:w="826" w:type="dxa"/>
          </w:tcPr>
          <w:p w:rsidR="001C7DB3" w:rsidRDefault="005C2DA6" w:rsidP="00502167">
            <w:pPr>
              <w:pStyle w:val="TableParagraph"/>
              <w:spacing w:line="250" w:lineRule="exact"/>
              <w:ind w:left="100" w:right="60"/>
              <w:jc w:val="center"/>
            </w:pPr>
            <w:r>
              <w:t>2.9.7</w:t>
            </w:r>
          </w:p>
        </w:tc>
        <w:tc>
          <w:tcPr>
            <w:tcW w:w="7658" w:type="dxa"/>
          </w:tcPr>
          <w:p w:rsidR="001C7DB3" w:rsidRDefault="005C2DA6" w:rsidP="00502167">
            <w:pPr>
              <w:pStyle w:val="TableParagraph"/>
              <w:spacing w:before="8" w:line="230" w:lineRule="auto"/>
              <w:ind w:left="109" w:right="108"/>
              <w:jc w:val="both"/>
            </w:pPr>
            <w:r>
              <w:t>Procedimiento Operativo Estándar para la cuantificación de las muestras de voluntarios del estudio in vivo - Aplicación del método bioanalítico (versión vigente al momento de la validación)</w:t>
            </w:r>
          </w:p>
        </w:tc>
        <w:tc>
          <w:tcPr>
            <w:tcW w:w="990" w:type="dxa"/>
          </w:tcPr>
          <w:p w:rsidR="001C7DB3" w:rsidRDefault="001C7DB3" w:rsidP="00502167">
            <w:pPr>
              <w:pStyle w:val="TableParagraph"/>
              <w:jc w:val="both"/>
              <w:rPr>
                <w:rFonts w:ascii="Times New Roman"/>
                <w:sz w:val="20"/>
              </w:rPr>
            </w:pPr>
          </w:p>
        </w:tc>
      </w:tr>
      <w:tr w:rsidR="001C7DB3">
        <w:trPr>
          <w:trHeight w:val="1344"/>
        </w:trPr>
        <w:tc>
          <w:tcPr>
            <w:tcW w:w="826" w:type="dxa"/>
          </w:tcPr>
          <w:p w:rsidR="001C7DB3" w:rsidRDefault="005C2DA6" w:rsidP="00502167">
            <w:pPr>
              <w:pStyle w:val="TableParagraph"/>
              <w:spacing w:line="248" w:lineRule="exact"/>
              <w:ind w:left="100" w:right="60"/>
              <w:jc w:val="center"/>
            </w:pPr>
            <w:r>
              <w:t>2.9.8</w:t>
            </w:r>
          </w:p>
        </w:tc>
        <w:tc>
          <w:tcPr>
            <w:tcW w:w="7658" w:type="dxa"/>
          </w:tcPr>
          <w:p w:rsidR="001C7DB3" w:rsidRDefault="005C2DA6" w:rsidP="00502167">
            <w:pPr>
              <w:pStyle w:val="TableParagraph"/>
              <w:ind w:left="109" w:right="139"/>
              <w:jc w:val="both"/>
            </w:pPr>
            <w:r>
              <w:t>CD conteniendo un Excel con datos crudos de la totalidad de las secuencias de cuantificación de todos los parámetros de validación, que incluya identificación de la secuencia, nombre de la corrida, área de analito, área de estándar interno, relación de áreas, concentración hallada para las muestras analizadas</w:t>
            </w:r>
          </w:p>
        </w:tc>
        <w:tc>
          <w:tcPr>
            <w:tcW w:w="990" w:type="dxa"/>
          </w:tcPr>
          <w:p w:rsidR="001C7DB3" w:rsidRDefault="001C7DB3" w:rsidP="00502167">
            <w:pPr>
              <w:pStyle w:val="TableParagraph"/>
              <w:jc w:val="both"/>
              <w:rPr>
                <w:rFonts w:ascii="Times New Roman"/>
                <w:sz w:val="20"/>
              </w:rPr>
            </w:pPr>
          </w:p>
        </w:tc>
      </w:tr>
      <w:tr w:rsidR="001C7DB3">
        <w:trPr>
          <w:trHeight w:val="251"/>
        </w:trPr>
        <w:tc>
          <w:tcPr>
            <w:tcW w:w="826" w:type="dxa"/>
          </w:tcPr>
          <w:p w:rsidR="001C7DB3" w:rsidRDefault="005C2DA6" w:rsidP="00502167">
            <w:pPr>
              <w:pStyle w:val="TableParagraph"/>
              <w:spacing w:line="231" w:lineRule="exact"/>
              <w:ind w:left="16"/>
              <w:jc w:val="center"/>
              <w:rPr>
                <w:b/>
              </w:rPr>
            </w:pPr>
            <w:r>
              <w:rPr>
                <w:b/>
              </w:rPr>
              <w:t>3</w:t>
            </w:r>
          </w:p>
        </w:tc>
        <w:tc>
          <w:tcPr>
            <w:tcW w:w="7658" w:type="dxa"/>
          </w:tcPr>
          <w:p w:rsidR="001C7DB3" w:rsidRDefault="005C2DA6" w:rsidP="00502167">
            <w:pPr>
              <w:pStyle w:val="TableParagraph"/>
              <w:spacing w:line="231" w:lineRule="exact"/>
              <w:ind w:left="109"/>
              <w:jc w:val="both"/>
              <w:rPr>
                <w:b/>
              </w:rPr>
            </w:pPr>
            <w:r>
              <w:rPr>
                <w:b/>
              </w:rPr>
              <w:t>Informe Estadístico</w:t>
            </w:r>
            <w:r w:rsidR="00766D6D">
              <w:rPr>
                <w:b/>
              </w:rPr>
              <w:t xml:space="preserve"> según ANEXO 4</w:t>
            </w:r>
          </w:p>
        </w:tc>
        <w:tc>
          <w:tcPr>
            <w:tcW w:w="990" w:type="dxa"/>
          </w:tcPr>
          <w:p w:rsidR="001C7DB3" w:rsidRDefault="001C7DB3" w:rsidP="00502167">
            <w:pPr>
              <w:pStyle w:val="TableParagraph"/>
              <w:jc w:val="both"/>
              <w:rPr>
                <w:rFonts w:ascii="Times New Roman"/>
                <w:sz w:val="18"/>
              </w:rPr>
            </w:pPr>
          </w:p>
        </w:tc>
      </w:tr>
      <w:tr w:rsidR="001C7DB3">
        <w:trPr>
          <w:trHeight w:val="1379"/>
        </w:trPr>
        <w:tc>
          <w:tcPr>
            <w:tcW w:w="8484" w:type="dxa"/>
            <w:gridSpan w:val="2"/>
          </w:tcPr>
          <w:p w:rsidR="001C7DB3" w:rsidRDefault="005C2DA6" w:rsidP="00502167">
            <w:pPr>
              <w:pStyle w:val="TableParagraph"/>
              <w:ind w:left="112"/>
              <w:jc w:val="both"/>
              <w:rPr>
                <w:sz w:val="20"/>
              </w:rPr>
            </w:pPr>
            <w:r>
              <w:rPr>
                <w:sz w:val="20"/>
              </w:rPr>
              <w:t>Notas: El formulario presentado debe contener todos los campos solicitados completos (incluyendo el número de hojas de la presentación) o aclarando que puntos de la solicitud no aplican para el estudio presentado, no pudiendo eliminarse ningún campo de los mismos. La documentación correspondiente al protocolo bioanalítico respecto a datos crudos para los</w:t>
            </w:r>
          </w:p>
          <w:p w:rsidR="001C7DB3" w:rsidRDefault="005C2DA6" w:rsidP="00502167">
            <w:pPr>
              <w:pStyle w:val="TableParagraph"/>
              <w:spacing w:before="1" w:line="228" w:lineRule="exact"/>
              <w:ind w:left="112"/>
              <w:jc w:val="both"/>
              <w:rPr>
                <w:sz w:val="20"/>
              </w:rPr>
            </w:pPr>
            <w:r>
              <w:rPr>
                <w:sz w:val="20"/>
              </w:rPr>
              <w:t>cálculos de concentración debe presentarse adicionalmente en versión electrónica (Excel) para todos los parámetros de validación.</w:t>
            </w:r>
          </w:p>
        </w:tc>
        <w:tc>
          <w:tcPr>
            <w:tcW w:w="990" w:type="dxa"/>
          </w:tcPr>
          <w:p w:rsidR="001C7DB3" w:rsidRDefault="001C7DB3" w:rsidP="00502167">
            <w:pPr>
              <w:pStyle w:val="TableParagraph"/>
              <w:jc w:val="both"/>
              <w:rPr>
                <w:rFonts w:ascii="Times New Roman"/>
                <w:sz w:val="20"/>
              </w:rPr>
            </w:pPr>
          </w:p>
        </w:tc>
      </w:tr>
      <w:tr w:rsidR="001C7DB3">
        <w:trPr>
          <w:trHeight w:val="254"/>
        </w:trPr>
        <w:tc>
          <w:tcPr>
            <w:tcW w:w="9474" w:type="dxa"/>
            <w:gridSpan w:val="3"/>
          </w:tcPr>
          <w:p w:rsidR="001C7DB3" w:rsidRDefault="005C2DA6" w:rsidP="00502167">
            <w:pPr>
              <w:pStyle w:val="TableParagraph"/>
              <w:spacing w:line="234" w:lineRule="exact"/>
              <w:ind w:left="112"/>
              <w:jc w:val="both"/>
            </w:pPr>
            <w:r>
              <w:t>Representante del patrocinador: firma, fecha y aclaración</w:t>
            </w:r>
          </w:p>
        </w:tc>
      </w:tr>
      <w:tr w:rsidR="001C7DB3">
        <w:trPr>
          <w:trHeight w:val="1149"/>
        </w:trPr>
        <w:tc>
          <w:tcPr>
            <w:tcW w:w="9474" w:type="dxa"/>
            <w:gridSpan w:val="3"/>
          </w:tcPr>
          <w:p w:rsidR="001C7DB3" w:rsidRDefault="001C7DB3">
            <w:pPr>
              <w:pStyle w:val="TableParagraph"/>
              <w:rPr>
                <w:rFonts w:ascii="Times New Roman"/>
                <w:sz w:val="20"/>
              </w:rPr>
            </w:pPr>
          </w:p>
        </w:tc>
      </w:tr>
    </w:tbl>
    <w:p w:rsidR="005C2DA6" w:rsidRDefault="005C2DA6"/>
    <w:sectPr w:rsidR="005C2DA6" w:rsidSect="001C7DB3">
      <w:pgSz w:w="11920" w:h="16850"/>
      <w:pgMar w:top="1440" w:right="700" w:bottom="1100" w:left="1380" w:header="253" w:footer="9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54A" w:rsidRDefault="008C154A" w:rsidP="001C7DB3">
      <w:r>
        <w:separator/>
      </w:r>
    </w:p>
  </w:endnote>
  <w:endnote w:type="continuationSeparator" w:id="0">
    <w:p w:rsidR="008C154A" w:rsidRDefault="008C154A" w:rsidP="001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DB3" w:rsidRDefault="00C57AD7">
    <w:pPr>
      <w:pStyle w:val="Textoindependiente"/>
      <w:spacing w:line="14" w:lineRule="auto"/>
      <w:rPr>
        <w:b w:val="0"/>
        <w:i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6388735</wp:posOffset>
              </wp:positionH>
              <wp:positionV relativeFrom="page">
                <wp:posOffset>9925050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DB3" w:rsidRDefault="001C7DB3">
                          <w:pPr>
                            <w:spacing w:line="245" w:lineRule="exact"/>
                            <w:ind w:left="40"/>
                            <w:rPr>
                              <w:rFonts w:ascii="Calibri"/>
                            </w:rPr>
                          </w:pPr>
                          <w:r>
                            <w:fldChar w:fldCharType="begin"/>
                          </w:r>
                          <w:r w:rsidR="005C2DA6">
                            <w:rPr>
                              <w:rFonts w:ascii="Calibri"/>
                            </w:rPr>
                            <w:instrText xml:space="preserve"> PAGE </w:instrText>
                          </w:r>
                          <w:r>
                            <w:fldChar w:fldCharType="separate"/>
                          </w:r>
                          <w:r w:rsidR="00766D6D">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3.05pt;margin-top:781.5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" filled="f" stroked="f">
              <v:textbox inset="0,0,0,0">
                <w:txbxContent>
                  <w:p w:rsidR="001C7DB3" w:rsidRDefault="001C7DB3">
                    <w:pPr>
                      <w:spacing w:line="245" w:lineRule="exact"/>
                      <w:ind w:left="40"/>
                      <w:rPr>
                        <w:rFonts w:ascii="Calibri"/>
                      </w:rPr>
                    </w:pPr>
                    <w:r>
                      <w:fldChar w:fldCharType="begin"/>
                    </w:r>
                    <w:r w:rsidR="005C2DA6">
                      <w:rPr>
                        <w:rFonts w:ascii="Calibri"/>
                      </w:rPr>
                      <w:instrText xml:space="preserve"> PAGE </w:instrText>
                    </w:r>
                    <w:r>
                      <w:fldChar w:fldCharType="separate"/>
                    </w:r>
                    <w:r w:rsidR="00766D6D">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54A" w:rsidRDefault="008C154A" w:rsidP="001C7DB3">
      <w:r>
        <w:separator/>
      </w:r>
    </w:p>
  </w:footnote>
  <w:footnote w:type="continuationSeparator" w:id="0">
    <w:p w:rsidR="008C154A" w:rsidRDefault="008C154A" w:rsidP="001C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3FA" w:rsidRPr="009E13FA" w:rsidRDefault="009E13FA" w:rsidP="009E13FA">
    <w:pPr>
      <w:pStyle w:val="Encabezado"/>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6248400" cy="933450"/>
          <wp:effectExtent l="0" t="0" r="0" b="0"/>
          <wp:wrapTight wrapText="bothSides">
            <wp:wrapPolygon edited="0">
              <wp:start x="0" y="0"/>
              <wp:lineTo x="0" y="21159"/>
              <wp:lineTo x="21534" y="21159"/>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NAVISA 2023.png"/>
                  <pic:cNvPicPr/>
                </pic:nvPicPr>
                <pic:blipFill>
                  <a:blip r:embed="rId1">
                    <a:extLst>
                      <a:ext uri="{28A0092B-C50C-407E-A947-70E740481C1C}">
                        <a14:useLocalDpi xmlns:a14="http://schemas.microsoft.com/office/drawing/2010/main" val="0"/>
                      </a:ext>
                    </a:extLst>
                  </a:blip>
                  <a:stretch>
                    <a:fillRect/>
                  </a:stretch>
                </pic:blipFill>
                <pic:spPr>
                  <a:xfrm>
                    <a:off x="0" y="0"/>
                    <a:ext cx="6248400" cy="93345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DB3" w:rsidRDefault="009E13FA">
    <w:pPr>
      <w:pStyle w:val="Textoindependiente"/>
      <w:spacing w:line="14" w:lineRule="auto"/>
      <w:rPr>
        <w:b w:val="0"/>
        <w:i w:val="0"/>
        <w:sz w:val="20"/>
      </w:rPr>
    </w:pPr>
    <w:r>
      <w:rPr>
        <w:b w:val="0"/>
        <w:i w:val="0"/>
        <w:noProof/>
        <w:sz w:val="20"/>
      </w:rPr>
      <w:drawing>
        <wp:inline distT="0" distB="0" distL="0" distR="0">
          <wp:extent cx="6248400" cy="10737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NAVISA 2023.png"/>
                  <pic:cNvPicPr/>
                </pic:nvPicPr>
                <pic:blipFill>
                  <a:blip r:embed="rId1">
                    <a:extLst>
                      <a:ext uri="{28A0092B-C50C-407E-A947-70E740481C1C}">
                        <a14:useLocalDpi xmlns:a14="http://schemas.microsoft.com/office/drawing/2010/main" val="0"/>
                      </a:ext>
                    </a:extLst>
                  </a:blip>
                  <a:stretch>
                    <a:fillRect/>
                  </a:stretch>
                </pic:blipFill>
                <pic:spPr>
                  <a:xfrm>
                    <a:off x="0" y="0"/>
                    <a:ext cx="6248400" cy="10737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B3"/>
    <w:rsid w:val="000831E0"/>
    <w:rsid w:val="001C7DB3"/>
    <w:rsid w:val="004554BA"/>
    <w:rsid w:val="00502167"/>
    <w:rsid w:val="005C2DA6"/>
    <w:rsid w:val="00766D6D"/>
    <w:rsid w:val="008C154A"/>
    <w:rsid w:val="009E13FA"/>
    <w:rsid w:val="00C57AD7"/>
    <w:rsid w:val="00C7596C"/>
    <w:rsid w:val="00CA7A49"/>
    <w:rsid w:val="00F15E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32A5C"/>
  <w15:docId w15:val="{90229DBE-E2DC-47E3-B4C4-4B72B7DF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7DB3"/>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C7DB3"/>
    <w:tblPr>
      <w:tblInd w:w="0" w:type="dxa"/>
      <w:tblCellMar>
        <w:top w:w="0" w:type="dxa"/>
        <w:left w:w="0" w:type="dxa"/>
        <w:bottom w:w="0" w:type="dxa"/>
        <w:right w:w="0" w:type="dxa"/>
      </w:tblCellMar>
    </w:tblPr>
  </w:style>
  <w:style w:type="paragraph" w:styleId="Textoindependiente">
    <w:name w:val="Body Text"/>
    <w:basedOn w:val="Normal"/>
    <w:uiPriority w:val="1"/>
    <w:qFormat/>
    <w:rsid w:val="001C7DB3"/>
    <w:rPr>
      <w:b/>
      <w:bCs/>
      <w:i/>
      <w:sz w:val="24"/>
      <w:szCs w:val="24"/>
    </w:rPr>
  </w:style>
  <w:style w:type="paragraph" w:styleId="Prrafodelista">
    <w:name w:val="List Paragraph"/>
    <w:basedOn w:val="Normal"/>
    <w:uiPriority w:val="1"/>
    <w:qFormat/>
    <w:rsid w:val="001C7DB3"/>
  </w:style>
  <w:style w:type="paragraph" w:customStyle="1" w:styleId="TableParagraph">
    <w:name w:val="Table Paragraph"/>
    <w:basedOn w:val="Normal"/>
    <w:uiPriority w:val="1"/>
    <w:qFormat/>
    <w:rsid w:val="001C7DB3"/>
  </w:style>
  <w:style w:type="paragraph" w:styleId="Textodeglobo">
    <w:name w:val="Balloon Text"/>
    <w:basedOn w:val="Normal"/>
    <w:link w:val="TextodegloboCar"/>
    <w:uiPriority w:val="99"/>
    <w:semiHidden/>
    <w:unhideWhenUsed/>
    <w:rsid w:val="00766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D6D"/>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4554BA"/>
    <w:pPr>
      <w:tabs>
        <w:tab w:val="center" w:pos="4252"/>
        <w:tab w:val="right" w:pos="8504"/>
      </w:tabs>
    </w:pPr>
  </w:style>
  <w:style w:type="character" w:customStyle="1" w:styleId="EncabezadoCar">
    <w:name w:val="Encabezado Car"/>
    <w:basedOn w:val="Fuentedeprrafopredeter"/>
    <w:link w:val="Encabezado"/>
    <w:uiPriority w:val="99"/>
    <w:rsid w:val="004554BA"/>
    <w:rPr>
      <w:rFonts w:ascii="Arial" w:eastAsia="Arial" w:hAnsi="Arial" w:cs="Arial"/>
      <w:lang w:val="es-ES" w:eastAsia="es-ES" w:bidi="es-ES"/>
    </w:rPr>
  </w:style>
  <w:style w:type="paragraph" w:styleId="Piedepgina">
    <w:name w:val="footer"/>
    <w:basedOn w:val="Normal"/>
    <w:link w:val="PiedepginaCar"/>
    <w:uiPriority w:val="99"/>
    <w:unhideWhenUsed/>
    <w:rsid w:val="004554BA"/>
    <w:pPr>
      <w:tabs>
        <w:tab w:val="center" w:pos="4252"/>
        <w:tab w:val="right" w:pos="8504"/>
      </w:tabs>
    </w:pPr>
  </w:style>
  <w:style w:type="character" w:customStyle="1" w:styleId="PiedepginaCar">
    <w:name w:val="Pie de página Car"/>
    <w:basedOn w:val="Fuentedeprrafopredeter"/>
    <w:link w:val="Piedepgina"/>
    <w:uiPriority w:val="99"/>
    <w:rsid w:val="004554B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dnvs04</cp:lastModifiedBy>
  <cp:revision>7</cp:revision>
  <dcterms:created xsi:type="dcterms:W3CDTF">2022-02-23T15:11:00Z</dcterms:created>
  <dcterms:modified xsi:type="dcterms:W3CDTF">2023-09-27T18:54:00Z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2013</vt:lpwstr>
  </property>
  <property fmtid="{D5CDD505-2E9C-101B-9397-08002B2CF9AE}" pid="4" name="LastSaved">
    <vt:filetime>2019-05-06T00:00:00Z</vt:filetime>
  </property>
</Properties>
</file>