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DA40E" w14:textId="77777777" w:rsidR="007632BD" w:rsidRDefault="007632BD" w:rsidP="007632BD">
      <w:pPr>
        <w:spacing w:after="0" w:line="240" w:lineRule="auto"/>
        <w:ind w:right="-992"/>
        <w:jc w:val="both"/>
        <w:rPr>
          <w:rFonts w:ascii="Arial" w:eastAsia="Arial" w:hAnsi="Arial" w:cs="Arial"/>
          <w:b/>
        </w:rPr>
      </w:pPr>
      <w:bookmarkStart w:id="0" w:name="_heading=h.gjdgxs" w:colFirst="0" w:colLast="0"/>
      <w:bookmarkEnd w:id="0"/>
      <w:r>
        <w:rPr>
          <w:rFonts w:ascii="Arial" w:eastAsia="Arial" w:hAnsi="Arial" w:cs="Arial"/>
          <w:b/>
        </w:rPr>
        <w:t>VISTO:</w:t>
      </w:r>
    </w:p>
    <w:p w14:paraId="493B7325" w14:textId="77777777" w:rsidR="007632BD" w:rsidRDefault="007632BD" w:rsidP="007632BD">
      <w:pPr>
        <w:spacing w:after="0" w:line="240" w:lineRule="auto"/>
        <w:ind w:right="-550" w:firstLine="720"/>
        <w:jc w:val="both"/>
        <w:rPr>
          <w:rFonts w:ascii="Arial" w:eastAsia="Arial" w:hAnsi="Arial" w:cs="Arial"/>
        </w:rPr>
      </w:pPr>
      <w:r w:rsidRPr="00E74A78">
        <w:rPr>
          <w:rFonts w:ascii="Arial" w:eastAsia="Arial" w:hAnsi="Arial" w:cs="Arial"/>
        </w:rPr>
        <w:t>El Memorando DINAVISA MB N°130/2024</w:t>
      </w:r>
      <w:r>
        <w:rPr>
          <w:rFonts w:ascii="Arial" w:eastAsia="Arial" w:hAnsi="Arial" w:cs="Arial"/>
        </w:rPr>
        <w:t xml:space="preserve"> por el cual la Departamento de Registro de Medicamentos Biológicos y Radiofármacos, dependiente de la Dirección General de Evaluación y Registros Sanitarios, solicita establecer el procedimiento para liberación de cada lote de vacunas y medicamentos hemoderivados que ingresan al Paraguay para comercialización y los lotes que ingresan para uso a través del Programa Ampliado de Inmunizaciones - PAI; y</w:t>
      </w:r>
    </w:p>
    <w:p w14:paraId="08BD25EA" w14:textId="77777777" w:rsidR="007632BD" w:rsidRDefault="007632BD" w:rsidP="007632BD">
      <w:pPr>
        <w:spacing w:after="0" w:line="240" w:lineRule="auto"/>
        <w:ind w:right="-550" w:firstLine="720"/>
        <w:jc w:val="both"/>
        <w:rPr>
          <w:rFonts w:ascii="Arial" w:eastAsia="Arial" w:hAnsi="Arial" w:cs="Arial"/>
        </w:rPr>
      </w:pPr>
      <w:r>
        <w:rPr>
          <w:rFonts w:ascii="Arial" w:eastAsia="Arial" w:hAnsi="Arial" w:cs="Arial"/>
          <w:b/>
        </w:rPr>
        <w:t xml:space="preserve">       </w:t>
      </w:r>
      <w:r>
        <w:rPr>
          <w:rFonts w:ascii="Arial" w:eastAsia="Arial" w:hAnsi="Arial" w:cs="Arial"/>
        </w:rPr>
        <w:t xml:space="preserve">     </w:t>
      </w:r>
    </w:p>
    <w:p w14:paraId="5B6442D2" w14:textId="77777777" w:rsidR="007632BD" w:rsidRDefault="007632BD" w:rsidP="007632BD">
      <w:pPr>
        <w:spacing w:line="240" w:lineRule="auto"/>
        <w:ind w:right="-550"/>
        <w:jc w:val="both"/>
        <w:rPr>
          <w:rFonts w:ascii="Arial" w:eastAsia="Arial" w:hAnsi="Arial" w:cs="Arial"/>
          <w:b/>
        </w:rPr>
      </w:pPr>
      <w:r>
        <w:rPr>
          <w:rFonts w:ascii="Arial" w:eastAsia="Arial" w:hAnsi="Arial" w:cs="Arial"/>
          <w:b/>
        </w:rPr>
        <w:t xml:space="preserve">CONSIDERANDO: </w:t>
      </w:r>
    </w:p>
    <w:p w14:paraId="306450B3" w14:textId="77777777" w:rsidR="007632BD" w:rsidRDefault="007632BD" w:rsidP="007632BD">
      <w:pPr>
        <w:shd w:val="clear" w:color="auto" w:fill="FDFDFD"/>
        <w:spacing w:before="240" w:after="240" w:line="240" w:lineRule="auto"/>
        <w:ind w:right="-550" w:firstLine="708"/>
        <w:jc w:val="both"/>
        <w:rPr>
          <w:rFonts w:ascii="Arial" w:eastAsia="Arial" w:hAnsi="Arial" w:cs="Arial"/>
        </w:rPr>
      </w:pPr>
      <w:r>
        <w:rPr>
          <w:rFonts w:ascii="Arial" w:eastAsia="Arial" w:hAnsi="Arial" w:cs="Arial"/>
        </w:rPr>
        <w:t xml:space="preserve">Que la Constitución de la República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 y en su Capítulo VIII - Sección II establece disposiciones vinculantes respecto a la Función Pública. </w:t>
      </w:r>
    </w:p>
    <w:p w14:paraId="1378B7C6" w14:textId="77777777" w:rsidR="007632BD" w:rsidRDefault="007632BD" w:rsidP="007632BD">
      <w:pPr>
        <w:shd w:val="clear" w:color="auto" w:fill="FDFDFD"/>
        <w:spacing w:before="240" w:after="240" w:line="240" w:lineRule="auto"/>
        <w:ind w:right="-550" w:firstLine="708"/>
        <w:jc w:val="both"/>
        <w:rPr>
          <w:rFonts w:ascii="Arial" w:eastAsia="Arial" w:hAnsi="Arial" w:cs="Arial"/>
        </w:rPr>
      </w:pPr>
      <w:r>
        <w:rPr>
          <w:rFonts w:ascii="Arial" w:eastAsia="Arial" w:hAnsi="Arial" w:cs="Arial"/>
        </w:rPr>
        <w:t xml:space="preserve">Que Ley </w:t>
      </w:r>
      <w:proofErr w:type="spellStart"/>
      <w:r>
        <w:rPr>
          <w:rFonts w:ascii="Arial" w:eastAsia="Arial" w:hAnsi="Arial" w:cs="Arial"/>
        </w:rPr>
        <w:t>N°</w:t>
      </w:r>
      <w:proofErr w:type="spellEnd"/>
      <w:r>
        <w:rPr>
          <w:rFonts w:ascii="Arial" w:eastAsia="Arial" w:hAnsi="Arial" w:cs="Arial"/>
        </w:rPr>
        <w:t xml:space="preserve"> 1119/1997 “De productos para la salud y otros”, establece disposiciones regulatorias de los productos para la salud.</w:t>
      </w:r>
    </w:p>
    <w:p w14:paraId="192EEB1E" w14:textId="77777777" w:rsidR="007632BD" w:rsidRDefault="007632BD" w:rsidP="007632BD">
      <w:pPr>
        <w:spacing w:after="0" w:line="240" w:lineRule="auto"/>
        <w:ind w:right="-550" w:firstLine="708"/>
        <w:jc w:val="both"/>
        <w:rPr>
          <w:rFonts w:ascii="Arial" w:eastAsia="Arial" w:hAnsi="Arial" w:cs="Arial"/>
        </w:rPr>
      </w:pPr>
      <w:r>
        <w:rPr>
          <w:rFonts w:ascii="Arial" w:eastAsia="Arial" w:hAnsi="Arial" w:cs="Arial"/>
        </w:rPr>
        <w:t xml:space="preserve">Que, la Ley N°1119/97 en su Artículo 24 faculta a la Autoridad Sanitaria a regular el registro de los Medicamentos Especiales al establecer: “Medicamentos Especiales. 1. La Autoridad Sanitaria Nacional reglamentará los requisitos para la autorización de los medicamentos considerados especiales por sus características particulares de origen, toxicidad o efectos secundarios. 2. A los efectos de la presente Ley, se consideran medicamentos especiales: ...las vacunas y demás medicamentos biológicos, los medicamentos derivados de la sangre, del plasma y de los demás fluidos, glándulas y tejidos humanos”. </w:t>
      </w:r>
    </w:p>
    <w:p w14:paraId="37FE9C9D" w14:textId="77777777" w:rsidR="007632BD" w:rsidRDefault="007632BD" w:rsidP="007632BD">
      <w:pPr>
        <w:spacing w:after="0" w:line="240" w:lineRule="auto"/>
        <w:ind w:right="-550" w:firstLine="708"/>
        <w:jc w:val="both"/>
        <w:rPr>
          <w:rFonts w:ascii="Arial" w:eastAsia="Arial" w:hAnsi="Arial" w:cs="Arial"/>
        </w:rPr>
      </w:pPr>
    </w:p>
    <w:p w14:paraId="3DCB0E26" w14:textId="77777777" w:rsidR="007632BD" w:rsidRDefault="007632BD" w:rsidP="007632BD">
      <w:pPr>
        <w:shd w:val="clear" w:color="auto" w:fill="FDFDFD"/>
        <w:spacing w:after="0" w:line="240" w:lineRule="auto"/>
        <w:ind w:firstLine="708"/>
        <w:jc w:val="both"/>
        <w:rPr>
          <w:rFonts w:ascii="Arial" w:eastAsia="Arial" w:hAnsi="Arial" w:cs="Arial"/>
        </w:rPr>
      </w:pPr>
      <w:r>
        <w:rPr>
          <w:rFonts w:ascii="Arial" w:eastAsia="Arial" w:hAnsi="Arial" w:cs="Arial"/>
        </w:rPr>
        <w:t xml:space="preserve">Que la Ley </w:t>
      </w:r>
      <w:proofErr w:type="spellStart"/>
      <w:r>
        <w:rPr>
          <w:rFonts w:ascii="Arial" w:eastAsia="Arial" w:hAnsi="Arial" w:cs="Arial"/>
        </w:rPr>
        <w:t>Nº</w:t>
      </w:r>
      <w:proofErr w:type="spellEnd"/>
      <w:r>
        <w:rPr>
          <w:rFonts w:ascii="Arial" w:eastAsia="Arial" w:hAnsi="Arial" w:cs="Arial"/>
        </w:rPr>
        <w:t xml:space="preserve"> 4621/2012 “Nacional de Vacunas” en su artículo 21 inciso b) define Liberación de Lotes a todo procedimiento por el cual la Autoridad Nacional Regulatoria acredita la efectividad de las vacunas, antes de dar la aprobación para su comercialización</w:t>
      </w:r>
      <w:r w:rsidR="008E7DEF">
        <w:rPr>
          <w:rFonts w:ascii="Arial" w:eastAsia="Arial" w:hAnsi="Arial" w:cs="Arial"/>
        </w:rPr>
        <w:t>.</w:t>
      </w:r>
    </w:p>
    <w:p w14:paraId="31EA9CD9" w14:textId="77777777" w:rsidR="007632BD" w:rsidRDefault="007632BD" w:rsidP="007632BD">
      <w:pPr>
        <w:shd w:val="clear" w:color="auto" w:fill="FDFDFD"/>
        <w:spacing w:after="0" w:line="240" w:lineRule="auto"/>
        <w:ind w:firstLine="708"/>
        <w:jc w:val="both"/>
        <w:rPr>
          <w:rFonts w:ascii="Arial" w:eastAsia="Arial" w:hAnsi="Arial" w:cs="Arial"/>
        </w:rPr>
      </w:pPr>
    </w:p>
    <w:p w14:paraId="109010E5" w14:textId="77777777" w:rsidR="007632BD" w:rsidRDefault="007632BD" w:rsidP="007632BD">
      <w:pPr>
        <w:shd w:val="clear" w:color="auto" w:fill="FDFDFD"/>
        <w:spacing w:after="0" w:line="240" w:lineRule="auto"/>
        <w:ind w:right="-550" w:firstLine="708"/>
        <w:jc w:val="both"/>
        <w:rPr>
          <w:rFonts w:ascii="Arial" w:eastAsia="Arial" w:hAnsi="Arial" w:cs="Arial"/>
        </w:rPr>
      </w:pPr>
      <w:r>
        <w:rPr>
          <w:rFonts w:ascii="Arial" w:eastAsia="Arial" w:hAnsi="Arial" w:cs="Arial"/>
        </w:rPr>
        <w:t xml:space="preserve">Que la Ley </w:t>
      </w:r>
      <w:proofErr w:type="spellStart"/>
      <w:r>
        <w:rPr>
          <w:rFonts w:ascii="Arial" w:eastAsia="Arial" w:hAnsi="Arial" w:cs="Arial"/>
        </w:rPr>
        <w:t>Nº</w:t>
      </w:r>
      <w:proofErr w:type="spellEnd"/>
      <w:r>
        <w:rPr>
          <w:rFonts w:ascii="Arial" w:eastAsia="Arial" w:hAnsi="Arial" w:cs="Arial"/>
        </w:rPr>
        <w:t xml:space="preserve"> 6788/2021, dispone la autonomía de la Dirección Nacional de Vigilancia Sanitaria y en su Artículo 3º establece: “La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w:t>
      </w:r>
      <w:r>
        <w:rPr>
          <w:rFonts w:ascii="Arial" w:eastAsia="Arial" w:hAnsi="Arial" w:cs="Arial"/>
        </w:rPr>
        <w:lastRenderedPageBreak/>
        <w:t xml:space="preserve">así como los productos considerados como cosméticos, perfumes, </w:t>
      </w:r>
      <w:proofErr w:type="spellStart"/>
      <w:r>
        <w:rPr>
          <w:rFonts w:ascii="Arial" w:eastAsia="Arial" w:hAnsi="Arial" w:cs="Arial"/>
        </w:rPr>
        <w:t>domisanitarios</w:t>
      </w:r>
      <w:proofErr w:type="spellEnd"/>
      <w:r>
        <w:rPr>
          <w:rFonts w:ascii="Arial" w:eastAsia="Arial" w:hAnsi="Arial" w:cs="Arial"/>
        </w:rPr>
        <w:t xml:space="preserve"> y afines, y aquellos productos cuya regulación y control le sean asignados por Ley, así como el aseguramiento de su calidad, seguridad y eficacia, pudiendo sancionar las infracciones que se detecten”, y en su Artículo 5º al disponer que la Dirección Nacional de Vigilancia Sanitaria (DINAVISA), tiene por finalidad velar por la protección de la salud humana, prevé las funciones que deberá cumplir, entre las más importantes determina que como Autoridad Regulatoria recaen bajo su competencia la regulación, control y fiscalización de los productos para la salud como medicamentos de uso humano, drogas, productos químicos, reactivos, dispositivos médicos y todo otro producto de uso y aplicación en medicina humana, así como los considerados productos de higiene de uso personal, cosméticos, perfumes y </w:t>
      </w:r>
      <w:proofErr w:type="spellStart"/>
      <w:r>
        <w:rPr>
          <w:rFonts w:ascii="Arial" w:eastAsia="Arial" w:hAnsi="Arial" w:cs="Arial"/>
        </w:rPr>
        <w:t>domisanitarios</w:t>
      </w:r>
      <w:proofErr w:type="spellEnd"/>
      <w:r>
        <w:rPr>
          <w:rFonts w:ascii="Arial" w:eastAsia="Arial" w:hAnsi="Arial" w:cs="Arial"/>
        </w:rPr>
        <w:t xml:space="preserve">, asegurando su calidad, seguridad y eficacia en todo el territorio nacional; así como la fiscalización y regulación 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competencias que le atribuyen otras disposiciones legales como Autoridad Regulatoria Nacional, asimismo en su inciso ñ) dispone la función de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 </w:t>
      </w:r>
    </w:p>
    <w:p w14:paraId="01E4CF6D" w14:textId="77777777" w:rsidR="007632BD" w:rsidRDefault="007632BD" w:rsidP="007632BD">
      <w:pPr>
        <w:shd w:val="clear" w:color="auto" w:fill="FDFDFD"/>
        <w:spacing w:after="0" w:line="240" w:lineRule="auto"/>
        <w:ind w:right="-550"/>
        <w:jc w:val="both"/>
        <w:rPr>
          <w:rFonts w:ascii="Arial" w:eastAsia="Arial" w:hAnsi="Arial" w:cs="Arial"/>
          <w:color w:val="000000"/>
        </w:rPr>
      </w:pPr>
    </w:p>
    <w:p w14:paraId="41F63ED9" w14:textId="77777777" w:rsidR="007632BD" w:rsidRDefault="007632BD" w:rsidP="007632BD">
      <w:pPr>
        <w:pBdr>
          <w:top w:val="nil"/>
          <w:left w:val="nil"/>
          <w:bottom w:val="nil"/>
          <w:right w:val="nil"/>
          <w:between w:val="nil"/>
        </w:pBdr>
        <w:shd w:val="clear" w:color="auto" w:fill="FFFFFF"/>
        <w:spacing w:after="0" w:line="240" w:lineRule="auto"/>
        <w:ind w:right="-550" w:firstLine="709"/>
        <w:jc w:val="both"/>
        <w:rPr>
          <w:rFonts w:ascii="Arial" w:eastAsia="Arial" w:hAnsi="Arial" w:cs="Arial"/>
          <w:color w:val="000000"/>
        </w:rPr>
      </w:pPr>
      <w:r>
        <w:rPr>
          <w:rFonts w:ascii="Arial" w:eastAsia="Arial" w:hAnsi="Arial" w:cs="Arial"/>
          <w:color w:val="000000"/>
        </w:rPr>
        <w:t xml:space="preserve">Que por Resolución DINAVISA </w:t>
      </w:r>
      <w:proofErr w:type="spellStart"/>
      <w:r>
        <w:rPr>
          <w:rFonts w:ascii="Arial" w:eastAsia="Arial" w:hAnsi="Arial" w:cs="Arial"/>
          <w:color w:val="000000"/>
        </w:rPr>
        <w:t>N</w:t>
      </w:r>
      <w:r>
        <w:rPr>
          <w:rFonts w:ascii="Arial" w:eastAsia="Arial" w:hAnsi="Arial" w:cs="Arial"/>
        </w:rPr>
        <w:t>º</w:t>
      </w:r>
      <w:proofErr w:type="spellEnd"/>
      <w:r>
        <w:rPr>
          <w:rFonts w:ascii="Arial" w:eastAsia="Arial" w:hAnsi="Arial" w:cs="Arial"/>
        </w:rPr>
        <w:t xml:space="preserve"> </w:t>
      </w:r>
      <w:r>
        <w:rPr>
          <w:rFonts w:ascii="Arial" w:eastAsia="Arial" w:hAnsi="Arial" w:cs="Arial"/>
          <w:color w:val="000000"/>
        </w:rPr>
        <w:t>98 del 07 de mayo de 2024, se aprueba la estructura orgánica y funcional de la DINAVISA.</w:t>
      </w:r>
    </w:p>
    <w:p w14:paraId="1ED5D1CB" w14:textId="77777777" w:rsidR="007632BD" w:rsidRDefault="007632BD" w:rsidP="007632BD">
      <w:pPr>
        <w:pBdr>
          <w:top w:val="nil"/>
          <w:left w:val="nil"/>
          <w:bottom w:val="nil"/>
          <w:right w:val="nil"/>
          <w:between w:val="nil"/>
        </w:pBdr>
        <w:shd w:val="clear" w:color="auto" w:fill="FFFFFF"/>
        <w:spacing w:after="0" w:line="240" w:lineRule="auto"/>
        <w:ind w:right="-550" w:firstLine="709"/>
        <w:jc w:val="both"/>
        <w:rPr>
          <w:rFonts w:ascii="Arial" w:eastAsia="Arial" w:hAnsi="Arial" w:cs="Arial"/>
          <w:color w:val="000000"/>
        </w:rPr>
      </w:pPr>
    </w:p>
    <w:p w14:paraId="0BDE23C1" w14:textId="77777777" w:rsidR="007632BD" w:rsidRPr="007632BD" w:rsidRDefault="007632BD" w:rsidP="007632BD">
      <w:pPr>
        <w:keepNext/>
        <w:keepLines/>
        <w:spacing w:after="272" w:line="250" w:lineRule="auto"/>
        <w:ind w:right="-568" w:hanging="10"/>
        <w:jc w:val="both"/>
        <w:outlineLvl w:val="0"/>
        <w:rPr>
          <w:rFonts w:ascii="Arial" w:eastAsia="Arial" w:hAnsi="Arial" w:cs="Arial"/>
        </w:rPr>
      </w:pPr>
      <w:r>
        <w:rPr>
          <w:rFonts w:ascii="Arial" w:eastAsia="Arial" w:hAnsi="Arial" w:cs="Arial"/>
        </w:rPr>
        <w:t xml:space="preserve">            </w:t>
      </w:r>
      <w:r w:rsidRPr="007632BD">
        <w:rPr>
          <w:rFonts w:ascii="Arial" w:eastAsia="Arial" w:hAnsi="Arial" w:cs="Arial"/>
        </w:rPr>
        <w:t xml:space="preserve">Que </w:t>
      </w:r>
      <w:r>
        <w:rPr>
          <w:rFonts w:ascii="Arial" w:eastAsia="Arial" w:hAnsi="Arial" w:cs="Arial"/>
        </w:rPr>
        <w:t>la</w:t>
      </w:r>
      <w:r w:rsidRPr="007632BD">
        <w:rPr>
          <w:rFonts w:ascii="Arial" w:eastAsia="Arial" w:hAnsi="Arial" w:cs="Arial"/>
        </w:rPr>
        <w:t xml:space="preserve"> resolución </w:t>
      </w:r>
      <w:r>
        <w:rPr>
          <w:rFonts w:ascii="Arial" w:eastAsia="Arial" w:hAnsi="Arial" w:cs="Arial"/>
        </w:rPr>
        <w:t>DINAVISA</w:t>
      </w:r>
      <w:r w:rsidRPr="007632BD">
        <w:rPr>
          <w:rFonts w:ascii="Arial" w:eastAsia="Arial" w:hAnsi="Arial" w:cs="Arial"/>
        </w:rPr>
        <w:t xml:space="preserve"> </w:t>
      </w:r>
      <w:r>
        <w:rPr>
          <w:rFonts w:ascii="Arial" w:eastAsia="Arial" w:hAnsi="Arial" w:cs="Arial"/>
        </w:rPr>
        <w:t>N</w:t>
      </w:r>
      <w:r w:rsidRPr="007632BD">
        <w:rPr>
          <w:rFonts w:ascii="Arial" w:eastAsia="Arial" w:hAnsi="Arial" w:cs="Arial"/>
        </w:rPr>
        <w:t xml:space="preserve">°237/2024. Por la cual se establece el procedimiento para liberación de cada lote de vacunas y medicamentos hemoderivados que ingresan al </w:t>
      </w:r>
      <w:r>
        <w:rPr>
          <w:rFonts w:ascii="Arial" w:eastAsia="Arial" w:hAnsi="Arial" w:cs="Arial"/>
        </w:rPr>
        <w:t>P</w:t>
      </w:r>
      <w:r w:rsidRPr="007632BD">
        <w:rPr>
          <w:rFonts w:ascii="Arial" w:eastAsia="Arial" w:hAnsi="Arial" w:cs="Arial"/>
        </w:rPr>
        <w:t xml:space="preserve">araguay para comercialización y los lotes que ingresan para uso a través del </w:t>
      </w:r>
      <w:r>
        <w:rPr>
          <w:rFonts w:ascii="Arial" w:eastAsia="Arial" w:hAnsi="Arial" w:cs="Arial"/>
        </w:rPr>
        <w:t>P</w:t>
      </w:r>
      <w:r w:rsidRPr="007632BD">
        <w:rPr>
          <w:rFonts w:ascii="Arial" w:eastAsia="Arial" w:hAnsi="Arial" w:cs="Arial"/>
        </w:rPr>
        <w:t xml:space="preserve">rograma </w:t>
      </w:r>
      <w:r>
        <w:rPr>
          <w:rFonts w:ascii="Arial" w:eastAsia="Arial" w:hAnsi="Arial" w:cs="Arial"/>
        </w:rPr>
        <w:t>A</w:t>
      </w:r>
      <w:r w:rsidRPr="007632BD">
        <w:rPr>
          <w:rFonts w:ascii="Arial" w:eastAsia="Arial" w:hAnsi="Arial" w:cs="Arial"/>
        </w:rPr>
        <w:t xml:space="preserve">mpliado de </w:t>
      </w:r>
      <w:r>
        <w:rPr>
          <w:rFonts w:ascii="Arial" w:eastAsia="Arial" w:hAnsi="Arial" w:cs="Arial"/>
        </w:rPr>
        <w:t>I</w:t>
      </w:r>
      <w:r w:rsidRPr="007632BD">
        <w:rPr>
          <w:rFonts w:ascii="Arial" w:eastAsia="Arial" w:hAnsi="Arial" w:cs="Arial"/>
        </w:rPr>
        <w:t>nmunizaciones–</w:t>
      </w:r>
      <w:r>
        <w:rPr>
          <w:rFonts w:ascii="Arial" w:eastAsia="Arial" w:hAnsi="Arial" w:cs="Arial"/>
        </w:rPr>
        <w:t>PAI</w:t>
      </w:r>
      <w:r w:rsidRPr="007632BD">
        <w:rPr>
          <w:rFonts w:ascii="Arial" w:eastAsia="Arial" w:hAnsi="Arial" w:cs="Arial"/>
        </w:rPr>
        <w:t xml:space="preserve">, y se abroga la resolución </w:t>
      </w:r>
      <w:r>
        <w:rPr>
          <w:rFonts w:ascii="Arial" w:eastAsia="Arial" w:hAnsi="Arial" w:cs="Arial"/>
        </w:rPr>
        <w:t xml:space="preserve">DINAVISA </w:t>
      </w:r>
      <w:proofErr w:type="spellStart"/>
      <w:r>
        <w:rPr>
          <w:rFonts w:ascii="Arial" w:eastAsia="Arial" w:hAnsi="Arial" w:cs="Arial"/>
        </w:rPr>
        <w:t>N</w:t>
      </w:r>
      <w:r w:rsidRPr="007632BD">
        <w:rPr>
          <w:rFonts w:ascii="Arial" w:eastAsia="Arial" w:hAnsi="Arial" w:cs="Arial"/>
        </w:rPr>
        <w:t>°</w:t>
      </w:r>
      <w:proofErr w:type="spellEnd"/>
      <w:r w:rsidRPr="007632BD">
        <w:rPr>
          <w:rFonts w:ascii="Arial" w:eastAsia="Arial" w:hAnsi="Arial" w:cs="Arial"/>
        </w:rPr>
        <w:t xml:space="preserve"> 64/2022.</w:t>
      </w:r>
    </w:p>
    <w:p w14:paraId="640E4FC5" w14:textId="77777777" w:rsidR="008E7DEF" w:rsidRDefault="008E7DEF" w:rsidP="008E7DEF">
      <w:pPr>
        <w:pBdr>
          <w:top w:val="nil"/>
          <w:left w:val="nil"/>
          <w:bottom w:val="nil"/>
          <w:right w:val="nil"/>
          <w:between w:val="nil"/>
        </w:pBdr>
        <w:shd w:val="clear" w:color="auto" w:fill="FFFFFF"/>
        <w:spacing w:after="0" w:line="240" w:lineRule="auto"/>
        <w:ind w:right="-550"/>
        <w:jc w:val="both"/>
        <w:rPr>
          <w:rFonts w:ascii="Arial" w:eastAsia="Arial" w:hAnsi="Arial" w:cs="Arial"/>
        </w:rPr>
      </w:pPr>
      <w:r>
        <w:rPr>
          <w:rFonts w:ascii="Arial" w:eastAsia="Arial" w:hAnsi="Arial" w:cs="Arial"/>
          <w:color w:val="000000"/>
        </w:rPr>
        <w:t xml:space="preserve">          </w:t>
      </w:r>
      <w:r>
        <w:rPr>
          <w:rFonts w:ascii="Arial" w:eastAsia="Arial" w:hAnsi="Arial" w:cs="Arial"/>
        </w:rPr>
        <w:t xml:space="preserve">Que la Dirección General de Asuntos Legales se ha expedido favorablemente a la firma de la presente Resolución, según Dictamen DINAVISA DGAL </w:t>
      </w:r>
      <w:proofErr w:type="spellStart"/>
      <w:r>
        <w:rPr>
          <w:rFonts w:ascii="Arial" w:eastAsia="Arial" w:hAnsi="Arial" w:cs="Arial"/>
        </w:rPr>
        <w:t>N°</w:t>
      </w:r>
      <w:proofErr w:type="spellEnd"/>
      <w:r>
        <w:rPr>
          <w:rFonts w:ascii="Arial" w:eastAsia="Arial" w:hAnsi="Arial" w:cs="Arial"/>
        </w:rPr>
        <w:t xml:space="preserve"> </w:t>
      </w:r>
      <w:proofErr w:type="spellStart"/>
      <w:r>
        <w:rPr>
          <w:rFonts w:ascii="Arial" w:eastAsia="Arial" w:hAnsi="Arial" w:cs="Arial"/>
        </w:rPr>
        <w:t>xxxxx</w:t>
      </w:r>
      <w:proofErr w:type="spellEnd"/>
      <w:r>
        <w:rPr>
          <w:rFonts w:ascii="Arial" w:eastAsia="Arial" w:hAnsi="Arial" w:cs="Arial"/>
        </w:rPr>
        <w:t xml:space="preserve">, de fecha </w:t>
      </w:r>
      <w:proofErr w:type="spellStart"/>
      <w:r>
        <w:rPr>
          <w:rFonts w:ascii="Arial" w:eastAsia="Arial" w:hAnsi="Arial" w:cs="Arial"/>
        </w:rPr>
        <w:t>xx</w:t>
      </w:r>
      <w:proofErr w:type="spellEnd"/>
      <w:r>
        <w:rPr>
          <w:rFonts w:ascii="Arial" w:eastAsia="Arial" w:hAnsi="Arial" w:cs="Arial"/>
        </w:rPr>
        <w:t xml:space="preserve"> de septiembre de 2024.</w:t>
      </w:r>
    </w:p>
    <w:p w14:paraId="14171C4D" w14:textId="77777777" w:rsidR="008E7DEF" w:rsidRDefault="008E7DEF" w:rsidP="008E7DEF">
      <w:pPr>
        <w:pBdr>
          <w:top w:val="nil"/>
          <w:left w:val="nil"/>
          <w:bottom w:val="nil"/>
          <w:right w:val="nil"/>
          <w:between w:val="nil"/>
        </w:pBdr>
        <w:shd w:val="clear" w:color="auto" w:fill="FFFFFF"/>
        <w:spacing w:after="0" w:line="240" w:lineRule="auto"/>
        <w:ind w:right="-550" w:firstLine="709"/>
        <w:jc w:val="both"/>
        <w:rPr>
          <w:rFonts w:ascii="Arial" w:eastAsia="Arial" w:hAnsi="Arial" w:cs="Arial"/>
        </w:rPr>
      </w:pPr>
    </w:p>
    <w:p w14:paraId="55A56062" w14:textId="77777777" w:rsidR="008E7DEF" w:rsidRDefault="008E7DEF" w:rsidP="008E7DEF">
      <w:pPr>
        <w:pBdr>
          <w:top w:val="nil"/>
          <w:left w:val="nil"/>
          <w:bottom w:val="nil"/>
          <w:right w:val="nil"/>
          <w:between w:val="nil"/>
        </w:pBdr>
        <w:shd w:val="clear" w:color="auto" w:fill="FFFFFF"/>
        <w:spacing w:after="0" w:line="240" w:lineRule="auto"/>
        <w:ind w:right="-550"/>
        <w:jc w:val="both"/>
        <w:rPr>
          <w:rFonts w:ascii="Arial" w:eastAsia="Arial" w:hAnsi="Arial" w:cs="Arial"/>
          <w:color w:val="000000"/>
        </w:rPr>
      </w:pPr>
      <w:r>
        <w:rPr>
          <w:rFonts w:ascii="Arial" w:eastAsia="Arial" w:hAnsi="Arial" w:cs="Arial"/>
          <w:b/>
          <w:color w:val="000000"/>
        </w:rPr>
        <w:t>POR TANTO</w:t>
      </w:r>
      <w:r>
        <w:rPr>
          <w:rFonts w:ascii="Arial" w:eastAsia="Arial" w:hAnsi="Arial" w:cs="Arial"/>
          <w:color w:val="000000"/>
        </w:rPr>
        <w:t>; en ejercicio de sus atribuciones legales,</w:t>
      </w:r>
    </w:p>
    <w:p w14:paraId="446F6219" w14:textId="77777777" w:rsidR="008E7DEF" w:rsidRDefault="008E7DEF" w:rsidP="008E7DEF">
      <w:pPr>
        <w:spacing w:after="0" w:line="240" w:lineRule="auto"/>
        <w:ind w:right="-550"/>
        <w:rPr>
          <w:rFonts w:ascii="Arial" w:eastAsia="Arial" w:hAnsi="Arial" w:cs="Arial"/>
        </w:rPr>
      </w:pPr>
    </w:p>
    <w:p w14:paraId="00133267" w14:textId="77777777" w:rsidR="008E7DEF" w:rsidRDefault="008E7DEF" w:rsidP="008E7DEF">
      <w:pPr>
        <w:spacing w:line="240" w:lineRule="auto"/>
        <w:ind w:right="-550"/>
        <w:jc w:val="center"/>
        <w:rPr>
          <w:rFonts w:ascii="Arial" w:eastAsia="Arial" w:hAnsi="Arial" w:cs="Arial"/>
          <w:b/>
        </w:rPr>
      </w:pPr>
      <w:r>
        <w:rPr>
          <w:rFonts w:ascii="Arial" w:eastAsia="Arial" w:hAnsi="Arial" w:cs="Arial"/>
          <w:b/>
        </w:rPr>
        <w:t>EL DIRECTOR NACIONAL INTERINO DE LA DIRECCIÓN NACIONAL DE VIGILANCIA SANITARIA</w:t>
      </w:r>
    </w:p>
    <w:p w14:paraId="7B813A4F" w14:textId="77777777" w:rsidR="008E7DEF" w:rsidRDefault="008E7DEF" w:rsidP="008E7DEF">
      <w:pPr>
        <w:spacing w:line="240" w:lineRule="auto"/>
        <w:ind w:right="-550"/>
        <w:jc w:val="center"/>
        <w:rPr>
          <w:rFonts w:ascii="Arial" w:eastAsia="Arial" w:hAnsi="Arial" w:cs="Arial"/>
          <w:b/>
        </w:rPr>
      </w:pPr>
      <w:r>
        <w:rPr>
          <w:rFonts w:ascii="Arial" w:eastAsia="Arial" w:hAnsi="Arial" w:cs="Arial"/>
          <w:b/>
        </w:rPr>
        <w:t>R E S U E L V E:</w:t>
      </w:r>
    </w:p>
    <w:p w14:paraId="27A6DEF0" w14:textId="77777777" w:rsidR="00CB621C" w:rsidRDefault="00CB621C" w:rsidP="008E7DEF">
      <w:pPr>
        <w:spacing w:line="240" w:lineRule="auto"/>
        <w:ind w:right="-550"/>
        <w:jc w:val="center"/>
        <w:rPr>
          <w:rFonts w:ascii="Arial" w:eastAsia="Arial" w:hAnsi="Arial" w:cs="Arial"/>
          <w:b/>
        </w:rPr>
      </w:pPr>
    </w:p>
    <w:p w14:paraId="47C37694" w14:textId="77777777" w:rsidR="00CB621C" w:rsidRDefault="00CB621C" w:rsidP="008E7DEF">
      <w:pPr>
        <w:spacing w:line="240" w:lineRule="auto"/>
        <w:ind w:right="-550"/>
        <w:jc w:val="center"/>
        <w:rPr>
          <w:rFonts w:ascii="Arial" w:eastAsia="Arial" w:hAnsi="Arial" w:cs="Arial"/>
          <w:b/>
        </w:rPr>
      </w:pPr>
    </w:p>
    <w:p w14:paraId="30A8D9FE" w14:textId="77777777" w:rsidR="00CB621C" w:rsidRDefault="00CB621C" w:rsidP="008E7DEF">
      <w:pPr>
        <w:spacing w:line="240" w:lineRule="auto"/>
        <w:ind w:right="-550"/>
        <w:jc w:val="center"/>
        <w:rPr>
          <w:rFonts w:ascii="Arial" w:eastAsia="Arial" w:hAnsi="Arial" w:cs="Arial"/>
          <w:b/>
        </w:rPr>
      </w:pPr>
    </w:p>
    <w:p w14:paraId="58BFB106" w14:textId="6513D3A8" w:rsidR="007632BD" w:rsidRDefault="008E7DEF" w:rsidP="00CB621C">
      <w:pPr>
        <w:shd w:val="clear" w:color="auto" w:fill="FDFDFD"/>
        <w:spacing w:after="0" w:line="240" w:lineRule="auto"/>
        <w:ind w:firstLine="708"/>
        <w:jc w:val="both"/>
        <w:rPr>
          <w:rFonts w:ascii="Arial" w:eastAsia="Arial" w:hAnsi="Arial" w:cs="Arial"/>
          <w:color w:val="000000"/>
        </w:rPr>
      </w:pPr>
      <w:r>
        <w:rPr>
          <w:rFonts w:ascii="Arial" w:eastAsia="Arial" w:hAnsi="Arial" w:cs="Arial"/>
          <w:b/>
        </w:rPr>
        <w:t>Artículo 1</w:t>
      </w:r>
      <w:proofErr w:type="gramStart"/>
      <w:r w:rsidR="000B437D">
        <w:rPr>
          <w:rFonts w:ascii="Arial" w:eastAsia="Arial" w:hAnsi="Arial" w:cs="Arial"/>
          <w:b/>
        </w:rPr>
        <w:t>°</w:t>
      </w:r>
      <w:r>
        <w:rPr>
          <w:rFonts w:ascii="Arial" w:eastAsia="Arial" w:hAnsi="Arial" w:cs="Arial"/>
          <w:b/>
        </w:rPr>
        <w:t>.-</w:t>
      </w:r>
      <w:proofErr w:type="gramEnd"/>
      <w:r>
        <w:rPr>
          <w:rFonts w:ascii="Arial" w:eastAsia="Arial" w:hAnsi="Arial" w:cs="Arial"/>
          <w:b/>
        </w:rPr>
        <w:t xml:space="preserve"> </w:t>
      </w:r>
      <w:r>
        <w:rPr>
          <w:rFonts w:ascii="Arial" w:eastAsia="Arial" w:hAnsi="Arial" w:cs="Arial"/>
          <w:b/>
        </w:rPr>
        <w:tab/>
      </w:r>
      <w:r w:rsidR="00155870" w:rsidRPr="00155870">
        <w:rPr>
          <w:rFonts w:ascii="Arial" w:eastAsia="Arial" w:hAnsi="Arial" w:cs="Arial"/>
        </w:rPr>
        <w:t xml:space="preserve">Establecer que el procedimiento de liberación de cada lote de vacunas y medicamentos hemoderivados que ingresan al Paraguay para comercialización y los lotes que ingresan para uso a través del Programa Ampliado de Inmunizaciones (PAI) es una función regulatoria con la que </w:t>
      </w:r>
      <w:r w:rsidR="002568A3">
        <w:rPr>
          <w:rFonts w:ascii="Arial" w:eastAsia="Arial" w:hAnsi="Arial" w:cs="Arial"/>
        </w:rPr>
        <w:t>la Dirección Nacional de Vigilancia Sanitaria (</w:t>
      </w:r>
      <w:r w:rsidR="00155870" w:rsidRPr="00155870">
        <w:rPr>
          <w:rFonts w:ascii="Arial" w:eastAsia="Arial" w:hAnsi="Arial" w:cs="Arial"/>
        </w:rPr>
        <w:t>DINAVISA</w:t>
      </w:r>
      <w:r w:rsidR="002568A3">
        <w:rPr>
          <w:rFonts w:ascii="Arial" w:eastAsia="Arial" w:hAnsi="Arial" w:cs="Arial"/>
        </w:rPr>
        <w:t>)</w:t>
      </w:r>
      <w:r w:rsidR="00155870" w:rsidRPr="00155870">
        <w:rPr>
          <w:rFonts w:ascii="Arial" w:eastAsia="Arial" w:hAnsi="Arial" w:cs="Arial"/>
        </w:rPr>
        <w:t xml:space="preserve"> vela por la calidad, la seguridad y la eficacia de los productos biológicos a través de un sistema de liberación regulatorio. Este proceso se realiza mediante un sistema de lote por lote, teniendo en cuenta la naturaleza y la variabilidad inherente de estos productos.</w:t>
      </w:r>
    </w:p>
    <w:p w14:paraId="4CF72585" w14:textId="77777777" w:rsidR="00B41052" w:rsidRDefault="00B41052" w:rsidP="00B41052">
      <w:pPr>
        <w:shd w:val="clear" w:color="auto" w:fill="FDFDFD"/>
        <w:spacing w:after="0" w:line="240" w:lineRule="auto"/>
        <w:jc w:val="both"/>
        <w:rPr>
          <w:rFonts w:ascii="Arial" w:eastAsia="Arial" w:hAnsi="Arial" w:cs="Arial"/>
          <w:color w:val="000000"/>
        </w:rPr>
      </w:pPr>
    </w:p>
    <w:p w14:paraId="5416B90C" w14:textId="399E95F5" w:rsidR="00B41052" w:rsidRDefault="00B41052" w:rsidP="00831731">
      <w:pPr>
        <w:pStyle w:val="Textoindependiente"/>
        <w:spacing w:line="258" w:lineRule="exact"/>
        <w:ind w:right="124" w:firstLine="709"/>
        <w:jc w:val="both"/>
        <w:rPr>
          <w:rFonts w:ascii="Arial" w:eastAsia="Arial" w:hAnsi="Arial" w:cs="Arial"/>
          <w:i w:val="0"/>
          <w:sz w:val="22"/>
          <w:szCs w:val="22"/>
          <w:lang w:val="es-PY"/>
        </w:rPr>
      </w:pPr>
      <w:r w:rsidRPr="00B41052">
        <w:rPr>
          <w:rFonts w:ascii="Arial" w:eastAsia="Arial" w:hAnsi="Arial" w:cs="Arial"/>
          <w:b/>
          <w:i w:val="0"/>
          <w:sz w:val="22"/>
          <w:szCs w:val="22"/>
          <w:lang w:val="es-PY" w:eastAsia="es-PY"/>
        </w:rPr>
        <w:t>Artículo</w:t>
      </w:r>
      <w:r w:rsidR="00E77EB8" w:rsidRPr="00B41052">
        <w:rPr>
          <w:rFonts w:ascii="Arial" w:eastAsia="Arial" w:hAnsi="Arial" w:cs="Arial"/>
          <w:b/>
          <w:i w:val="0"/>
          <w:sz w:val="22"/>
          <w:szCs w:val="22"/>
          <w:lang w:val="es-PY" w:eastAsia="es-PY"/>
        </w:rPr>
        <w:t xml:space="preserve"> 2</w:t>
      </w:r>
      <w:r w:rsidRPr="00B41052">
        <w:rPr>
          <w:rFonts w:ascii="Arial" w:eastAsia="Arial" w:hAnsi="Arial" w:cs="Arial"/>
          <w:b/>
          <w:i w:val="0"/>
          <w:sz w:val="22"/>
          <w:szCs w:val="22"/>
          <w:lang w:val="es-PY" w:eastAsia="es-PY"/>
        </w:rPr>
        <w:t>°. -</w:t>
      </w:r>
      <w:r w:rsidRPr="00B41052">
        <w:rPr>
          <w:rFonts w:ascii="Arial" w:eastAsia="Arial" w:hAnsi="Arial" w:cs="Arial"/>
          <w:b/>
          <w:lang w:val="es-PY"/>
        </w:rPr>
        <w:t xml:space="preserve"> </w:t>
      </w:r>
      <w:r w:rsidR="00831731" w:rsidRPr="00831731">
        <w:rPr>
          <w:rFonts w:ascii="Arial" w:eastAsia="Arial" w:hAnsi="Arial" w:cs="Arial"/>
          <w:i w:val="0"/>
          <w:sz w:val="22"/>
          <w:szCs w:val="22"/>
          <w:lang w:val="es-PY" w:eastAsia="es-PY"/>
        </w:rPr>
        <w:t>Una vez inscritas y obtenido el registro sanitario, las vacunas y medicamentos hemoderivados serán liberados lote a lote por la Autoridad Sanitaria. La liberación de lote es el proceso de revisión de cada lote individual de un producto biológico determinado antes de aprobar su comercialización. La liberación involucra la revisión de los datos de producción y de control de calidad del fabricante por parte de DINAVISA y puede o no incluir la realización de ensayos de laboratorio sobre el producto terminado. La realización de los ensayos dependerá de factores tales como: el tipo de producto, el fabricante, el historial de producción y control del producto, la evaluación de riesgos, el historial de comercialización del producto y la población a la que va dirigido el producto.</w:t>
      </w:r>
    </w:p>
    <w:p w14:paraId="06C5D702" w14:textId="77777777" w:rsidR="00B41052" w:rsidRDefault="00B41052" w:rsidP="00B41052">
      <w:pPr>
        <w:pStyle w:val="Textoindependiente"/>
        <w:spacing w:line="242" w:lineRule="auto"/>
        <w:ind w:right="107"/>
        <w:jc w:val="both"/>
        <w:rPr>
          <w:rFonts w:ascii="Arial" w:eastAsia="Arial" w:hAnsi="Arial" w:cs="Arial"/>
          <w:i w:val="0"/>
          <w:sz w:val="22"/>
          <w:szCs w:val="22"/>
          <w:lang w:val="es-PY" w:eastAsia="es-PY"/>
        </w:rPr>
      </w:pPr>
    </w:p>
    <w:p w14:paraId="6ED60C70" w14:textId="738677E9" w:rsidR="00E77EB8" w:rsidRPr="00B41052" w:rsidRDefault="00B41052" w:rsidP="009F75FA">
      <w:pPr>
        <w:pStyle w:val="Textoindependiente"/>
        <w:spacing w:line="242" w:lineRule="auto"/>
        <w:ind w:right="107" w:firstLine="709"/>
        <w:jc w:val="both"/>
        <w:rPr>
          <w:rFonts w:ascii="Arial" w:eastAsia="Arial" w:hAnsi="Arial" w:cs="Arial"/>
          <w:i w:val="0"/>
          <w:sz w:val="22"/>
          <w:szCs w:val="22"/>
          <w:lang w:val="es-PY" w:eastAsia="es-PY"/>
        </w:rPr>
      </w:pPr>
      <w:r w:rsidRPr="00B41052">
        <w:rPr>
          <w:rFonts w:ascii="Arial" w:eastAsia="Arial" w:hAnsi="Arial" w:cs="Arial"/>
          <w:b/>
          <w:i w:val="0"/>
          <w:sz w:val="22"/>
          <w:szCs w:val="22"/>
          <w:lang w:val="es-PY" w:eastAsia="es-PY"/>
        </w:rPr>
        <w:t>Artículo 3°. -</w:t>
      </w:r>
      <w:r>
        <w:rPr>
          <w:rFonts w:ascii="Arial" w:eastAsia="Arial" w:hAnsi="Arial" w:cs="Arial"/>
          <w:b/>
          <w:i w:val="0"/>
          <w:sz w:val="22"/>
          <w:szCs w:val="22"/>
          <w:lang w:val="es-PY" w:eastAsia="es-PY"/>
        </w:rPr>
        <w:t xml:space="preserve"> </w:t>
      </w:r>
      <w:r w:rsidRPr="00B41052">
        <w:rPr>
          <w:rFonts w:ascii="Arial" w:eastAsia="Arial" w:hAnsi="Arial" w:cs="Arial"/>
          <w:i w:val="0"/>
          <w:sz w:val="22"/>
          <w:szCs w:val="22"/>
          <w:lang w:val="es-PY" w:eastAsia="es-PY"/>
        </w:rPr>
        <w:t xml:space="preserve">Debido a </w:t>
      </w:r>
      <w:r>
        <w:rPr>
          <w:rFonts w:ascii="Arial" w:eastAsia="Arial" w:hAnsi="Arial" w:cs="Arial"/>
          <w:i w:val="0"/>
          <w:sz w:val="22"/>
          <w:szCs w:val="22"/>
          <w:lang w:val="es-PY" w:eastAsia="es-PY"/>
        </w:rPr>
        <w:t>la complejidad de las moléculas</w:t>
      </w:r>
      <w:r w:rsidRPr="00B41052">
        <w:rPr>
          <w:rFonts w:ascii="Arial" w:eastAsia="Arial" w:hAnsi="Arial" w:cs="Arial"/>
          <w:i w:val="0"/>
          <w:lang w:val="es-PY"/>
        </w:rPr>
        <w:t xml:space="preserve"> y en virtud de la variabilidad característica de los sistemas biológicos, cada proceso de producción debe ser considerado único y por esto</w:t>
      </w:r>
      <w:r>
        <w:rPr>
          <w:rFonts w:ascii="Arial" w:eastAsia="Arial" w:hAnsi="Arial" w:cs="Arial"/>
          <w:i w:val="0"/>
          <w:lang w:val="es-PY"/>
        </w:rPr>
        <w:t xml:space="preserve"> </w:t>
      </w:r>
      <w:r w:rsidRPr="00B41052">
        <w:rPr>
          <w:rFonts w:ascii="Arial" w:eastAsia="Arial" w:hAnsi="Arial" w:cs="Arial"/>
          <w:i w:val="0"/>
          <w:lang w:val="es-PY"/>
        </w:rPr>
        <w:t>la liberación de lotes es indispensable en el control de</w:t>
      </w:r>
      <w:r w:rsidR="009F75FA">
        <w:rPr>
          <w:rFonts w:ascii="Arial" w:eastAsia="Arial" w:hAnsi="Arial" w:cs="Arial"/>
          <w:i w:val="0"/>
          <w:lang w:val="es-PY"/>
        </w:rPr>
        <w:t xml:space="preserve"> vacunas y hemoderivados</w:t>
      </w:r>
      <w:r w:rsidRPr="00B41052">
        <w:rPr>
          <w:rFonts w:ascii="Arial" w:eastAsia="Arial" w:hAnsi="Arial" w:cs="Arial"/>
          <w:i w:val="0"/>
          <w:lang w:val="es-PY"/>
        </w:rPr>
        <w:t>.</w:t>
      </w:r>
      <w:r w:rsidR="002C4446" w:rsidRPr="002C4446">
        <w:rPr>
          <w:lang w:val="es-PY"/>
        </w:rPr>
        <w:t xml:space="preserve"> </w:t>
      </w:r>
      <w:r w:rsidR="002C4446" w:rsidRPr="002C4446">
        <w:rPr>
          <w:rFonts w:ascii="Arial" w:eastAsia="Arial" w:hAnsi="Arial" w:cs="Arial"/>
          <w:i w:val="0"/>
          <w:lang w:val="es-PY"/>
        </w:rPr>
        <w:t>Durante el registro del producto, el solicitante deberá presentar, para su aprobación por la autoridad sanitaria, el proyecto de Protocolo resumido de fabricación y control del lote. Una vez aprobado, dicho protocolo resumido será presentado por el fabricante ante DINAVISA para solicitar la liberación de cada lote de vacuna.</w:t>
      </w:r>
      <w:r w:rsidRPr="00B41052">
        <w:rPr>
          <w:rFonts w:ascii="Arial" w:eastAsia="Arial" w:hAnsi="Arial" w:cs="Arial"/>
          <w:i w:val="0"/>
          <w:lang w:val="es-PY"/>
        </w:rPr>
        <w:t xml:space="preserve"> </w:t>
      </w:r>
      <w:bookmarkStart w:id="1" w:name="_GoBack"/>
      <w:bookmarkEnd w:id="1"/>
    </w:p>
    <w:p w14:paraId="24A8250B" w14:textId="77777777" w:rsidR="00F92440" w:rsidRPr="00B41052" w:rsidRDefault="00F92440">
      <w:pPr>
        <w:rPr>
          <w:rFonts w:ascii="Arial" w:eastAsia="Arial" w:hAnsi="Arial" w:cs="Arial"/>
        </w:rPr>
      </w:pPr>
    </w:p>
    <w:sectPr w:rsidR="00F92440" w:rsidRPr="00B4105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238B" w14:textId="77777777" w:rsidR="0046425F" w:rsidRDefault="0046425F" w:rsidP="007632BD">
      <w:pPr>
        <w:spacing w:after="0" w:line="240" w:lineRule="auto"/>
      </w:pPr>
      <w:r>
        <w:separator/>
      </w:r>
    </w:p>
  </w:endnote>
  <w:endnote w:type="continuationSeparator" w:id="0">
    <w:p w14:paraId="7C1561A9" w14:textId="77777777" w:rsidR="0046425F" w:rsidRDefault="0046425F" w:rsidP="0076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8C9EC" w14:textId="77777777" w:rsidR="0046425F" w:rsidRDefault="0046425F" w:rsidP="007632BD">
      <w:pPr>
        <w:spacing w:after="0" w:line="240" w:lineRule="auto"/>
      </w:pPr>
      <w:r>
        <w:separator/>
      </w:r>
    </w:p>
  </w:footnote>
  <w:footnote w:type="continuationSeparator" w:id="0">
    <w:p w14:paraId="2D543609" w14:textId="77777777" w:rsidR="0046425F" w:rsidRDefault="0046425F" w:rsidP="0076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094B" w14:textId="77777777" w:rsidR="007632BD" w:rsidRPr="007632BD" w:rsidRDefault="007632BD" w:rsidP="007632BD">
    <w:pPr>
      <w:pBdr>
        <w:top w:val="nil"/>
        <w:left w:val="nil"/>
        <w:bottom w:val="nil"/>
        <w:right w:val="nil"/>
        <w:between w:val="nil"/>
      </w:pBdr>
      <w:tabs>
        <w:tab w:val="center" w:pos="4252"/>
        <w:tab w:val="right" w:pos="8504"/>
      </w:tabs>
      <w:spacing w:after="0" w:line="240" w:lineRule="auto"/>
      <w:jc w:val="center"/>
      <w:rPr>
        <w:rFonts w:ascii="Arial" w:eastAsia="Arial" w:hAnsi="Arial" w:cs="Arial"/>
        <w:i/>
        <w:color w:val="000000"/>
      </w:rPr>
    </w:pPr>
    <w:r w:rsidRPr="007632BD">
      <w:rPr>
        <w:rFonts w:ascii="Arial" w:eastAsia="Arial" w:hAnsi="Arial" w:cs="Arial"/>
        <w:i/>
        <w:color w:val="000000"/>
      </w:rPr>
      <w:t>“Sesquicentenario de la Epopeya Nacional: 1864 – 1870”</w:t>
    </w:r>
  </w:p>
  <w:p w14:paraId="381C3F17" w14:textId="77777777" w:rsidR="007632BD" w:rsidRPr="007632BD" w:rsidRDefault="007632BD" w:rsidP="007632BD">
    <w:pPr>
      <w:pBdr>
        <w:top w:val="nil"/>
        <w:left w:val="nil"/>
        <w:bottom w:val="nil"/>
        <w:right w:val="nil"/>
        <w:between w:val="nil"/>
      </w:pBdr>
      <w:tabs>
        <w:tab w:val="center" w:pos="4252"/>
        <w:tab w:val="right" w:pos="8504"/>
      </w:tabs>
      <w:spacing w:after="0" w:line="240" w:lineRule="auto"/>
      <w:jc w:val="center"/>
      <w:rPr>
        <w:rFonts w:ascii="Arial" w:eastAsia="Arial" w:hAnsi="Arial" w:cs="Arial"/>
        <w:i/>
        <w:sz w:val="10"/>
        <w:szCs w:val="10"/>
      </w:rPr>
    </w:pPr>
  </w:p>
  <w:p w14:paraId="2EAD1BB7" w14:textId="77777777" w:rsidR="007632BD" w:rsidRPr="007632BD" w:rsidRDefault="007632BD" w:rsidP="007632BD">
    <w:pPr>
      <w:spacing w:after="0" w:line="240" w:lineRule="auto"/>
      <w:jc w:val="center"/>
      <w:rPr>
        <w:rFonts w:ascii="Arial" w:eastAsia="Arial" w:hAnsi="Arial" w:cs="Arial"/>
        <w:b/>
        <w:i/>
        <w:iCs/>
      </w:rPr>
    </w:pPr>
    <w:r w:rsidRPr="007632BD">
      <w:rPr>
        <w:rFonts w:ascii="Arial" w:eastAsia="Arial" w:hAnsi="Arial" w:cs="Arial"/>
        <w:iCs/>
        <w:noProof/>
      </w:rPr>
      <w:drawing>
        <wp:inline distT="114300" distB="114300" distL="114300" distR="114300" wp14:anchorId="13C3BE29" wp14:editId="5762DA66">
          <wp:extent cx="598650" cy="5429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8650" cy="542925"/>
                  </a:xfrm>
                  <a:prstGeom prst="rect">
                    <a:avLst/>
                  </a:prstGeom>
                  <a:ln/>
                </pic:spPr>
              </pic:pic>
            </a:graphicData>
          </a:graphic>
        </wp:inline>
      </w:drawing>
    </w:r>
  </w:p>
  <w:p w14:paraId="420D0476" w14:textId="77777777" w:rsidR="007632BD" w:rsidRPr="007632BD" w:rsidRDefault="007632BD" w:rsidP="007632BD">
    <w:pPr>
      <w:spacing w:after="0" w:line="240" w:lineRule="auto"/>
      <w:jc w:val="center"/>
      <w:rPr>
        <w:rFonts w:ascii="Arial" w:eastAsia="Arial" w:hAnsi="Arial" w:cs="Arial"/>
        <w:b/>
        <w:i/>
        <w:iCs/>
      </w:rPr>
    </w:pPr>
    <w:r w:rsidRPr="007632BD">
      <w:rPr>
        <w:rFonts w:ascii="Arial" w:eastAsia="Arial" w:hAnsi="Arial" w:cs="Arial"/>
        <w:b/>
        <w:i/>
        <w:iCs/>
      </w:rPr>
      <w:t>Poder Ejecutivo</w:t>
    </w:r>
  </w:p>
  <w:p w14:paraId="0870F990" w14:textId="77777777" w:rsidR="007632BD" w:rsidRPr="007632BD" w:rsidRDefault="007632BD" w:rsidP="007632BD">
    <w:pPr>
      <w:spacing w:after="0" w:line="240" w:lineRule="auto"/>
      <w:jc w:val="center"/>
      <w:rPr>
        <w:rFonts w:ascii="Arial" w:eastAsia="Arial" w:hAnsi="Arial" w:cs="Arial"/>
        <w:b/>
        <w:i/>
        <w:iCs/>
      </w:rPr>
    </w:pPr>
    <w:r w:rsidRPr="007632BD">
      <w:rPr>
        <w:rFonts w:ascii="Arial" w:eastAsia="Arial" w:hAnsi="Arial" w:cs="Arial"/>
        <w:b/>
        <w:i/>
        <w:iCs/>
      </w:rPr>
      <w:t xml:space="preserve">     Dirección Nacional de Vigilancia Sanitaria</w:t>
    </w:r>
  </w:p>
  <w:p w14:paraId="7122C2DB" w14:textId="77777777" w:rsidR="007632BD" w:rsidRPr="007632BD" w:rsidRDefault="007632BD" w:rsidP="007632BD">
    <w:pPr>
      <w:spacing w:after="0" w:line="240" w:lineRule="auto"/>
      <w:jc w:val="center"/>
      <w:rPr>
        <w:rFonts w:ascii="Arial" w:eastAsia="Arial" w:hAnsi="Arial" w:cs="Arial"/>
        <w:b/>
        <w:i/>
        <w:iCs/>
      </w:rPr>
    </w:pPr>
  </w:p>
  <w:p w14:paraId="5D9A3894" w14:textId="6DD1E5BE" w:rsidR="007632BD" w:rsidRPr="007632BD" w:rsidRDefault="007632BD" w:rsidP="007632BD">
    <w:pPr>
      <w:keepNext/>
      <w:keepLines/>
      <w:spacing w:after="272" w:line="250" w:lineRule="auto"/>
      <w:ind w:left="10" w:hanging="10"/>
      <w:jc w:val="center"/>
      <w:outlineLvl w:val="0"/>
      <w:rPr>
        <w:rFonts w:ascii="Arial" w:eastAsia="Arial" w:hAnsi="Arial" w:cs="Arial"/>
        <w:b/>
        <w:color w:val="000000"/>
        <w:lang w:val="es-AR" w:eastAsia="es-AR"/>
      </w:rPr>
    </w:pPr>
    <w:r w:rsidRPr="007632BD">
      <w:rPr>
        <w:rFonts w:ascii="Arial" w:eastAsia="Arial" w:hAnsi="Arial" w:cs="Arial"/>
        <w:b/>
        <w:color w:val="000000"/>
        <w:lang w:val="es-AR" w:eastAsia="es-AR"/>
      </w:rPr>
      <w:t xml:space="preserve">Resolución DINAVISA </w:t>
    </w:r>
    <w:proofErr w:type="spellStart"/>
    <w:r w:rsidRPr="007632BD">
      <w:rPr>
        <w:rFonts w:ascii="Arial" w:eastAsia="Arial" w:hAnsi="Arial" w:cs="Arial"/>
        <w:b/>
        <w:color w:val="000000"/>
        <w:lang w:val="es-AR" w:eastAsia="es-AR"/>
      </w:rPr>
      <w:t>N°</w:t>
    </w:r>
    <w:proofErr w:type="spellEnd"/>
    <w:r w:rsidRPr="007632BD">
      <w:rPr>
        <w:rFonts w:ascii="Arial" w:eastAsia="Arial" w:hAnsi="Arial" w:cs="Arial"/>
        <w:b/>
        <w:color w:val="000000"/>
        <w:lang w:val="es-AR" w:eastAsia="es-AR"/>
      </w:rPr>
      <w:t xml:space="preserve">          /202</w:t>
    </w:r>
    <w:r w:rsidR="00F01B05">
      <w:rPr>
        <w:rFonts w:ascii="Arial" w:eastAsia="Arial" w:hAnsi="Arial" w:cs="Arial"/>
        <w:b/>
        <w:color w:val="000000"/>
        <w:lang w:val="es-AR" w:eastAsia="es-AR"/>
      </w:rPr>
      <w:t>5</w:t>
    </w:r>
    <w:r w:rsidRPr="007632BD">
      <w:rPr>
        <w:rFonts w:ascii="Arial" w:eastAsia="Arial" w:hAnsi="Arial" w:cs="Arial"/>
        <w:b/>
        <w:color w:val="000000"/>
        <w:lang w:val="es-AR" w:eastAsia="es-AR"/>
      </w:rPr>
      <w:t>.-</w:t>
    </w:r>
  </w:p>
  <w:p w14:paraId="00796AB3" w14:textId="77777777" w:rsidR="007632BD" w:rsidRPr="007632BD" w:rsidRDefault="007632BD" w:rsidP="007632BD">
    <w:pPr>
      <w:spacing w:after="0" w:line="240" w:lineRule="auto"/>
      <w:ind w:right="-550"/>
      <w:jc w:val="both"/>
      <w:rPr>
        <w:rFonts w:ascii="Arial" w:eastAsia="Arial" w:hAnsi="Arial" w:cs="Arial"/>
        <w:b/>
      </w:rPr>
    </w:pPr>
    <w:r w:rsidRPr="004F3657">
      <w:rPr>
        <w:rFonts w:ascii="Arial" w:eastAsia="Arial" w:hAnsi="Arial" w:cs="Arial"/>
        <w:b/>
      </w:rPr>
      <w:t>POR LA CUAL SE ESTABLECE EL ALCANCE DE LA LIBERACIÓN DE LOTES DE VACUNAS Y HEMODERIVADOS</w:t>
    </w:r>
  </w:p>
  <w:p w14:paraId="4CFEFBD7" w14:textId="77777777" w:rsidR="007632BD" w:rsidRPr="007632BD" w:rsidRDefault="007632BD" w:rsidP="007632BD">
    <w:pPr>
      <w:spacing w:after="0" w:line="240" w:lineRule="auto"/>
      <w:jc w:val="both"/>
      <w:rPr>
        <w:rFonts w:ascii="Arial" w:eastAsia="Arial" w:hAnsi="Arial" w:cs="Arial"/>
        <w:b/>
      </w:rPr>
    </w:pPr>
  </w:p>
  <w:p w14:paraId="6D104464" w14:textId="6240EBA2" w:rsidR="007632BD" w:rsidRPr="007632BD" w:rsidRDefault="007632BD" w:rsidP="007632BD">
    <w:pPr>
      <w:ind w:right="-550"/>
      <w:jc w:val="right"/>
      <w:rPr>
        <w:rFonts w:ascii="Arial" w:eastAsia="Arial" w:hAnsi="Arial" w:cs="Arial"/>
        <w:sz w:val="24"/>
        <w:szCs w:val="24"/>
      </w:rPr>
    </w:pPr>
    <w:proofErr w:type="gramStart"/>
    <w:r w:rsidRPr="007632BD">
      <w:rPr>
        <w:rFonts w:ascii="Arial" w:eastAsia="Arial" w:hAnsi="Arial" w:cs="Arial"/>
        <w:sz w:val="24"/>
        <w:szCs w:val="24"/>
      </w:rPr>
      <w:t xml:space="preserve">Asunción,   </w:t>
    </w:r>
    <w:proofErr w:type="gramEnd"/>
    <w:r w:rsidRPr="007632BD">
      <w:rPr>
        <w:rFonts w:ascii="Arial" w:eastAsia="Arial" w:hAnsi="Arial" w:cs="Arial"/>
        <w:sz w:val="24"/>
        <w:szCs w:val="24"/>
      </w:rPr>
      <w:t xml:space="preserve">  de </w:t>
    </w:r>
    <w:r w:rsidR="004F3657">
      <w:rPr>
        <w:rFonts w:ascii="Arial" w:eastAsia="Arial" w:hAnsi="Arial" w:cs="Arial"/>
        <w:sz w:val="24"/>
        <w:szCs w:val="24"/>
      </w:rPr>
      <w:t>febrero</w:t>
    </w:r>
    <w:r w:rsidR="00F01B05">
      <w:rPr>
        <w:rFonts w:ascii="Arial" w:eastAsia="Arial" w:hAnsi="Arial" w:cs="Arial"/>
        <w:sz w:val="24"/>
        <w:szCs w:val="24"/>
      </w:rPr>
      <w:t xml:space="preserve"> de 2025</w:t>
    </w:r>
    <w:r w:rsidRPr="007632BD">
      <w:rPr>
        <w:rFonts w:ascii="Arial" w:eastAsia="Arial" w:hAnsi="Arial" w:cs="Arial"/>
        <w:sz w:val="24"/>
        <w:szCs w:val="24"/>
      </w:rPr>
      <w:t>.</w:t>
    </w:r>
  </w:p>
  <w:p w14:paraId="241C9B1A" w14:textId="77777777" w:rsidR="007632BD" w:rsidRDefault="007632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BD"/>
    <w:rsid w:val="000B437D"/>
    <w:rsid w:val="000D0373"/>
    <w:rsid w:val="00155870"/>
    <w:rsid w:val="001E18B1"/>
    <w:rsid w:val="002568A3"/>
    <w:rsid w:val="002C4446"/>
    <w:rsid w:val="0046425F"/>
    <w:rsid w:val="004F3657"/>
    <w:rsid w:val="00536E58"/>
    <w:rsid w:val="005A3AA7"/>
    <w:rsid w:val="005A5F5A"/>
    <w:rsid w:val="007632BD"/>
    <w:rsid w:val="00831731"/>
    <w:rsid w:val="008D6A20"/>
    <w:rsid w:val="008E7DEF"/>
    <w:rsid w:val="009F75FA"/>
    <w:rsid w:val="00A56C99"/>
    <w:rsid w:val="00B41052"/>
    <w:rsid w:val="00C67C6F"/>
    <w:rsid w:val="00CB621C"/>
    <w:rsid w:val="00E77EB8"/>
    <w:rsid w:val="00EC13A4"/>
    <w:rsid w:val="00F01B05"/>
    <w:rsid w:val="00F92440"/>
    <w:rsid w:val="00FC129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5C42"/>
  <w15:chartTrackingRefBased/>
  <w15:docId w15:val="{BF19F164-E791-4DB8-BF95-84E78B93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2BD"/>
    <w:rPr>
      <w:rFonts w:ascii="Calibri" w:eastAsia="Calibri" w:hAnsi="Calibri" w:cs="Calibri"/>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32BD"/>
    <w:pPr>
      <w:tabs>
        <w:tab w:val="center" w:pos="4252"/>
        <w:tab w:val="right" w:pos="8504"/>
      </w:tabs>
      <w:spacing w:after="0" w:line="240" w:lineRule="auto"/>
    </w:pPr>
    <w:rPr>
      <w:rFonts w:asciiTheme="minorHAnsi" w:eastAsiaTheme="minorHAnsi" w:hAnsiTheme="minorHAnsi" w:cstheme="minorBidi"/>
      <w:lang w:val="es-419" w:eastAsia="en-US"/>
    </w:rPr>
  </w:style>
  <w:style w:type="character" w:customStyle="1" w:styleId="EncabezadoCar">
    <w:name w:val="Encabezado Car"/>
    <w:basedOn w:val="Fuentedeprrafopredeter"/>
    <w:link w:val="Encabezado"/>
    <w:uiPriority w:val="99"/>
    <w:rsid w:val="007632BD"/>
    <w:rPr>
      <w:lang w:val="es-419"/>
    </w:rPr>
  </w:style>
  <w:style w:type="paragraph" w:styleId="Piedepgina">
    <w:name w:val="footer"/>
    <w:basedOn w:val="Normal"/>
    <w:link w:val="PiedepginaCar"/>
    <w:uiPriority w:val="99"/>
    <w:unhideWhenUsed/>
    <w:rsid w:val="007632BD"/>
    <w:pPr>
      <w:tabs>
        <w:tab w:val="center" w:pos="4252"/>
        <w:tab w:val="right" w:pos="8504"/>
      </w:tabs>
      <w:spacing w:after="0" w:line="240" w:lineRule="auto"/>
    </w:pPr>
    <w:rPr>
      <w:rFonts w:asciiTheme="minorHAnsi" w:eastAsiaTheme="minorHAnsi" w:hAnsiTheme="minorHAnsi" w:cstheme="minorBidi"/>
      <w:lang w:val="es-419" w:eastAsia="en-US"/>
    </w:rPr>
  </w:style>
  <w:style w:type="character" w:customStyle="1" w:styleId="PiedepginaCar">
    <w:name w:val="Pie de página Car"/>
    <w:basedOn w:val="Fuentedeprrafopredeter"/>
    <w:link w:val="Piedepgina"/>
    <w:uiPriority w:val="99"/>
    <w:rsid w:val="007632BD"/>
    <w:rPr>
      <w:lang w:val="es-419"/>
    </w:rPr>
  </w:style>
  <w:style w:type="paragraph" w:styleId="Textoindependiente">
    <w:name w:val="Body Text"/>
    <w:basedOn w:val="Normal"/>
    <w:link w:val="TextoindependienteCar"/>
    <w:uiPriority w:val="1"/>
    <w:qFormat/>
    <w:rsid w:val="00B41052"/>
    <w:pPr>
      <w:widowControl w:val="0"/>
      <w:spacing w:after="0" w:line="240" w:lineRule="auto"/>
    </w:pPr>
    <w:rPr>
      <w:rFonts w:ascii="Times New Roman" w:eastAsia="Times New Roman" w:hAnsi="Times New Roman" w:cstheme="minorBidi"/>
      <w:i/>
      <w:sz w:val="23"/>
      <w:szCs w:val="23"/>
      <w:lang w:val="en-US" w:eastAsia="en-US"/>
    </w:rPr>
  </w:style>
  <w:style w:type="character" w:customStyle="1" w:styleId="TextoindependienteCar">
    <w:name w:val="Texto independiente Car"/>
    <w:basedOn w:val="Fuentedeprrafopredeter"/>
    <w:link w:val="Textoindependiente"/>
    <w:uiPriority w:val="1"/>
    <w:rsid w:val="00B41052"/>
    <w:rPr>
      <w:rFonts w:ascii="Times New Roman" w:eastAsia="Times New Roman" w:hAnsi="Times New Roman"/>
      <w:i/>
      <w:sz w:val="23"/>
      <w:szCs w:val="23"/>
      <w:lang w:val="en-US"/>
    </w:rPr>
  </w:style>
  <w:style w:type="character" w:styleId="Refdecomentario">
    <w:name w:val="annotation reference"/>
    <w:basedOn w:val="Fuentedeprrafopredeter"/>
    <w:uiPriority w:val="99"/>
    <w:semiHidden/>
    <w:unhideWhenUsed/>
    <w:rsid w:val="009F75FA"/>
    <w:rPr>
      <w:sz w:val="16"/>
      <w:szCs w:val="16"/>
    </w:rPr>
  </w:style>
  <w:style w:type="paragraph" w:styleId="Textocomentario">
    <w:name w:val="annotation text"/>
    <w:basedOn w:val="Normal"/>
    <w:link w:val="TextocomentarioCar"/>
    <w:uiPriority w:val="99"/>
    <w:semiHidden/>
    <w:unhideWhenUsed/>
    <w:rsid w:val="009F75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75FA"/>
    <w:rPr>
      <w:rFonts w:ascii="Calibri" w:eastAsia="Calibri" w:hAnsi="Calibri" w:cs="Calibri"/>
      <w:sz w:val="20"/>
      <w:szCs w:val="20"/>
      <w:lang w:eastAsia="es-PY"/>
    </w:rPr>
  </w:style>
  <w:style w:type="paragraph" w:styleId="Asuntodelcomentario">
    <w:name w:val="annotation subject"/>
    <w:basedOn w:val="Textocomentario"/>
    <w:next w:val="Textocomentario"/>
    <w:link w:val="AsuntodelcomentarioCar"/>
    <w:uiPriority w:val="99"/>
    <w:semiHidden/>
    <w:unhideWhenUsed/>
    <w:rsid w:val="009F75FA"/>
    <w:rPr>
      <w:b/>
      <w:bCs/>
    </w:rPr>
  </w:style>
  <w:style w:type="character" w:customStyle="1" w:styleId="AsuntodelcomentarioCar">
    <w:name w:val="Asunto del comentario Car"/>
    <w:basedOn w:val="TextocomentarioCar"/>
    <w:link w:val="Asuntodelcomentario"/>
    <w:uiPriority w:val="99"/>
    <w:semiHidden/>
    <w:rsid w:val="009F75FA"/>
    <w:rPr>
      <w:rFonts w:ascii="Calibri" w:eastAsia="Calibri" w:hAnsi="Calibri" w:cs="Calibri"/>
      <w:b/>
      <w:bCs/>
      <w:sz w:val="20"/>
      <w:szCs w:val="20"/>
      <w:lang w:eastAsia="es-PY"/>
    </w:rPr>
  </w:style>
  <w:style w:type="paragraph" w:styleId="Textodeglobo">
    <w:name w:val="Balloon Text"/>
    <w:basedOn w:val="Normal"/>
    <w:link w:val="TextodegloboCar"/>
    <w:uiPriority w:val="99"/>
    <w:semiHidden/>
    <w:unhideWhenUsed/>
    <w:rsid w:val="009F75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5FA"/>
    <w:rPr>
      <w:rFonts w:ascii="Segoe UI" w:eastAsia="Calibri" w:hAnsi="Segoe UI" w:cs="Segoe UI"/>
      <w:sz w:val="18"/>
      <w:szCs w:val="18"/>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1127</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dnvs108</dc:creator>
  <cp:keywords/>
  <dc:description/>
  <cp:lastModifiedBy>DELL</cp:lastModifiedBy>
  <cp:revision>16</cp:revision>
  <dcterms:created xsi:type="dcterms:W3CDTF">2025-02-05T10:32:00Z</dcterms:created>
  <dcterms:modified xsi:type="dcterms:W3CDTF">2025-02-05T10:52:00Z</dcterms:modified>
</cp:coreProperties>
</file>