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227" w:rsidRDefault="00BF240B">
      <w:pPr>
        <w:pBdr>
          <w:top w:val="nil"/>
          <w:left w:val="nil"/>
          <w:bottom w:val="nil"/>
          <w:right w:val="nil"/>
          <w:between w:val="nil"/>
        </w:pBdr>
        <w:ind w:right="820"/>
        <w:jc w:val="both"/>
        <w:rPr>
          <w:rFonts w:ascii="Arial" w:eastAsia="Arial" w:hAnsi="Arial" w:cs="Arial"/>
          <w:color w:val="000000"/>
          <w:sz w:val="22"/>
          <w:szCs w:val="22"/>
        </w:rPr>
      </w:pPr>
      <w:bookmarkStart w:id="0" w:name="_GoBack"/>
      <w:bookmarkEnd w:id="0"/>
      <w:r>
        <w:rPr>
          <w:rFonts w:ascii="Arial" w:eastAsia="Arial" w:hAnsi="Arial" w:cs="Arial"/>
          <w:b/>
          <w:color w:val="000000"/>
          <w:sz w:val="22"/>
          <w:szCs w:val="22"/>
        </w:rPr>
        <w:t>VISTO:</w:t>
      </w:r>
    </w:p>
    <w:p w:rsidR="00E85227" w:rsidRDefault="00BF240B">
      <w:pPr>
        <w:pBdr>
          <w:top w:val="nil"/>
          <w:left w:val="nil"/>
          <w:bottom w:val="nil"/>
          <w:right w:val="nil"/>
          <w:between w:val="nil"/>
        </w:pBdr>
        <w:ind w:right="820" w:firstLine="720"/>
        <w:jc w:val="both"/>
        <w:rPr>
          <w:rFonts w:ascii="Arial" w:eastAsia="Arial" w:hAnsi="Arial" w:cs="Arial"/>
          <w:color w:val="000000"/>
          <w:sz w:val="22"/>
          <w:szCs w:val="22"/>
        </w:rPr>
      </w:pPr>
      <w:r>
        <w:rPr>
          <w:rFonts w:ascii="Arial" w:eastAsia="Arial" w:hAnsi="Arial" w:cs="Arial"/>
          <w:color w:val="000000"/>
          <w:sz w:val="22"/>
          <w:szCs w:val="22"/>
        </w:rPr>
        <w:t xml:space="preserve">El Memorándum DGRAPA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xxxxx</w:t>
      </w:r>
      <w:proofErr w:type="spellEnd"/>
      <w:r>
        <w:rPr>
          <w:rFonts w:ascii="Arial" w:eastAsia="Arial" w:hAnsi="Arial" w:cs="Arial"/>
          <w:color w:val="000000"/>
          <w:sz w:val="22"/>
          <w:szCs w:val="22"/>
        </w:rPr>
        <w:t xml:space="preserve"> /2025, por medio de la cual la Dirección General de Regulación de Alimentos y Productos Afines, dependencia técnica competente de la DINAVISA eleva la propuesta de establecer un marco regulatorio para la comercialización de ag</w:t>
      </w:r>
      <w:r>
        <w:rPr>
          <w:rFonts w:ascii="Arial" w:eastAsia="Arial" w:hAnsi="Arial" w:cs="Arial"/>
          <w:color w:val="000000"/>
          <w:sz w:val="22"/>
          <w:szCs w:val="22"/>
        </w:rPr>
        <w:t>uas envasadas para consumo humano y;</w:t>
      </w:r>
    </w:p>
    <w:p w:rsidR="00E85227" w:rsidRDefault="00E85227">
      <w:pPr>
        <w:pBdr>
          <w:top w:val="nil"/>
          <w:left w:val="nil"/>
          <w:bottom w:val="nil"/>
          <w:right w:val="nil"/>
          <w:between w:val="nil"/>
        </w:pBdr>
        <w:ind w:right="820"/>
        <w:jc w:val="both"/>
        <w:rPr>
          <w:rFonts w:ascii="Arial" w:eastAsia="Arial" w:hAnsi="Arial" w:cs="Arial"/>
          <w:color w:val="000000"/>
          <w:sz w:val="22"/>
          <w:szCs w:val="22"/>
        </w:rPr>
      </w:pPr>
    </w:p>
    <w:p w:rsidR="00E85227" w:rsidRDefault="00BF240B">
      <w:pPr>
        <w:pBdr>
          <w:top w:val="nil"/>
          <w:left w:val="nil"/>
          <w:bottom w:val="nil"/>
          <w:right w:val="nil"/>
          <w:between w:val="nil"/>
        </w:pBdr>
        <w:ind w:right="820"/>
        <w:jc w:val="both"/>
        <w:rPr>
          <w:rFonts w:ascii="Arial" w:eastAsia="Arial" w:hAnsi="Arial" w:cs="Arial"/>
          <w:color w:val="000000"/>
          <w:sz w:val="22"/>
          <w:szCs w:val="22"/>
        </w:rPr>
      </w:pPr>
      <w:r>
        <w:rPr>
          <w:rFonts w:ascii="Arial" w:eastAsia="Arial" w:hAnsi="Arial" w:cs="Arial"/>
          <w:b/>
          <w:color w:val="000000"/>
          <w:sz w:val="22"/>
          <w:szCs w:val="22"/>
        </w:rPr>
        <w:t>CONSIDERANDO:</w:t>
      </w:r>
    </w:p>
    <w:p w:rsidR="00E85227" w:rsidRDefault="00BF240B">
      <w:pPr>
        <w:pBdr>
          <w:top w:val="nil"/>
          <w:left w:val="nil"/>
          <w:bottom w:val="nil"/>
          <w:right w:val="nil"/>
          <w:between w:val="nil"/>
        </w:pBdr>
        <w:ind w:right="820"/>
        <w:jc w:val="both"/>
        <w:rPr>
          <w:rFonts w:ascii="Arial" w:eastAsia="Arial" w:hAnsi="Arial" w:cs="Arial"/>
          <w:sz w:val="22"/>
          <w:szCs w:val="22"/>
        </w:rPr>
      </w:pPr>
      <w:bookmarkStart w:id="1" w:name="_heading=h.9qrf65nmhpxv" w:colFirst="0" w:colLast="0"/>
      <w:bookmarkEnd w:id="1"/>
      <w:r>
        <w:rPr>
          <w:rFonts w:ascii="Arial" w:eastAsia="Arial" w:hAnsi="Arial" w:cs="Arial"/>
          <w:color w:val="000000"/>
          <w:sz w:val="22"/>
          <w:szCs w:val="22"/>
        </w:rPr>
        <w:tab/>
      </w:r>
    </w:p>
    <w:p w:rsidR="00E85227" w:rsidRDefault="00BF240B">
      <w:pPr>
        <w:pBdr>
          <w:top w:val="nil"/>
          <w:left w:val="nil"/>
          <w:bottom w:val="nil"/>
          <w:right w:val="nil"/>
          <w:between w:val="nil"/>
        </w:pBdr>
        <w:ind w:right="820" w:firstLine="720"/>
        <w:jc w:val="both"/>
        <w:rPr>
          <w:rFonts w:ascii="Arial" w:eastAsia="Arial" w:hAnsi="Arial" w:cs="Arial"/>
          <w:sz w:val="22"/>
          <w:szCs w:val="22"/>
        </w:rPr>
      </w:pPr>
      <w:bookmarkStart w:id="2" w:name="_heading=h.iq6px33o5vtp" w:colFirst="0" w:colLast="0"/>
      <w:bookmarkEnd w:id="2"/>
      <w:r>
        <w:rPr>
          <w:rFonts w:ascii="Arial" w:eastAsia="Arial" w:hAnsi="Arial" w:cs="Arial"/>
          <w:sz w:val="22"/>
          <w:szCs w:val="22"/>
        </w:rPr>
        <w:t>Que la Constitución de la República del Paraguay en su Capítulo VI “</w:t>
      </w:r>
      <w:r>
        <w:rPr>
          <w:rFonts w:ascii="Arial" w:eastAsia="Arial" w:hAnsi="Arial" w:cs="Arial"/>
          <w:i/>
          <w:sz w:val="22"/>
          <w:szCs w:val="22"/>
        </w:rPr>
        <w:t>De la Salud</w:t>
      </w:r>
      <w:r>
        <w:rPr>
          <w:rFonts w:ascii="Arial" w:eastAsia="Arial" w:hAnsi="Arial" w:cs="Arial"/>
          <w:sz w:val="22"/>
          <w:szCs w:val="22"/>
        </w:rPr>
        <w:t>”, Artículo 72. “Del control de calidad” dispone que: “</w:t>
      </w:r>
      <w:r>
        <w:rPr>
          <w:rFonts w:ascii="Arial" w:eastAsia="Arial" w:hAnsi="Arial" w:cs="Arial"/>
          <w:i/>
          <w:sz w:val="22"/>
          <w:szCs w:val="22"/>
        </w:rPr>
        <w:t>El Estado velará por el control de la calidad de los productos alime</w:t>
      </w:r>
      <w:r>
        <w:rPr>
          <w:rFonts w:ascii="Arial" w:eastAsia="Arial" w:hAnsi="Arial" w:cs="Arial"/>
          <w:i/>
          <w:sz w:val="22"/>
          <w:szCs w:val="22"/>
        </w:rPr>
        <w:t>nticios, químicos, farmacéuticos y biológicos, en las etapas de producción, importación y comercialización. Asimismo, facilitará el acceso de sectores de escasos recursos a los medicamentos considerados esenciales</w:t>
      </w:r>
      <w:r>
        <w:rPr>
          <w:rFonts w:ascii="Arial" w:eastAsia="Arial" w:hAnsi="Arial" w:cs="Arial"/>
          <w:sz w:val="22"/>
          <w:szCs w:val="22"/>
        </w:rPr>
        <w:t>” y en su Capítulo VIII - Sección II establ</w:t>
      </w:r>
      <w:r>
        <w:rPr>
          <w:rFonts w:ascii="Arial" w:eastAsia="Arial" w:hAnsi="Arial" w:cs="Arial"/>
          <w:sz w:val="22"/>
          <w:szCs w:val="22"/>
        </w:rPr>
        <w:t>ece disposiciones vinculantes respecto a la Función Pública.</w:t>
      </w:r>
    </w:p>
    <w:p w:rsidR="00E85227" w:rsidRDefault="00BF240B">
      <w:pPr>
        <w:spacing w:before="240" w:after="240"/>
        <w:ind w:right="820" w:firstLine="720"/>
        <w:jc w:val="both"/>
        <w:rPr>
          <w:rFonts w:ascii="Arial" w:eastAsia="Arial" w:hAnsi="Arial" w:cs="Arial"/>
          <w:sz w:val="22"/>
          <w:szCs w:val="22"/>
        </w:rPr>
      </w:pPr>
      <w:r>
        <w:rPr>
          <w:rFonts w:ascii="Arial" w:eastAsia="Arial" w:hAnsi="Arial" w:cs="Arial"/>
          <w:sz w:val="22"/>
          <w:szCs w:val="22"/>
        </w:rPr>
        <w:t xml:space="preserve">Que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6788/2021, modificada por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7361/2024, dispone la autonomía de la Dirección Nacional de Vigilancia Sanitaria y en su Artículo 3º establece que la Dirección Nacional de Vigil</w:t>
      </w:r>
      <w:r>
        <w:rPr>
          <w:rFonts w:ascii="Arial" w:eastAsia="Arial" w:hAnsi="Arial" w:cs="Arial"/>
          <w:sz w:val="22"/>
          <w:szCs w:val="22"/>
        </w:rPr>
        <w:t>ancia Sanitaria (DINAVISA) será la autoridad responsable en materia de regulación sanitaria de productos para la salud como medicamentos y afines, así como también en materia de alimentos y afines, con las competencias de regulación, control y fiscalizació</w:t>
      </w:r>
      <w:r>
        <w:rPr>
          <w:rFonts w:ascii="Arial" w:eastAsia="Arial" w:hAnsi="Arial" w:cs="Arial"/>
          <w:sz w:val="22"/>
          <w:szCs w:val="22"/>
        </w:rPr>
        <w:t>n de los alimentos, y afines  de otras sustancias relacionadas con los alimentos, bebidas, aditivos y coadyuvantes alimentarios, alimentos dietéticos, ingredientes o materias primas a ser utilizadas en alimentos, envases en contacto con alimentos o artícul</w:t>
      </w:r>
      <w:r>
        <w:rPr>
          <w:rFonts w:ascii="Arial" w:eastAsia="Arial" w:hAnsi="Arial" w:cs="Arial"/>
          <w:sz w:val="22"/>
          <w:szCs w:val="22"/>
        </w:rPr>
        <w:t xml:space="preserve">os similares destinados a la alimentación humana, y a regulación, control, habilitación y fiscalización de los establecimientos, y de las actividades desarrolladas por las personas físicas o jurídicas que intervienen durante las etapas de: manipulación de </w:t>
      </w:r>
      <w:r>
        <w:rPr>
          <w:rFonts w:ascii="Arial" w:eastAsia="Arial" w:hAnsi="Arial" w:cs="Arial"/>
          <w:sz w:val="22"/>
          <w:szCs w:val="22"/>
        </w:rPr>
        <w:t>alimentos, fabricación, elaboración, almacenamiento, fraccionamiento, control de calidad, disminución, expendio, comercialización, transporte, representación, importación, exportación, empaquetado, etiquetado, información y publicidad de alimentos y las te</w:t>
      </w:r>
      <w:r>
        <w:rPr>
          <w:rFonts w:ascii="Arial" w:eastAsia="Arial" w:hAnsi="Arial" w:cs="Arial"/>
          <w:sz w:val="22"/>
          <w:szCs w:val="22"/>
        </w:rPr>
        <w:t>cnologías aplicadas a la industria alimentaria, de habilitación, inspección, registro sanitario, renovación de registro sanitario, despacho, importación y exportación y en todo otro concepto relacionado a sus funciones.</w:t>
      </w:r>
    </w:p>
    <w:p w:rsidR="00E85227" w:rsidRDefault="00BF240B">
      <w:pPr>
        <w:spacing w:before="240" w:after="240"/>
        <w:ind w:right="820" w:firstLine="720"/>
        <w:jc w:val="both"/>
        <w:rPr>
          <w:rFonts w:ascii="Arial" w:eastAsia="Arial" w:hAnsi="Arial" w:cs="Arial"/>
          <w:sz w:val="22"/>
          <w:szCs w:val="22"/>
        </w:rPr>
      </w:pPr>
      <w:r>
        <w:rPr>
          <w:rFonts w:ascii="Arial" w:eastAsia="Arial" w:hAnsi="Arial" w:cs="Arial"/>
          <w:sz w:val="22"/>
          <w:szCs w:val="22"/>
        </w:rPr>
        <w:t xml:space="preserve">Que en virtud del Artículo 5º de la </w:t>
      </w:r>
      <w:r>
        <w:rPr>
          <w:rFonts w:ascii="Arial" w:eastAsia="Arial" w:hAnsi="Arial" w:cs="Arial"/>
          <w:sz w:val="22"/>
          <w:szCs w:val="22"/>
        </w:rPr>
        <w:t xml:space="preserve">Ley </w:t>
      </w:r>
      <w:proofErr w:type="spellStart"/>
      <w:r>
        <w:rPr>
          <w:rFonts w:ascii="Arial" w:eastAsia="Arial" w:hAnsi="Arial" w:cs="Arial"/>
          <w:sz w:val="22"/>
          <w:szCs w:val="22"/>
        </w:rPr>
        <w:t>Nº</w:t>
      </w:r>
      <w:proofErr w:type="spellEnd"/>
      <w:r>
        <w:rPr>
          <w:rFonts w:ascii="Arial" w:eastAsia="Arial" w:hAnsi="Arial" w:cs="Arial"/>
          <w:sz w:val="22"/>
          <w:szCs w:val="22"/>
        </w:rPr>
        <w:t xml:space="preserve"> 6788/2021, modificado por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7361/2024 la Dirección Nacional de Vigilancia Sanitaria (DINAVISA), como Autoridad Regulatoria Nacional tiene por finalidad velar por la protección de la salud humana, prevé las funciones que deberá cumplir: </w:t>
      </w:r>
      <w:r>
        <w:rPr>
          <w:rFonts w:ascii="Arial" w:eastAsia="Arial" w:hAnsi="Arial" w:cs="Arial"/>
          <w:i/>
          <w:sz w:val="22"/>
          <w:szCs w:val="22"/>
        </w:rPr>
        <w:t xml:space="preserve">“…2) </w:t>
      </w:r>
      <w:r>
        <w:rPr>
          <w:rFonts w:ascii="Arial" w:eastAsia="Arial" w:hAnsi="Arial" w:cs="Arial"/>
          <w:i/>
          <w:sz w:val="22"/>
          <w:szCs w:val="22"/>
        </w:rPr>
        <w:t xml:space="preserve">Establecer normas, reglamentos técnicos, guías y códigos de buenas prácticas en el ámbito cuya regulación y control le son asignados por ley, </w:t>
      </w:r>
      <w:r>
        <w:rPr>
          <w:rFonts w:ascii="Arial" w:eastAsia="Arial" w:hAnsi="Arial" w:cs="Arial"/>
          <w:i/>
          <w:sz w:val="22"/>
          <w:szCs w:val="22"/>
        </w:rPr>
        <w:lastRenderedPageBreak/>
        <w:t>y actualizarlas de forma periódica en concordancia con la evolución científica y tecnológica… 11) Establecer medid</w:t>
      </w:r>
      <w:r>
        <w:rPr>
          <w:rFonts w:ascii="Arial" w:eastAsia="Arial" w:hAnsi="Arial" w:cs="Arial"/>
          <w:i/>
          <w:sz w:val="22"/>
          <w:szCs w:val="22"/>
        </w:rPr>
        <w:t xml:space="preserve">as de carácter general para la aplicación de las buenas prácticas o mejores estándares técnicos para la producción, transporte, almacenamiento y las demás actividades dirigidas al consumo de los productos objeto de vigilancia de la entidad… 15) </w:t>
      </w:r>
      <w:r>
        <w:rPr>
          <w:rFonts w:ascii="Arial" w:eastAsia="Arial" w:hAnsi="Arial" w:cs="Arial"/>
          <w:i/>
          <w:sz w:val="23"/>
          <w:szCs w:val="23"/>
        </w:rPr>
        <w:t xml:space="preserve">Establecer </w:t>
      </w:r>
      <w:r>
        <w:rPr>
          <w:rFonts w:ascii="Arial" w:eastAsia="Arial" w:hAnsi="Arial" w:cs="Arial"/>
          <w:i/>
          <w:sz w:val="22"/>
          <w:szCs w:val="22"/>
        </w:rPr>
        <w:t xml:space="preserve">las </w:t>
      </w:r>
      <w:r>
        <w:rPr>
          <w:rFonts w:ascii="Arial" w:eastAsia="Arial" w:hAnsi="Arial" w:cs="Arial"/>
          <w:i/>
          <w:sz w:val="23"/>
          <w:szCs w:val="23"/>
        </w:rPr>
        <w:t xml:space="preserve">reglamentaciones técnicas para la </w:t>
      </w:r>
      <w:r>
        <w:rPr>
          <w:rFonts w:ascii="Arial" w:eastAsia="Arial" w:hAnsi="Arial" w:cs="Arial"/>
          <w:i/>
          <w:sz w:val="22"/>
          <w:szCs w:val="22"/>
        </w:rPr>
        <w:t xml:space="preserve">ejecución de cualquier </w:t>
      </w:r>
      <w:r>
        <w:rPr>
          <w:rFonts w:ascii="Arial" w:eastAsia="Arial" w:hAnsi="Arial" w:cs="Arial"/>
          <w:i/>
          <w:sz w:val="23"/>
          <w:szCs w:val="23"/>
        </w:rPr>
        <w:t xml:space="preserve">actividad </w:t>
      </w:r>
      <w:r>
        <w:rPr>
          <w:rFonts w:ascii="Arial" w:eastAsia="Arial" w:hAnsi="Arial" w:cs="Arial"/>
          <w:i/>
          <w:sz w:val="26"/>
          <w:szCs w:val="26"/>
        </w:rPr>
        <w:t xml:space="preserve">de su </w:t>
      </w:r>
      <w:r>
        <w:rPr>
          <w:rFonts w:ascii="Arial" w:eastAsia="Arial" w:hAnsi="Arial" w:cs="Arial"/>
          <w:i/>
          <w:sz w:val="23"/>
          <w:szCs w:val="23"/>
        </w:rPr>
        <w:t xml:space="preserve">competencia </w:t>
      </w:r>
      <w:r>
        <w:rPr>
          <w:rFonts w:ascii="Arial" w:eastAsia="Arial" w:hAnsi="Arial" w:cs="Arial"/>
          <w:i/>
          <w:sz w:val="26"/>
          <w:szCs w:val="26"/>
        </w:rPr>
        <w:t xml:space="preserve">en </w:t>
      </w:r>
      <w:r>
        <w:rPr>
          <w:rFonts w:ascii="Arial" w:eastAsia="Arial" w:hAnsi="Arial" w:cs="Arial"/>
          <w:i/>
          <w:sz w:val="22"/>
          <w:szCs w:val="22"/>
        </w:rPr>
        <w:t>todo el territorio nacional, de acuerdo a las legislaciones pertinentes, siendo las mismas de acatamiento obligatorio por parte de toda persona física, jurídica u o</w:t>
      </w:r>
      <w:r>
        <w:rPr>
          <w:rFonts w:ascii="Arial" w:eastAsia="Arial" w:hAnsi="Arial" w:cs="Arial"/>
          <w:i/>
          <w:sz w:val="22"/>
          <w:szCs w:val="22"/>
        </w:rPr>
        <w:t>rganismos públicos o privados sin excepción... 30) Autorizar las importaciones y exportaciones de productos de su competencia, conforme a las disposiciones legales vigentes… 33) Regular y fiscalizar las actividades realizadas por las personas físicas o jur</w:t>
      </w:r>
      <w:r>
        <w:rPr>
          <w:rFonts w:ascii="Arial" w:eastAsia="Arial" w:hAnsi="Arial" w:cs="Arial"/>
          <w:i/>
          <w:sz w:val="22"/>
          <w:szCs w:val="22"/>
        </w:rPr>
        <w:t>ídicas que intervienen durante las etapas de la fabricación, elaboración, fraccionamiento, control de calidad, distribución, dispensación, comercialización, representación, importación, exportación, almacenamiento, información y publicidad de los productos</w:t>
      </w:r>
      <w:r>
        <w:rPr>
          <w:rFonts w:ascii="Arial" w:eastAsia="Arial" w:hAnsi="Arial" w:cs="Arial"/>
          <w:i/>
          <w:sz w:val="22"/>
          <w:szCs w:val="22"/>
        </w:rPr>
        <w:t xml:space="preserve"> alimenticios y otros que recaen bajo su competencia. 34) Regular, controlar y fiscalizar los alimentos, otras sustancias relacionadas con los alimentos, bebidas, aditivos y coadyuvantes alimentarios, alimentos dietéticos, ingredientes o materias primas a </w:t>
      </w:r>
      <w:r>
        <w:rPr>
          <w:rFonts w:ascii="Arial" w:eastAsia="Arial" w:hAnsi="Arial" w:cs="Arial"/>
          <w:i/>
          <w:sz w:val="22"/>
          <w:szCs w:val="22"/>
        </w:rPr>
        <w:t>ser utilizadas en alimentos, envases en contacto con alimentos o artículos similares destinados a la alimentación humana; y otros afines y los que cuya regulación y control le sean asignados por ley</w:t>
      </w:r>
      <w:r>
        <w:rPr>
          <w:rFonts w:ascii="Arial" w:eastAsia="Arial" w:hAnsi="Arial" w:cs="Arial"/>
          <w:sz w:val="22"/>
          <w:szCs w:val="22"/>
        </w:rPr>
        <w:t>…”.</w:t>
      </w:r>
    </w:p>
    <w:p w:rsidR="00E85227" w:rsidRDefault="00BF240B">
      <w:pPr>
        <w:shd w:val="clear" w:color="auto" w:fill="FDFDFD"/>
        <w:spacing w:before="240" w:after="240"/>
        <w:ind w:right="820" w:firstLine="720"/>
        <w:jc w:val="both"/>
        <w:rPr>
          <w:rFonts w:ascii="Arial" w:eastAsia="Arial" w:hAnsi="Arial" w:cs="Arial"/>
          <w:sz w:val="22"/>
          <w:szCs w:val="22"/>
        </w:rPr>
      </w:pPr>
      <w:r>
        <w:rPr>
          <w:rFonts w:ascii="Arial" w:eastAsia="Arial" w:hAnsi="Arial" w:cs="Arial"/>
          <w:sz w:val="22"/>
          <w:szCs w:val="22"/>
        </w:rPr>
        <w:t xml:space="preserve">Que la Ley 6788/2021, en su Artículo 7° establece que </w:t>
      </w:r>
      <w:r>
        <w:rPr>
          <w:rFonts w:ascii="Arial" w:eastAsia="Arial" w:hAnsi="Arial" w:cs="Arial"/>
          <w:sz w:val="22"/>
          <w:szCs w:val="22"/>
        </w:rPr>
        <w:t>la dirección, administración y representación legal de la Dirección Nacional de Vigilancia Sanitaria (DINAVISA), estará a cargo de un Director Nacional, el cual será su máxima autoridad y en tal carácter será el responsable directo de la gestión técnica, f</w:t>
      </w:r>
      <w:r>
        <w:rPr>
          <w:rFonts w:ascii="Arial" w:eastAsia="Arial" w:hAnsi="Arial" w:cs="Arial"/>
          <w:sz w:val="22"/>
          <w:szCs w:val="22"/>
        </w:rPr>
        <w:t>inanciera y administrativa de la entidad.</w:t>
      </w:r>
    </w:p>
    <w:p w:rsidR="00E85227" w:rsidRDefault="00BF240B">
      <w:pPr>
        <w:shd w:val="clear" w:color="auto" w:fill="FDFDFD"/>
        <w:spacing w:before="240" w:after="240"/>
        <w:ind w:right="820" w:firstLine="720"/>
        <w:jc w:val="both"/>
        <w:rPr>
          <w:rFonts w:ascii="Arial" w:eastAsia="Arial" w:hAnsi="Arial" w:cs="Arial"/>
          <w:sz w:val="22"/>
          <w:szCs w:val="22"/>
        </w:rPr>
      </w:pPr>
      <w:r>
        <w:rPr>
          <w:rFonts w:ascii="Arial" w:eastAsia="Arial" w:hAnsi="Arial" w:cs="Arial"/>
          <w:sz w:val="22"/>
          <w:szCs w:val="22"/>
        </w:rPr>
        <w:t xml:space="preserve">Que la citada ley orgánica y su modificatoria en el Art. 53.- Adaptación de nomenclatura, permite a la DINAVISA la aplicación de las normas emitidas con anterioridad por otras autoridades que hacen a las funciones </w:t>
      </w:r>
      <w:r>
        <w:rPr>
          <w:rFonts w:ascii="Arial" w:eastAsia="Arial" w:hAnsi="Arial" w:cs="Arial"/>
          <w:sz w:val="22"/>
          <w:szCs w:val="22"/>
        </w:rPr>
        <w:t>absorbidas.</w:t>
      </w:r>
    </w:p>
    <w:p w:rsidR="00E85227" w:rsidRDefault="00BF240B">
      <w:pPr>
        <w:shd w:val="clear" w:color="auto" w:fill="FFFFFF"/>
        <w:spacing w:after="160"/>
        <w:ind w:right="820" w:firstLine="720"/>
        <w:jc w:val="both"/>
        <w:rPr>
          <w:rFonts w:ascii="Arial" w:eastAsia="Arial" w:hAnsi="Arial" w:cs="Arial"/>
          <w:sz w:val="22"/>
          <w:szCs w:val="22"/>
        </w:rPr>
      </w:pPr>
      <w:r>
        <w:rPr>
          <w:rFonts w:ascii="Arial" w:eastAsia="Arial" w:hAnsi="Arial" w:cs="Arial"/>
          <w:sz w:val="22"/>
          <w:szCs w:val="22"/>
        </w:rPr>
        <w:t xml:space="preserve">Que a partir de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7050/2023, “Que aprueba el Presupuesto General de la Nación para el Ejercicio Fiscal 2023” se consagra la autarquía de la Entidad de la Dirección Nacional de Vigilancia Sanitaria.</w:t>
      </w:r>
    </w:p>
    <w:p w:rsidR="00E85227" w:rsidRDefault="00BF240B">
      <w:pPr>
        <w:shd w:val="clear" w:color="auto" w:fill="FFFFFF"/>
        <w:spacing w:before="240" w:after="240"/>
        <w:ind w:right="820" w:firstLine="720"/>
        <w:jc w:val="both"/>
        <w:rPr>
          <w:rFonts w:ascii="Arial" w:eastAsia="Arial" w:hAnsi="Arial" w:cs="Arial"/>
          <w:color w:val="000000"/>
          <w:sz w:val="22"/>
          <w:szCs w:val="22"/>
        </w:rPr>
      </w:pPr>
      <w:bookmarkStart w:id="3" w:name="_heading=h.4hlt8nhzv7ii" w:colFirst="0" w:colLast="0"/>
      <w:bookmarkEnd w:id="3"/>
      <w:r>
        <w:rPr>
          <w:rFonts w:ascii="Arial" w:eastAsia="Arial" w:hAnsi="Arial" w:cs="Arial"/>
          <w:sz w:val="22"/>
          <w:szCs w:val="22"/>
        </w:rPr>
        <w:t xml:space="preserve">Que, la Ley </w:t>
      </w:r>
      <w:proofErr w:type="spellStart"/>
      <w:r>
        <w:rPr>
          <w:rFonts w:ascii="Arial" w:eastAsia="Arial" w:hAnsi="Arial" w:cs="Arial"/>
          <w:sz w:val="22"/>
          <w:szCs w:val="22"/>
        </w:rPr>
        <w:t>N°</w:t>
      </w:r>
      <w:proofErr w:type="spellEnd"/>
      <w:r>
        <w:rPr>
          <w:rFonts w:ascii="Arial" w:eastAsia="Arial" w:hAnsi="Arial" w:cs="Arial"/>
          <w:sz w:val="22"/>
          <w:szCs w:val="22"/>
        </w:rPr>
        <w:t xml:space="preserve"> 7408/2024, aprueba el Presupuesto General de la Nación para el ejercicio fiscal 2025, el Anexo de Personal y las partidas presupuestarias de la Dirección Nacional de Vigilancia Sanitaria</w:t>
      </w:r>
      <w:r>
        <w:rPr>
          <w:rFonts w:ascii="Arial" w:eastAsia="Arial" w:hAnsi="Arial" w:cs="Arial"/>
          <w:color w:val="000000"/>
          <w:sz w:val="22"/>
          <w:szCs w:val="22"/>
        </w:rPr>
        <w:tab/>
      </w:r>
    </w:p>
    <w:p w:rsidR="00E85227" w:rsidRDefault="00BF240B">
      <w:pPr>
        <w:pBdr>
          <w:top w:val="nil"/>
          <w:left w:val="nil"/>
          <w:bottom w:val="nil"/>
          <w:right w:val="nil"/>
          <w:between w:val="nil"/>
        </w:pBdr>
        <w:ind w:right="820" w:firstLine="720"/>
        <w:jc w:val="both"/>
        <w:rPr>
          <w:rFonts w:ascii="Arial" w:eastAsia="Arial" w:hAnsi="Arial" w:cs="Arial"/>
          <w:sz w:val="22"/>
          <w:szCs w:val="22"/>
        </w:rPr>
      </w:pPr>
      <w:bookmarkStart w:id="4" w:name="_heading=h.xf40vc2bier7" w:colFirst="0" w:colLast="0"/>
      <w:bookmarkEnd w:id="4"/>
      <w:r>
        <w:rPr>
          <w:rFonts w:ascii="Arial" w:eastAsia="Arial" w:hAnsi="Arial" w:cs="Arial"/>
          <w:sz w:val="22"/>
          <w:szCs w:val="22"/>
        </w:rPr>
        <w:lastRenderedPageBreak/>
        <w:t>Que, actualmente existen diferentes tipos de aguas en</w:t>
      </w:r>
      <w:r>
        <w:rPr>
          <w:rFonts w:ascii="Arial" w:eastAsia="Arial" w:hAnsi="Arial" w:cs="Arial"/>
          <w:sz w:val="22"/>
          <w:szCs w:val="22"/>
        </w:rPr>
        <w:t xml:space="preserve">vasadas y comercializadas en el mercado nacional, por lo que resulta prioritario que la Dirección Nacional de Vigilancia Sanitaria (DINAVISA), </w:t>
      </w:r>
      <w:r>
        <w:rPr>
          <w:rFonts w:ascii="Arial" w:eastAsia="Arial" w:hAnsi="Arial" w:cs="Arial"/>
          <w:sz w:val="22"/>
          <w:szCs w:val="22"/>
        </w:rPr>
        <w:t xml:space="preserve">reglamente </w:t>
      </w:r>
      <w:r>
        <w:rPr>
          <w:rFonts w:ascii="Arial" w:eastAsia="Arial" w:hAnsi="Arial" w:cs="Arial"/>
          <w:sz w:val="22"/>
          <w:szCs w:val="22"/>
        </w:rPr>
        <w:t xml:space="preserve">la </w:t>
      </w:r>
      <w:r>
        <w:rPr>
          <w:rFonts w:ascii="Arial" w:eastAsia="Arial" w:hAnsi="Arial" w:cs="Arial"/>
          <w:sz w:val="22"/>
          <w:szCs w:val="22"/>
        </w:rPr>
        <w:t>clasificación</w:t>
      </w:r>
      <w:r>
        <w:rPr>
          <w:rFonts w:ascii="Arial" w:eastAsia="Arial" w:hAnsi="Arial" w:cs="Arial"/>
          <w:sz w:val="22"/>
          <w:szCs w:val="22"/>
        </w:rPr>
        <w:t xml:space="preserve"> de las mismas,</w:t>
      </w:r>
      <w:r>
        <w:rPr>
          <w:rFonts w:ascii="Arial" w:eastAsia="Arial" w:hAnsi="Arial" w:cs="Arial"/>
          <w:sz w:val="22"/>
          <w:szCs w:val="22"/>
        </w:rPr>
        <w:t xml:space="preserve"> así </w:t>
      </w:r>
      <w:proofErr w:type="gramStart"/>
      <w:r>
        <w:rPr>
          <w:rFonts w:ascii="Arial" w:eastAsia="Arial" w:hAnsi="Arial" w:cs="Arial"/>
          <w:sz w:val="22"/>
          <w:szCs w:val="22"/>
        </w:rPr>
        <w:t>como</w:t>
      </w:r>
      <w:r>
        <w:rPr>
          <w:rFonts w:ascii="Arial" w:eastAsia="Arial" w:hAnsi="Arial" w:cs="Arial"/>
          <w:sz w:val="22"/>
          <w:szCs w:val="22"/>
        </w:rPr>
        <w:t xml:space="preserve">  la</w:t>
      </w:r>
      <w:proofErr w:type="gramEnd"/>
      <w:r>
        <w:rPr>
          <w:rFonts w:ascii="Arial" w:eastAsia="Arial" w:hAnsi="Arial" w:cs="Arial"/>
          <w:sz w:val="22"/>
          <w:szCs w:val="22"/>
        </w:rPr>
        <w:t xml:space="preserve"> información expuesta en el rotulado de estos productos, r</w:t>
      </w:r>
      <w:r>
        <w:rPr>
          <w:rFonts w:ascii="Arial" w:eastAsia="Arial" w:hAnsi="Arial" w:cs="Arial"/>
          <w:sz w:val="22"/>
          <w:szCs w:val="22"/>
        </w:rPr>
        <w:t>eferente a su denominación de venta y al contenido de sodio</w:t>
      </w:r>
      <w:r>
        <w:rPr>
          <w:rFonts w:ascii="Arial" w:eastAsia="Arial" w:hAnsi="Arial" w:cs="Arial"/>
          <w:sz w:val="22"/>
          <w:szCs w:val="22"/>
        </w:rPr>
        <w:t>, que son importantes</w:t>
      </w:r>
      <w:r>
        <w:rPr>
          <w:rFonts w:ascii="Arial" w:eastAsia="Arial" w:hAnsi="Arial" w:cs="Arial"/>
          <w:sz w:val="22"/>
          <w:szCs w:val="22"/>
          <w:highlight w:val="white"/>
        </w:rPr>
        <w:t xml:space="preserve"> para informar al consumidor y garantizar la seguridad y calidad del producto. </w:t>
      </w:r>
    </w:p>
    <w:p w:rsidR="00E85227" w:rsidRDefault="00E85227">
      <w:pPr>
        <w:pBdr>
          <w:top w:val="nil"/>
          <w:left w:val="nil"/>
          <w:bottom w:val="nil"/>
          <w:right w:val="nil"/>
          <w:between w:val="nil"/>
        </w:pBdr>
        <w:ind w:right="820"/>
        <w:jc w:val="both"/>
        <w:rPr>
          <w:rFonts w:ascii="Arial" w:eastAsia="Arial" w:hAnsi="Arial" w:cs="Arial"/>
          <w:color w:val="000000"/>
          <w:sz w:val="22"/>
          <w:szCs w:val="22"/>
        </w:rPr>
      </w:pPr>
    </w:p>
    <w:p w:rsidR="00E85227" w:rsidRDefault="00BF240B">
      <w:pPr>
        <w:pBdr>
          <w:top w:val="nil"/>
          <w:left w:val="nil"/>
          <w:bottom w:val="nil"/>
          <w:right w:val="nil"/>
          <w:between w:val="nil"/>
        </w:pBdr>
        <w:ind w:right="820"/>
        <w:jc w:val="both"/>
        <w:rPr>
          <w:rFonts w:ascii="Arial" w:eastAsia="Arial" w:hAnsi="Arial" w:cs="Arial"/>
          <w:color w:val="000000"/>
          <w:sz w:val="22"/>
          <w:szCs w:val="22"/>
        </w:rPr>
      </w:pPr>
      <w:r>
        <w:rPr>
          <w:rFonts w:ascii="Arial" w:eastAsia="Arial" w:hAnsi="Arial" w:cs="Arial"/>
          <w:color w:val="000000"/>
          <w:sz w:val="22"/>
          <w:szCs w:val="22"/>
        </w:rPr>
        <w:tab/>
        <w:t>Que,</w:t>
      </w:r>
      <w:r>
        <w:rPr>
          <w:rFonts w:ascii="Arial" w:eastAsia="Arial" w:hAnsi="Arial" w:cs="Arial"/>
          <w:sz w:val="22"/>
          <w:szCs w:val="22"/>
        </w:rPr>
        <w:t xml:space="preserve"> </w:t>
      </w:r>
      <w:r>
        <w:rPr>
          <w:rFonts w:ascii="Arial" w:eastAsia="Arial" w:hAnsi="Arial" w:cs="Arial"/>
          <w:color w:val="000000"/>
          <w:sz w:val="22"/>
          <w:szCs w:val="22"/>
        </w:rPr>
        <w:t>es importante mencionar también que existe una creciente preocupación por parte de la pob</w:t>
      </w:r>
      <w:r>
        <w:rPr>
          <w:rFonts w:ascii="Arial" w:eastAsia="Arial" w:hAnsi="Arial" w:cs="Arial"/>
          <w:color w:val="000000"/>
          <w:sz w:val="22"/>
          <w:szCs w:val="22"/>
        </w:rPr>
        <w:t>lación de consumir alimentos reducidos en nutrientes críticos, como el sodio, a fin de prevenir enfermedades crónicas no transmisibles como la hipertensión arterial y otras patologías relacionadas.</w:t>
      </w:r>
    </w:p>
    <w:p w:rsidR="00E85227" w:rsidRDefault="00E85227">
      <w:pPr>
        <w:pBdr>
          <w:top w:val="nil"/>
          <w:left w:val="nil"/>
          <w:bottom w:val="nil"/>
          <w:right w:val="nil"/>
          <w:between w:val="nil"/>
        </w:pBdr>
        <w:ind w:right="820"/>
        <w:jc w:val="both"/>
        <w:rPr>
          <w:rFonts w:ascii="Arial" w:eastAsia="Arial" w:hAnsi="Arial" w:cs="Arial"/>
          <w:color w:val="000000"/>
          <w:sz w:val="22"/>
          <w:szCs w:val="22"/>
        </w:rPr>
      </w:pPr>
    </w:p>
    <w:p w:rsidR="00E85227" w:rsidRDefault="00BF240B">
      <w:pPr>
        <w:pBdr>
          <w:top w:val="nil"/>
          <w:left w:val="nil"/>
          <w:bottom w:val="nil"/>
          <w:right w:val="nil"/>
          <w:between w:val="nil"/>
        </w:pBdr>
        <w:ind w:right="820"/>
        <w:jc w:val="both"/>
        <w:rPr>
          <w:rFonts w:ascii="Arial" w:eastAsia="Arial" w:hAnsi="Arial" w:cs="Arial"/>
          <w:color w:val="000000"/>
          <w:sz w:val="22"/>
          <w:szCs w:val="22"/>
        </w:rPr>
      </w:pPr>
      <w:r>
        <w:rPr>
          <w:rFonts w:ascii="Arial" w:eastAsia="Arial" w:hAnsi="Arial" w:cs="Arial"/>
          <w:color w:val="000000"/>
          <w:sz w:val="22"/>
          <w:szCs w:val="22"/>
        </w:rPr>
        <w:tab/>
        <w:t xml:space="preserve"> Que, el presente reglamento tiene como objetivos: 1) </w:t>
      </w:r>
      <w:r>
        <w:rPr>
          <w:rFonts w:ascii="Arial" w:eastAsia="Arial" w:hAnsi="Arial" w:cs="Arial"/>
          <w:color w:val="000000"/>
          <w:sz w:val="22"/>
          <w:szCs w:val="22"/>
        </w:rPr>
        <w:t>de</w:t>
      </w:r>
      <w:r>
        <w:rPr>
          <w:rFonts w:ascii="Arial" w:eastAsia="Arial" w:hAnsi="Arial" w:cs="Arial"/>
          <w:color w:val="000000"/>
          <w:sz w:val="22"/>
          <w:szCs w:val="22"/>
        </w:rPr>
        <w:t>finir los diferentes tipos de aguas envasadas para consumo humano según su proceso de obtención o elaboración, así como también establecer la denominación de venta que debe ser declarada en el etiquetado de las mismas, a fin de evitar confusión o engaño al</w:t>
      </w:r>
      <w:r>
        <w:rPr>
          <w:rFonts w:ascii="Arial" w:eastAsia="Arial" w:hAnsi="Arial" w:cs="Arial"/>
          <w:color w:val="000000"/>
          <w:sz w:val="22"/>
          <w:szCs w:val="22"/>
        </w:rPr>
        <w:t xml:space="preserve"> consumidor; y, 2) establecer requisitos y condiciones específicas para el etiquetado </w:t>
      </w:r>
      <w:r>
        <w:rPr>
          <w:rFonts w:ascii="Arial" w:eastAsia="Arial" w:hAnsi="Arial" w:cs="Arial"/>
          <w:color w:val="000000"/>
          <w:sz w:val="22"/>
          <w:szCs w:val="22"/>
        </w:rPr>
        <w:t>de aguas envasadas para consumo humano, entre ellas la declaración de bajo contenido en sodio que frecuentemente aparece en dicho etiquetado.</w:t>
      </w:r>
    </w:p>
    <w:p w:rsidR="00E85227" w:rsidRDefault="00E85227">
      <w:pPr>
        <w:pBdr>
          <w:top w:val="nil"/>
          <w:left w:val="nil"/>
          <w:bottom w:val="nil"/>
          <w:right w:val="nil"/>
          <w:between w:val="nil"/>
        </w:pBdr>
        <w:ind w:right="820"/>
        <w:jc w:val="both"/>
        <w:rPr>
          <w:rFonts w:ascii="Arial" w:eastAsia="Arial" w:hAnsi="Arial" w:cs="Arial"/>
          <w:sz w:val="22"/>
          <w:szCs w:val="22"/>
        </w:rPr>
      </w:pPr>
    </w:p>
    <w:p w:rsidR="00E85227" w:rsidRDefault="00BF240B">
      <w:pPr>
        <w:pBdr>
          <w:top w:val="nil"/>
          <w:left w:val="nil"/>
          <w:bottom w:val="nil"/>
          <w:right w:val="nil"/>
          <w:between w:val="nil"/>
        </w:pBdr>
        <w:ind w:right="820"/>
        <w:jc w:val="both"/>
        <w:rPr>
          <w:rFonts w:ascii="Arial" w:eastAsia="Arial" w:hAnsi="Arial" w:cs="Arial"/>
          <w:color w:val="000000"/>
          <w:sz w:val="22"/>
          <w:szCs w:val="22"/>
        </w:rPr>
      </w:pPr>
      <w:r>
        <w:rPr>
          <w:rFonts w:ascii="Arial" w:eastAsia="Arial" w:hAnsi="Arial" w:cs="Arial"/>
          <w:b/>
          <w:color w:val="000000"/>
          <w:sz w:val="22"/>
          <w:szCs w:val="22"/>
        </w:rPr>
        <w:t>POR TANTO,</w:t>
      </w:r>
      <w:r>
        <w:rPr>
          <w:rFonts w:ascii="Arial" w:eastAsia="Arial" w:hAnsi="Arial" w:cs="Arial"/>
          <w:color w:val="000000"/>
          <w:sz w:val="22"/>
          <w:szCs w:val="22"/>
        </w:rPr>
        <w:t xml:space="preserve"> en ejercicio de sus funciones legales;</w:t>
      </w:r>
    </w:p>
    <w:p w:rsidR="00E85227" w:rsidRDefault="00E85227">
      <w:pPr>
        <w:pBdr>
          <w:top w:val="nil"/>
          <w:left w:val="nil"/>
          <w:bottom w:val="nil"/>
          <w:right w:val="nil"/>
          <w:between w:val="nil"/>
        </w:pBdr>
        <w:ind w:right="820"/>
        <w:jc w:val="both"/>
        <w:rPr>
          <w:rFonts w:ascii="Arial" w:eastAsia="Arial" w:hAnsi="Arial" w:cs="Arial"/>
          <w:b/>
          <w:color w:val="000000"/>
          <w:sz w:val="22"/>
          <w:szCs w:val="22"/>
        </w:rPr>
      </w:pPr>
    </w:p>
    <w:p w:rsidR="00E85227" w:rsidRDefault="00BF240B">
      <w:pPr>
        <w:spacing w:after="160"/>
        <w:ind w:right="820" w:hanging="2"/>
        <w:jc w:val="center"/>
        <w:rPr>
          <w:rFonts w:ascii="Arial" w:eastAsia="Arial" w:hAnsi="Arial" w:cs="Arial"/>
          <w:b/>
          <w:sz w:val="22"/>
          <w:szCs w:val="22"/>
        </w:rPr>
      </w:pPr>
      <w:r>
        <w:rPr>
          <w:rFonts w:ascii="Arial" w:eastAsia="Arial" w:hAnsi="Arial" w:cs="Arial"/>
          <w:b/>
          <w:sz w:val="22"/>
          <w:szCs w:val="22"/>
        </w:rPr>
        <w:t>EL DIRECTOR NACIONAL INTERINO DE LA DIRECCIÓN NACIONAL DE VIGILANCIA SANITARIA</w:t>
      </w:r>
    </w:p>
    <w:p w:rsidR="00E85227" w:rsidRDefault="00BF240B">
      <w:pPr>
        <w:spacing w:after="160"/>
        <w:ind w:right="820" w:hanging="2"/>
        <w:jc w:val="center"/>
        <w:rPr>
          <w:rFonts w:ascii="Arial" w:eastAsia="Arial" w:hAnsi="Arial" w:cs="Arial"/>
          <w:b/>
          <w:sz w:val="22"/>
          <w:szCs w:val="22"/>
        </w:rPr>
      </w:pPr>
      <w:r>
        <w:rPr>
          <w:rFonts w:ascii="Arial" w:eastAsia="Arial" w:hAnsi="Arial" w:cs="Arial"/>
          <w:b/>
          <w:sz w:val="22"/>
          <w:szCs w:val="22"/>
        </w:rPr>
        <w:t>R E S U E L V E:</w:t>
      </w:r>
    </w:p>
    <w:p w:rsidR="00E85227" w:rsidRDefault="00BF240B">
      <w:pPr>
        <w:ind w:left="1417" w:right="820"/>
        <w:jc w:val="both"/>
        <w:rPr>
          <w:rFonts w:ascii="Arial" w:eastAsia="Arial" w:hAnsi="Arial" w:cs="Arial"/>
          <w:sz w:val="22"/>
          <w:szCs w:val="22"/>
        </w:rPr>
      </w:pPr>
      <w:r>
        <w:rPr>
          <w:rFonts w:ascii="Arial" w:eastAsia="Arial" w:hAnsi="Arial" w:cs="Arial"/>
          <w:b/>
          <w:sz w:val="22"/>
          <w:szCs w:val="22"/>
        </w:rPr>
        <w:t>Artículo 1</w:t>
      </w:r>
      <w:proofErr w:type="gramStart"/>
      <w:r>
        <w:rPr>
          <w:rFonts w:ascii="Arial" w:eastAsia="Arial" w:hAnsi="Arial" w:cs="Arial"/>
          <w:b/>
          <w:sz w:val="22"/>
          <w:szCs w:val="22"/>
        </w:rPr>
        <w:t>°.-</w:t>
      </w:r>
      <w:proofErr w:type="gramEnd"/>
      <w:r>
        <w:rPr>
          <w:rFonts w:ascii="Arial" w:eastAsia="Arial" w:hAnsi="Arial" w:cs="Arial"/>
          <w:sz w:val="22"/>
          <w:szCs w:val="22"/>
        </w:rPr>
        <w:tab/>
      </w:r>
      <w:r>
        <w:rPr>
          <w:rFonts w:ascii="Arial" w:eastAsia="Arial" w:hAnsi="Arial" w:cs="Arial"/>
          <w:sz w:val="22"/>
          <w:szCs w:val="22"/>
        </w:rPr>
        <w:t>Establecer la clasificación de las aguas envasadas, destinadas al consumo humano, sus denominaciones de venta y el rotulado que deben cumplir las mismas para su comercialización, conforme a lo establecido en la presente Resolución.</w:t>
      </w:r>
    </w:p>
    <w:p w:rsidR="00E85227" w:rsidRDefault="00E85227">
      <w:pPr>
        <w:ind w:left="1417" w:right="820"/>
        <w:jc w:val="both"/>
        <w:rPr>
          <w:rFonts w:ascii="Arial" w:eastAsia="Arial" w:hAnsi="Arial" w:cs="Arial"/>
          <w:sz w:val="22"/>
          <w:szCs w:val="22"/>
        </w:rPr>
      </w:pPr>
    </w:p>
    <w:p w:rsidR="00E85227" w:rsidRDefault="00E85227">
      <w:pPr>
        <w:ind w:left="1417" w:right="820"/>
        <w:jc w:val="both"/>
        <w:rPr>
          <w:rFonts w:ascii="Arial" w:eastAsia="Arial" w:hAnsi="Arial" w:cs="Arial"/>
          <w:sz w:val="22"/>
          <w:szCs w:val="22"/>
        </w:rPr>
      </w:pPr>
    </w:p>
    <w:p w:rsidR="00E85227" w:rsidRDefault="00E85227">
      <w:pPr>
        <w:ind w:left="1417" w:right="820"/>
        <w:jc w:val="both"/>
        <w:rPr>
          <w:rFonts w:ascii="Arial" w:eastAsia="Arial" w:hAnsi="Arial" w:cs="Arial"/>
          <w:sz w:val="22"/>
          <w:szCs w:val="22"/>
        </w:rPr>
      </w:pPr>
    </w:p>
    <w:p w:rsidR="00E85227" w:rsidRDefault="00E85227">
      <w:pPr>
        <w:ind w:left="1417" w:right="820"/>
        <w:jc w:val="both"/>
        <w:rPr>
          <w:rFonts w:ascii="Arial" w:eastAsia="Arial" w:hAnsi="Arial" w:cs="Arial"/>
          <w:sz w:val="22"/>
          <w:szCs w:val="22"/>
        </w:rPr>
      </w:pPr>
    </w:p>
    <w:p w:rsidR="00E85227" w:rsidRDefault="00E85227">
      <w:pPr>
        <w:ind w:left="1417" w:right="820"/>
        <w:jc w:val="both"/>
        <w:rPr>
          <w:rFonts w:ascii="Arial" w:eastAsia="Arial" w:hAnsi="Arial" w:cs="Arial"/>
          <w:sz w:val="22"/>
          <w:szCs w:val="22"/>
        </w:rPr>
      </w:pPr>
    </w:p>
    <w:p w:rsidR="00E85227" w:rsidRDefault="00E85227">
      <w:pPr>
        <w:ind w:left="1417" w:right="820"/>
        <w:jc w:val="both"/>
        <w:rPr>
          <w:rFonts w:ascii="Arial" w:eastAsia="Arial" w:hAnsi="Arial" w:cs="Arial"/>
          <w:sz w:val="22"/>
          <w:szCs w:val="22"/>
        </w:rPr>
      </w:pPr>
    </w:p>
    <w:p w:rsidR="00E85227" w:rsidRDefault="00BF240B">
      <w:pPr>
        <w:ind w:left="1417" w:right="820"/>
        <w:jc w:val="both"/>
        <w:rPr>
          <w:rFonts w:ascii="Arial" w:eastAsia="Arial" w:hAnsi="Arial" w:cs="Arial"/>
          <w:sz w:val="22"/>
          <w:szCs w:val="22"/>
        </w:rPr>
      </w:pPr>
      <w:r>
        <w:rPr>
          <w:rFonts w:ascii="Arial" w:eastAsia="Arial" w:hAnsi="Arial" w:cs="Arial"/>
          <w:b/>
          <w:sz w:val="22"/>
          <w:szCs w:val="22"/>
        </w:rPr>
        <w:lastRenderedPageBreak/>
        <w:t>Artículo 2</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Esta</w:t>
      </w:r>
      <w:r>
        <w:rPr>
          <w:rFonts w:ascii="Arial" w:eastAsia="Arial" w:hAnsi="Arial" w:cs="Arial"/>
          <w:sz w:val="22"/>
          <w:szCs w:val="22"/>
        </w:rPr>
        <w:t>blecer la clasificación de las aguas envasadas, destinadas al consumo humano, conforme se detalla a continuación:</w:t>
      </w:r>
    </w:p>
    <w:p w:rsidR="00E85227" w:rsidRDefault="00E85227">
      <w:pPr>
        <w:ind w:left="2857" w:right="820" w:hanging="1417"/>
        <w:jc w:val="both"/>
        <w:rPr>
          <w:rFonts w:ascii="Arial" w:eastAsia="Arial" w:hAnsi="Arial" w:cs="Arial"/>
          <w:b/>
          <w:sz w:val="10"/>
          <w:szCs w:val="10"/>
        </w:rPr>
      </w:pPr>
    </w:p>
    <w:p w:rsidR="00E85227" w:rsidRDefault="00BF240B">
      <w:pPr>
        <w:numPr>
          <w:ilvl w:val="0"/>
          <w:numId w:val="1"/>
        </w:numPr>
        <w:tabs>
          <w:tab w:val="left" w:pos="390"/>
        </w:tabs>
        <w:ind w:right="820"/>
        <w:jc w:val="both"/>
        <w:rPr>
          <w:rFonts w:ascii="Arial" w:eastAsia="Arial" w:hAnsi="Arial" w:cs="Arial"/>
          <w:sz w:val="22"/>
          <w:szCs w:val="22"/>
        </w:rPr>
      </w:pPr>
      <w:r>
        <w:rPr>
          <w:rFonts w:ascii="Arial" w:eastAsia="Arial" w:hAnsi="Arial" w:cs="Arial"/>
          <w:b/>
          <w:sz w:val="22"/>
          <w:szCs w:val="22"/>
        </w:rPr>
        <w:t>Agua mineral natural:</w:t>
      </w:r>
      <w:r>
        <w:rPr>
          <w:rFonts w:ascii="Arial" w:eastAsia="Arial" w:hAnsi="Arial" w:cs="Arial"/>
          <w:sz w:val="22"/>
          <w:szCs w:val="22"/>
        </w:rPr>
        <w:t xml:space="preserve"> Es aquella apta para consumo humano que se obtiene directamente de un manantial natural o de una fuente perforada de ag</w:t>
      </w:r>
      <w:r>
        <w:rPr>
          <w:rFonts w:ascii="Arial" w:eastAsia="Arial" w:hAnsi="Arial" w:cs="Arial"/>
          <w:sz w:val="22"/>
          <w:szCs w:val="22"/>
        </w:rPr>
        <w:t>ua subterránea procedente de estratos acuíferos no sujeto a influencia externa de aguas superficiales y con perímetros protegidos; a modo de evitar que las calidades químicas o físicas del agua mineral natural sufran algún tipo de contaminación y provenien</w:t>
      </w:r>
      <w:r>
        <w:rPr>
          <w:rFonts w:ascii="Arial" w:eastAsia="Arial" w:hAnsi="Arial" w:cs="Arial"/>
          <w:sz w:val="22"/>
          <w:szCs w:val="22"/>
        </w:rPr>
        <w:t>te de una fuente explotada mediante una o varias captaciones en los puntos de surgencias naturales o producidas por perforación. Tiene una composición, flujo y temperaturas constantes, teniendo en cuenta las fluctuaciones estacionales normales y envasada e</w:t>
      </w:r>
      <w:r>
        <w:rPr>
          <w:rFonts w:ascii="Arial" w:eastAsia="Arial" w:hAnsi="Arial" w:cs="Arial"/>
          <w:sz w:val="22"/>
          <w:szCs w:val="22"/>
        </w:rPr>
        <w:t xml:space="preserve">n el lugar de </w:t>
      </w:r>
      <w:proofErr w:type="spellStart"/>
      <w:proofErr w:type="gramStart"/>
      <w:r>
        <w:rPr>
          <w:rFonts w:ascii="Arial" w:eastAsia="Arial" w:hAnsi="Arial" w:cs="Arial"/>
          <w:sz w:val="22"/>
          <w:szCs w:val="22"/>
        </w:rPr>
        <w:t>extracción,pudiendo</w:t>
      </w:r>
      <w:proofErr w:type="spellEnd"/>
      <w:proofErr w:type="gramEnd"/>
      <w:r>
        <w:rPr>
          <w:rFonts w:ascii="Arial" w:eastAsia="Arial" w:hAnsi="Arial" w:cs="Arial"/>
          <w:sz w:val="22"/>
          <w:szCs w:val="22"/>
        </w:rPr>
        <w:t xml:space="preserve"> ser incorporada de gas carbónico procedente o no de la fuente.</w:t>
      </w:r>
    </w:p>
    <w:p w:rsidR="00E85227" w:rsidRDefault="00E85227">
      <w:pPr>
        <w:tabs>
          <w:tab w:val="left" w:pos="390"/>
        </w:tabs>
        <w:ind w:left="2160" w:right="820"/>
        <w:jc w:val="both"/>
        <w:rPr>
          <w:rFonts w:ascii="Arial" w:eastAsia="Arial" w:hAnsi="Arial" w:cs="Arial"/>
          <w:sz w:val="10"/>
          <w:szCs w:val="10"/>
        </w:rPr>
      </w:pPr>
    </w:p>
    <w:p w:rsidR="00E85227" w:rsidRDefault="00BF240B">
      <w:pPr>
        <w:tabs>
          <w:tab w:val="left" w:pos="390"/>
        </w:tabs>
        <w:ind w:left="2160" w:right="820"/>
        <w:jc w:val="both"/>
        <w:rPr>
          <w:rFonts w:ascii="Arial" w:eastAsia="Arial" w:hAnsi="Arial" w:cs="Arial"/>
          <w:sz w:val="22"/>
          <w:szCs w:val="22"/>
        </w:rPr>
      </w:pPr>
      <w:r>
        <w:rPr>
          <w:rFonts w:ascii="Arial" w:eastAsia="Arial" w:hAnsi="Arial" w:cs="Arial"/>
          <w:sz w:val="22"/>
          <w:szCs w:val="22"/>
        </w:rPr>
        <w:t xml:space="preserve">De acuerdo al grado de mineralización, determinado por el residuo seco a 180ºC, los tipos de aguas minerales naturales se determinarán conforme a la tabla de </w:t>
      </w:r>
      <w:r>
        <w:rPr>
          <w:rFonts w:ascii="Arial" w:eastAsia="Arial" w:hAnsi="Arial" w:cs="Arial"/>
          <w:sz w:val="22"/>
          <w:szCs w:val="22"/>
        </w:rPr>
        <w:t>grado de mineralización de las aguas minerales naturales y mineralizadas, que como Anexo forma parte de la presente Resolución.</w:t>
      </w:r>
    </w:p>
    <w:p w:rsidR="00E85227" w:rsidRDefault="00E85227">
      <w:pPr>
        <w:tabs>
          <w:tab w:val="left" w:pos="390"/>
        </w:tabs>
        <w:ind w:left="2160" w:right="820"/>
        <w:jc w:val="both"/>
        <w:rPr>
          <w:rFonts w:ascii="Arial" w:eastAsia="Arial" w:hAnsi="Arial" w:cs="Arial"/>
          <w:sz w:val="22"/>
          <w:szCs w:val="22"/>
        </w:rPr>
      </w:pPr>
    </w:p>
    <w:p w:rsidR="00E85227" w:rsidRDefault="00BF240B">
      <w:pPr>
        <w:numPr>
          <w:ilvl w:val="0"/>
          <w:numId w:val="1"/>
        </w:numPr>
        <w:tabs>
          <w:tab w:val="left" w:pos="390"/>
        </w:tabs>
        <w:ind w:right="820"/>
        <w:jc w:val="both"/>
        <w:rPr>
          <w:rFonts w:ascii="Arial" w:eastAsia="Arial" w:hAnsi="Arial" w:cs="Arial"/>
          <w:sz w:val="22"/>
          <w:szCs w:val="22"/>
        </w:rPr>
      </w:pPr>
      <w:r>
        <w:rPr>
          <w:rFonts w:ascii="Arial" w:eastAsia="Arial" w:hAnsi="Arial" w:cs="Arial"/>
          <w:b/>
          <w:sz w:val="22"/>
          <w:szCs w:val="22"/>
        </w:rPr>
        <w:t xml:space="preserve">Agua mineral natural aromatizada o saborizada: </w:t>
      </w:r>
      <w:r>
        <w:rPr>
          <w:rFonts w:ascii="Arial" w:eastAsia="Arial" w:hAnsi="Arial" w:cs="Arial"/>
          <w:sz w:val="22"/>
          <w:szCs w:val="22"/>
        </w:rPr>
        <w:t xml:space="preserve">Es el producto elaborado con agua mineral natural, según se define en el literal a), adicionada únicamente de sustancias aromatizantes o saborizantes de uso permitido, y envasada en envases aptos para estar en contacto con alimentos.  </w:t>
      </w:r>
    </w:p>
    <w:p w:rsidR="00E85227" w:rsidRDefault="00E85227">
      <w:pPr>
        <w:tabs>
          <w:tab w:val="left" w:pos="390"/>
        </w:tabs>
        <w:ind w:left="2160" w:right="820"/>
        <w:jc w:val="both"/>
        <w:rPr>
          <w:rFonts w:ascii="Arial" w:eastAsia="Arial" w:hAnsi="Arial" w:cs="Arial"/>
          <w:sz w:val="22"/>
          <w:szCs w:val="22"/>
        </w:rPr>
      </w:pPr>
    </w:p>
    <w:p w:rsidR="00E85227" w:rsidRDefault="00BF240B">
      <w:pPr>
        <w:numPr>
          <w:ilvl w:val="0"/>
          <w:numId w:val="1"/>
        </w:numPr>
        <w:tabs>
          <w:tab w:val="left" w:pos="390"/>
        </w:tabs>
        <w:ind w:right="820"/>
        <w:jc w:val="both"/>
        <w:rPr>
          <w:rFonts w:ascii="Arial" w:eastAsia="Arial" w:hAnsi="Arial" w:cs="Arial"/>
          <w:sz w:val="22"/>
          <w:szCs w:val="22"/>
        </w:rPr>
      </w:pPr>
      <w:r>
        <w:rPr>
          <w:rFonts w:ascii="Arial" w:eastAsia="Arial" w:hAnsi="Arial" w:cs="Arial"/>
          <w:b/>
          <w:sz w:val="22"/>
          <w:szCs w:val="22"/>
        </w:rPr>
        <w:t>Agua mineralizada:</w:t>
      </w:r>
      <w:r>
        <w:rPr>
          <w:rFonts w:ascii="Arial" w:eastAsia="Arial" w:hAnsi="Arial" w:cs="Arial"/>
          <w:sz w:val="22"/>
          <w:szCs w:val="22"/>
        </w:rPr>
        <w:t xml:space="preserve"> </w:t>
      </w:r>
      <w:r>
        <w:rPr>
          <w:rFonts w:ascii="Arial" w:eastAsia="Arial" w:hAnsi="Arial" w:cs="Arial"/>
          <w:sz w:val="22"/>
          <w:szCs w:val="22"/>
        </w:rPr>
        <w:t>Es aquella que ha sido elaborada con agua potable adicionada de sales minerales de uso permitido, gasificada o no. Tiene la composición química constante de acuerdo a la formulación declarada en la etiqueta, teniendo en cuenta la tolerancia técnica normal.</w:t>
      </w:r>
      <w:r>
        <w:rPr>
          <w:rFonts w:ascii="Arial" w:eastAsia="Arial" w:hAnsi="Arial" w:cs="Arial"/>
          <w:sz w:val="22"/>
          <w:szCs w:val="22"/>
        </w:rPr>
        <w:t xml:space="preserve"> Deberá responder a la tabla de grado de mineralización de las aguas minerales naturales y mineralizadas, conforme </w:t>
      </w:r>
      <w:proofErr w:type="spellStart"/>
      <w:r>
        <w:rPr>
          <w:rFonts w:ascii="Arial" w:eastAsia="Arial" w:hAnsi="Arial" w:cs="Arial"/>
          <w:sz w:val="22"/>
          <w:szCs w:val="22"/>
        </w:rPr>
        <w:t>all</w:t>
      </w:r>
      <w:proofErr w:type="spellEnd"/>
      <w:r>
        <w:rPr>
          <w:rFonts w:ascii="Arial" w:eastAsia="Arial" w:hAnsi="Arial" w:cs="Arial"/>
          <w:sz w:val="22"/>
          <w:szCs w:val="22"/>
        </w:rPr>
        <w:t xml:space="preserve"> Anexo que forma parte de la presente Resolución.</w:t>
      </w:r>
    </w:p>
    <w:p w:rsidR="00E85227" w:rsidRDefault="00E85227">
      <w:pPr>
        <w:tabs>
          <w:tab w:val="left" w:pos="390"/>
        </w:tabs>
        <w:ind w:left="2160" w:right="820"/>
        <w:jc w:val="both"/>
        <w:rPr>
          <w:rFonts w:ascii="Arial" w:eastAsia="Arial" w:hAnsi="Arial" w:cs="Arial"/>
          <w:sz w:val="22"/>
          <w:szCs w:val="22"/>
        </w:rPr>
      </w:pPr>
    </w:p>
    <w:p w:rsidR="00E85227" w:rsidRDefault="00BF240B">
      <w:pPr>
        <w:numPr>
          <w:ilvl w:val="0"/>
          <w:numId w:val="1"/>
        </w:numPr>
        <w:tabs>
          <w:tab w:val="left" w:pos="390"/>
        </w:tabs>
        <w:ind w:right="820"/>
        <w:jc w:val="both"/>
        <w:rPr>
          <w:rFonts w:ascii="Arial" w:eastAsia="Arial" w:hAnsi="Arial" w:cs="Arial"/>
          <w:sz w:val="22"/>
          <w:szCs w:val="22"/>
        </w:rPr>
      </w:pPr>
      <w:r>
        <w:rPr>
          <w:rFonts w:ascii="Arial" w:eastAsia="Arial" w:hAnsi="Arial" w:cs="Arial"/>
          <w:b/>
          <w:sz w:val="22"/>
          <w:szCs w:val="22"/>
        </w:rPr>
        <w:t>Agua mineralizada aromatizada:</w:t>
      </w:r>
      <w:r>
        <w:rPr>
          <w:rFonts w:ascii="Arial" w:eastAsia="Arial" w:hAnsi="Arial" w:cs="Arial"/>
          <w:sz w:val="22"/>
          <w:szCs w:val="22"/>
        </w:rPr>
        <w:t xml:space="preserve"> Es aquella que ha sido elaborada con agua mineralizada, </w:t>
      </w:r>
      <w:r>
        <w:rPr>
          <w:rFonts w:ascii="Arial" w:eastAsia="Arial" w:hAnsi="Arial" w:cs="Arial"/>
          <w:sz w:val="22"/>
          <w:szCs w:val="22"/>
        </w:rPr>
        <w:t xml:space="preserve">según se define en el literal c), adicionada </w:t>
      </w:r>
      <w:r>
        <w:rPr>
          <w:rFonts w:ascii="Arial" w:eastAsia="Arial" w:hAnsi="Arial" w:cs="Arial"/>
          <w:sz w:val="22"/>
          <w:szCs w:val="22"/>
        </w:rPr>
        <w:lastRenderedPageBreak/>
        <w:t>únicamente de sustancias aromatizantes o saborizantes de uso permitido.</w:t>
      </w:r>
    </w:p>
    <w:p w:rsidR="00E85227" w:rsidRDefault="00E85227">
      <w:pPr>
        <w:tabs>
          <w:tab w:val="left" w:pos="390"/>
        </w:tabs>
        <w:ind w:left="2160" w:right="820"/>
        <w:jc w:val="both"/>
        <w:rPr>
          <w:rFonts w:ascii="Arial" w:eastAsia="Arial" w:hAnsi="Arial" w:cs="Arial"/>
          <w:sz w:val="22"/>
          <w:szCs w:val="22"/>
        </w:rPr>
      </w:pPr>
    </w:p>
    <w:p w:rsidR="00E85227" w:rsidRDefault="00BF240B">
      <w:pPr>
        <w:numPr>
          <w:ilvl w:val="0"/>
          <w:numId w:val="1"/>
        </w:numPr>
        <w:tabs>
          <w:tab w:val="left" w:pos="390"/>
        </w:tabs>
        <w:ind w:right="820"/>
        <w:jc w:val="both"/>
        <w:rPr>
          <w:rFonts w:ascii="Arial" w:eastAsia="Arial" w:hAnsi="Arial" w:cs="Arial"/>
          <w:sz w:val="22"/>
          <w:szCs w:val="22"/>
        </w:rPr>
      </w:pPr>
      <w:r>
        <w:rPr>
          <w:rFonts w:ascii="Arial" w:eastAsia="Arial" w:hAnsi="Arial" w:cs="Arial"/>
          <w:b/>
          <w:sz w:val="22"/>
          <w:szCs w:val="22"/>
        </w:rPr>
        <w:t>Agua de mesa:</w:t>
      </w:r>
      <w:r>
        <w:rPr>
          <w:rFonts w:ascii="Arial" w:eastAsia="Arial" w:hAnsi="Arial" w:cs="Arial"/>
          <w:sz w:val="22"/>
          <w:szCs w:val="22"/>
        </w:rPr>
        <w:t xml:space="preserve"> Es el agua apta para el consumo humano, de origen subterráneo o proveniente de un abastecimiento público, que se comercializa envasada en botellas, contenedores u otros envases. Se permite el adicionado de gas carbónico, en cuyo caso la presión del gas no</w:t>
      </w:r>
      <w:r>
        <w:rPr>
          <w:rFonts w:ascii="Arial" w:eastAsia="Arial" w:hAnsi="Arial" w:cs="Arial"/>
          <w:sz w:val="22"/>
          <w:szCs w:val="22"/>
        </w:rPr>
        <w:t xml:space="preserve"> puede ser menor de 1,5 atmósferas medidas a 21 °C. </w:t>
      </w:r>
    </w:p>
    <w:p w:rsidR="00E85227" w:rsidRDefault="00E85227">
      <w:pPr>
        <w:tabs>
          <w:tab w:val="left" w:pos="390"/>
        </w:tabs>
        <w:ind w:left="2160" w:right="820"/>
        <w:jc w:val="both"/>
        <w:rPr>
          <w:rFonts w:ascii="Arial" w:eastAsia="Arial" w:hAnsi="Arial" w:cs="Arial"/>
          <w:sz w:val="22"/>
          <w:szCs w:val="22"/>
        </w:rPr>
      </w:pPr>
    </w:p>
    <w:p w:rsidR="00E85227" w:rsidRDefault="00BF240B">
      <w:pPr>
        <w:numPr>
          <w:ilvl w:val="0"/>
          <w:numId w:val="1"/>
        </w:numPr>
        <w:tabs>
          <w:tab w:val="left" w:pos="390"/>
        </w:tabs>
        <w:ind w:right="820"/>
        <w:jc w:val="both"/>
        <w:rPr>
          <w:rFonts w:ascii="Arial" w:eastAsia="Arial" w:hAnsi="Arial" w:cs="Arial"/>
          <w:sz w:val="22"/>
          <w:szCs w:val="22"/>
        </w:rPr>
      </w:pPr>
      <w:r>
        <w:rPr>
          <w:rFonts w:ascii="Arial" w:eastAsia="Arial" w:hAnsi="Arial" w:cs="Arial"/>
          <w:b/>
          <w:sz w:val="22"/>
          <w:szCs w:val="22"/>
        </w:rPr>
        <w:t>Agua de mesa aromatizada:</w:t>
      </w:r>
      <w:r>
        <w:rPr>
          <w:rFonts w:ascii="Arial" w:eastAsia="Arial" w:hAnsi="Arial" w:cs="Arial"/>
          <w:sz w:val="22"/>
          <w:szCs w:val="22"/>
        </w:rPr>
        <w:t xml:space="preserve"> Es aquella que ha sido elaborada con agua de mesa, según se define en el literal e), adicionada únicamente de sustancias aromatizantes o saborizantes de uso permitido. </w:t>
      </w:r>
    </w:p>
    <w:p w:rsidR="00E85227" w:rsidRDefault="00E85227">
      <w:pPr>
        <w:tabs>
          <w:tab w:val="left" w:pos="390"/>
        </w:tabs>
        <w:ind w:left="2160" w:right="820"/>
        <w:jc w:val="both"/>
        <w:rPr>
          <w:rFonts w:ascii="Arial" w:eastAsia="Arial" w:hAnsi="Arial" w:cs="Arial"/>
          <w:sz w:val="22"/>
          <w:szCs w:val="22"/>
        </w:rPr>
      </w:pPr>
    </w:p>
    <w:p w:rsidR="00E85227" w:rsidRDefault="00BF240B">
      <w:pPr>
        <w:ind w:left="1417" w:right="820"/>
        <w:jc w:val="both"/>
        <w:rPr>
          <w:rFonts w:ascii="Arial" w:eastAsia="Arial" w:hAnsi="Arial" w:cs="Arial"/>
          <w:sz w:val="22"/>
          <w:szCs w:val="22"/>
        </w:rPr>
      </w:pPr>
      <w:r>
        <w:rPr>
          <w:rFonts w:ascii="Arial" w:eastAsia="Arial" w:hAnsi="Arial" w:cs="Arial"/>
          <w:b/>
          <w:sz w:val="22"/>
          <w:szCs w:val="22"/>
        </w:rPr>
        <w:t>Artícu</w:t>
      </w:r>
      <w:r>
        <w:rPr>
          <w:rFonts w:ascii="Arial" w:eastAsia="Arial" w:hAnsi="Arial" w:cs="Arial"/>
          <w:b/>
          <w:sz w:val="22"/>
          <w:szCs w:val="22"/>
        </w:rPr>
        <w:t>lo 3</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Disponer que a las aguas envasadas, le corresponden las siguientes denominaciones de ventas, según su clasificación:</w:t>
      </w:r>
    </w:p>
    <w:p w:rsidR="00E85227" w:rsidRDefault="00E85227">
      <w:pPr>
        <w:ind w:left="1417" w:right="820"/>
        <w:jc w:val="both"/>
        <w:rPr>
          <w:rFonts w:ascii="Arial" w:eastAsia="Arial" w:hAnsi="Arial" w:cs="Arial"/>
          <w:b/>
          <w:sz w:val="22"/>
          <w:szCs w:val="22"/>
        </w:rPr>
      </w:pPr>
    </w:p>
    <w:p w:rsidR="00E85227" w:rsidRDefault="00BF240B">
      <w:pPr>
        <w:numPr>
          <w:ilvl w:val="0"/>
          <w:numId w:val="2"/>
        </w:numPr>
        <w:tabs>
          <w:tab w:val="left" w:pos="390"/>
        </w:tabs>
        <w:ind w:right="820" w:hanging="360"/>
        <w:jc w:val="both"/>
        <w:rPr>
          <w:rFonts w:ascii="Arial" w:eastAsia="Arial" w:hAnsi="Arial" w:cs="Arial"/>
          <w:b/>
          <w:sz w:val="22"/>
          <w:szCs w:val="22"/>
        </w:rPr>
      </w:pPr>
      <w:r>
        <w:rPr>
          <w:rFonts w:ascii="Arial" w:eastAsia="Arial" w:hAnsi="Arial" w:cs="Arial"/>
          <w:b/>
          <w:sz w:val="22"/>
          <w:szCs w:val="22"/>
        </w:rPr>
        <w:t xml:space="preserve">Agua mineral natural: </w:t>
      </w:r>
      <w:r>
        <w:rPr>
          <w:rFonts w:ascii="Arial" w:eastAsia="Arial" w:hAnsi="Arial" w:cs="Arial"/>
          <w:sz w:val="22"/>
          <w:szCs w:val="22"/>
        </w:rPr>
        <w:t>«Agua Mineral Natural», acompañada del calificativo «con gas» o «gasificada», «sin gas» o «no gasificada», o</w:t>
      </w:r>
      <w:r>
        <w:rPr>
          <w:rFonts w:ascii="Arial" w:eastAsia="Arial" w:hAnsi="Arial" w:cs="Arial"/>
          <w:sz w:val="22"/>
          <w:szCs w:val="22"/>
        </w:rPr>
        <w:t xml:space="preserve"> «naturalmente gaseosa»; según corresponda. Especificando además el grado de mineralización, conforme a la tabla que forma parte del Anexo de la presente Resolución.</w:t>
      </w:r>
    </w:p>
    <w:p w:rsidR="00E85227" w:rsidRDefault="00E85227">
      <w:pPr>
        <w:tabs>
          <w:tab w:val="left" w:pos="390"/>
        </w:tabs>
        <w:ind w:left="720" w:right="820"/>
        <w:jc w:val="both"/>
        <w:rPr>
          <w:rFonts w:ascii="Arial" w:eastAsia="Arial" w:hAnsi="Arial" w:cs="Arial"/>
          <w:sz w:val="22"/>
          <w:szCs w:val="22"/>
        </w:rPr>
      </w:pPr>
    </w:p>
    <w:p w:rsidR="00E85227" w:rsidRDefault="00BF240B">
      <w:pPr>
        <w:numPr>
          <w:ilvl w:val="0"/>
          <w:numId w:val="2"/>
        </w:numPr>
        <w:tabs>
          <w:tab w:val="left" w:pos="390"/>
        </w:tabs>
        <w:ind w:right="820" w:hanging="360"/>
        <w:jc w:val="both"/>
        <w:rPr>
          <w:rFonts w:ascii="Arial" w:eastAsia="Arial" w:hAnsi="Arial" w:cs="Arial"/>
          <w:sz w:val="22"/>
          <w:szCs w:val="22"/>
        </w:rPr>
      </w:pPr>
      <w:r>
        <w:rPr>
          <w:rFonts w:ascii="Arial" w:eastAsia="Arial" w:hAnsi="Arial" w:cs="Arial"/>
          <w:b/>
          <w:sz w:val="22"/>
          <w:szCs w:val="22"/>
        </w:rPr>
        <w:t xml:space="preserve">Agua mineral natural aromatizada o saborizada: </w:t>
      </w:r>
      <w:r>
        <w:rPr>
          <w:rFonts w:ascii="Arial" w:eastAsia="Arial" w:hAnsi="Arial" w:cs="Arial"/>
          <w:sz w:val="22"/>
          <w:szCs w:val="22"/>
        </w:rPr>
        <w:t>Agua Mineral Natural Aromatizada (o Sabori</w:t>
      </w:r>
      <w:r>
        <w:rPr>
          <w:rFonts w:ascii="Arial" w:eastAsia="Arial" w:hAnsi="Arial" w:cs="Arial"/>
          <w:sz w:val="22"/>
          <w:szCs w:val="22"/>
        </w:rPr>
        <w:t xml:space="preserve">zada)», seguido de la leyenda «con </w:t>
      </w:r>
      <w:proofErr w:type="gramStart"/>
      <w:r>
        <w:rPr>
          <w:rFonts w:ascii="Arial" w:eastAsia="Arial" w:hAnsi="Arial" w:cs="Arial"/>
          <w:sz w:val="22"/>
          <w:szCs w:val="22"/>
        </w:rPr>
        <w:t>sabor  a</w:t>
      </w:r>
      <w:proofErr w:type="gramEnd"/>
      <w:r>
        <w:rPr>
          <w:rFonts w:ascii="Arial" w:eastAsia="Arial" w:hAnsi="Arial" w:cs="Arial"/>
          <w:sz w:val="22"/>
          <w:szCs w:val="22"/>
        </w:rPr>
        <w:t xml:space="preserve"> ...» o «con aroma a...» llenando el espacio en blanco con el sabor o aroma que lo caracteriza, acompañado del calificativo «con gas» o «gasificada», «sin gas» o «no gasificada», o «naturalmente gaseosa»; según co</w:t>
      </w:r>
      <w:r>
        <w:rPr>
          <w:rFonts w:ascii="Arial" w:eastAsia="Arial" w:hAnsi="Arial" w:cs="Arial"/>
          <w:sz w:val="22"/>
          <w:szCs w:val="22"/>
        </w:rPr>
        <w:t>rresponda.</w:t>
      </w:r>
    </w:p>
    <w:p w:rsidR="00E85227" w:rsidRDefault="00E85227">
      <w:pPr>
        <w:tabs>
          <w:tab w:val="left" w:pos="390"/>
        </w:tabs>
        <w:ind w:left="720" w:right="820"/>
        <w:jc w:val="both"/>
        <w:rPr>
          <w:rFonts w:ascii="Arial" w:eastAsia="Arial" w:hAnsi="Arial" w:cs="Arial"/>
          <w:sz w:val="22"/>
          <w:szCs w:val="22"/>
        </w:rPr>
      </w:pPr>
    </w:p>
    <w:p w:rsidR="00E85227" w:rsidRDefault="00BF240B">
      <w:pPr>
        <w:numPr>
          <w:ilvl w:val="0"/>
          <w:numId w:val="2"/>
        </w:numPr>
        <w:tabs>
          <w:tab w:val="left" w:pos="390"/>
        </w:tabs>
        <w:ind w:right="820" w:hanging="360"/>
        <w:jc w:val="both"/>
        <w:rPr>
          <w:rFonts w:ascii="Arial" w:eastAsia="Arial" w:hAnsi="Arial" w:cs="Arial"/>
          <w:sz w:val="22"/>
          <w:szCs w:val="22"/>
        </w:rPr>
      </w:pPr>
      <w:r>
        <w:rPr>
          <w:rFonts w:ascii="Arial" w:eastAsia="Arial" w:hAnsi="Arial" w:cs="Arial"/>
          <w:b/>
          <w:sz w:val="22"/>
          <w:szCs w:val="22"/>
        </w:rPr>
        <w:t xml:space="preserve">Agua mineralizada: </w:t>
      </w:r>
      <w:r>
        <w:rPr>
          <w:rFonts w:ascii="Arial" w:eastAsia="Arial" w:hAnsi="Arial" w:cs="Arial"/>
          <w:sz w:val="22"/>
          <w:szCs w:val="22"/>
        </w:rPr>
        <w:t xml:space="preserve">Agua Mineralizada», acompañada del calificativo «con gas» o «gasificada», o «sin gas» o «no gasificada», según corresponda. Especificando además el grado de mineralización, conforme a la tabla que forma parte del Anexo de la </w:t>
      </w:r>
      <w:r>
        <w:rPr>
          <w:rFonts w:ascii="Arial" w:eastAsia="Arial" w:hAnsi="Arial" w:cs="Arial"/>
          <w:sz w:val="22"/>
          <w:szCs w:val="22"/>
        </w:rPr>
        <w:t>presente Resolución.</w:t>
      </w:r>
    </w:p>
    <w:p w:rsidR="00E85227" w:rsidRDefault="00E85227">
      <w:pPr>
        <w:tabs>
          <w:tab w:val="left" w:pos="390"/>
        </w:tabs>
        <w:ind w:left="720" w:right="820"/>
        <w:jc w:val="both"/>
        <w:rPr>
          <w:rFonts w:ascii="Arial" w:eastAsia="Arial" w:hAnsi="Arial" w:cs="Arial"/>
          <w:sz w:val="22"/>
          <w:szCs w:val="22"/>
        </w:rPr>
      </w:pPr>
    </w:p>
    <w:p w:rsidR="00E85227" w:rsidRDefault="00BF240B">
      <w:pPr>
        <w:numPr>
          <w:ilvl w:val="0"/>
          <w:numId w:val="2"/>
        </w:numPr>
        <w:tabs>
          <w:tab w:val="left" w:pos="390"/>
        </w:tabs>
        <w:ind w:right="820" w:hanging="360"/>
        <w:jc w:val="both"/>
        <w:rPr>
          <w:rFonts w:ascii="Arial" w:eastAsia="Arial" w:hAnsi="Arial" w:cs="Arial"/>
          <w:sz w:val="22"/>
          <w:szCs w:val="22"/>
        </w:rPr>
      </w:pPr>
      <w:r>
        <w:rPr>
          <w:rFonts w:ascii="Arial" w:eastAsia="Arial" w:hAnsi="Arial" w:cs="Arial"/>
          <w:b/>
          <w:sz w:val="22"/>
          <w:szCs w:val="22"/>
        </w:rPr>
        <w:t xml:space="preserve">Agua mineralizada aromatizada: </w:t>
      </w:r>
      <w:r>
        <w:rPr>
          <w:rFonts w:ascii="Arial" w:eastAsia="Arial" w:hAnsi="Arial" w:cs="Arial"/>
          <w:sz w:val="22"/>
          <w:szCs w:val="22"/>
        </w:rPr>
        <w:t xml:space="preserve">«Agua Mineralizada Aromatizada (o Saborizada)», seguido de la leyenda «con </w:t>
      </w:r>
      <w:proofErr w:type="gramStart"/>
      <w:r>
        <w:rPr>
          <w:rFonts w:ascii="Arial" w:eastAsia="Arial" w:hAnsi="Arial" w:cs="Arial"/>
          <w:sz w:val="22"/>
          <w:szCs w:val="22"/>
        </w:rPr>
        <w:t>sabor  a</w:t>
      </w:r>
      <w:proofErr w:type="gramEnd"/>
      <w:r>
        <w:rPr>
          <w:rFonts w:ascii="Arial" w:eastAsia="Arial" w:hAnsi="Arial" w:cs="Arial"/>
          <w:sz w:val="22"/>
          <w:szCs w:val="22"/>
        </w:rPr>
        <w:t xml:space="preserve"> ...» o «con aroma </w:t>
      </w:r>
      <w:r>
        <w:rPr>
          <w:rFonts w:ascii="Arial" w:eastAsia="Arial" w:hAnsi="Arial" w:cs="Arial"/>
          <w:sz w:val="22"/>
          <w:szCs w:val="22"/>
        </w:rPr>
        <w:lastRenderedPageBreak/>
        <w:t>a...» llenando el espacio en blanco con el sabor o aroma que lo caracteriza, acompañado del calificat</w:t>
      </w:r>
      <w:r>
        <w:rPr>
          <w:rFonts w:ascii="Arial" w:eastAsia="Arial" w:hAnsi="Arial" w:cs="Arial"/>
          <w:sz w:val="22"/>
          <w:szCs w:val="22"/>
        </w:rPr>
        <w:t>ivo «con gas» o «gasificada», «sin gas» o «no gasificada»; según corresponda.</w:t>
      </w:r>
    </w:p>
    <w:p w:rsidR="00E85227" w:rsidRDefault="00E85227">
      <w:pPr>
        <w:tabs>
          <w:tab w:val="left" w:pos="390"/>
        </w:tabs>
        <w:ind w:left="2125" w:right="820"/>
        <w:jc w:val="both"/>
        <w:rPr>
          <w:rFonts w:ascii="Arial" w:eastAsia="Arial" w:hAnsi="Arial" w:cs="Arial"/>
          <w:sz w:val="22"/>
          <w:szCs w:val="22"/>
        </w:rPr>
      </w:pPr>
    </w:p>
    <w:p w:rsidR="00E85227" w:rsidRDefault="00BF240B">
      <w:pPr>
        <w:numPr>
          <w:ilvl w:val="0"/>
          <w:numId w:val="2"/>
        </w:numPr>
        <w:tabs>
          <w:tab w:val="left" w:pos="390"/>
        </w:tabs>
        <w:ind w:right="820" w:hanging="360"/>
        <w:jc w:val="both"/>
        <w:rPr>
          <w:rFonts w:ascii="Arial" w:eastAsia="Arial" w:hAnsi="Arial" w:cs="Arial"/>
          <w:sz w:val="22"/>
          <w:szCs w:val="22"/>
        </w:rPr>
      </w:pPr>
      <w:r>
        <w:rPr>
          <w:rFonts w:ascii="Arial" w:eastAsia="Arial" w:hAnsi="Arial" w:cs="Arial"/>
          <w:b/>
          <w:sz w:val="22"/>
          <w:szCs w:val="22"/>
        </w:rPr>
        <w:t xml:space="preserve">Agua de mesa: </w:t>
      </w:r>
      <w:r>
        <w:rPr>
          <w:rFonts w:ascii="Arial" w:eastAsia="Arial" w:hAnsi="Arial" w:cs="Arial"/>
          <w:sz w:val="22"/>
          <w:szCs w:val="22"/>
        </w:rPr>
        <w:t>«Agua envasada» o «Agua tratada envasada» o «Agua de Mesa envasada», acompañado del calificativo «sin gas» o «no gasificada», «con gas», «gasificada» o «Soda en bo</w:t>
      </w:r>
      <w:r>
        <w:rPr>
          <w:rFonts w:ascii="Arial" w:eastAsia="Arial" w:hAnsi="Arial" w:cs="Arial"/>
          <w:sz w:val="22"/>
          <w:szCs w:val="22"/>
        </w:rPr>
        <w:t>tellas»; según corresponda.</w:t>
      </w:r>
    </w:p>
    <w:p w:rsidR="00E85227" w:rsidRDefault="00E85227">
      <w:pPr>
        <w:tabs>
          <w:tab w:val="left" w:pos="390"/>
        </w:tabs>
        <w:ind w:left="720" w:right="820"/>
        <w:jc w:val="both"/>
        <w:rPr>
          <w:rFonts w:ascii="Arial" w:eastAsia="Arial" w:hAnsi="Arial" w:cs="Arial"/>
          <w:sz w:val="22"/>
          <w:szCs w:val="22"/>
        </w:rPr>
      </w:pPr>
    </w:p>
    <w:p w:rsidR="00E85227" w:rsidRDefault="00BF240B">
      <w:pPr>
        <w:numPr>
          <w:ilvl w:val="0"/>
          <w:numId w:val="2"/>
        </w:numPr>
        <w:tabs>
          <w:tab w:val="left" w:pos="390"/>
        </w:tabs>
        <w:ind w:right="820" w:hanging="360"/>
        <w:jc w:val="both"/>
        <w:rPr>
          <w:rFonts w:ascii="Arial" w:eastAsia="Arial" w:hAnsi="Arial" w:cs="Arial"/>
          <w:sz w:val="22"/>
          <w:szCs w:val="22"/>
        </w:rPr>
      </w:pPr>
      <w:r>
        <w:rPr>
          <w:rFonts w:ascii="Arial" w:eastAsia="Arial" w:hAnsi="Arial" w:cs="Arial"/>
          <w:b/>
          <w:sz w:val="22"/>
          <w:szCs w:val="22"/>
        </w:rPr>
        <w:t xml:space="preserve">Agua de mesa aromatizada: </w:t>
      </w:r>
      <w:r>
        <w:rPr>
          <w:rFonts w:ascii="Arial" w:eastAsia="Arial" w:hAnsi="Arial" w:cs="Arial"/>
          <w:sz w:val="22"/>
          <w:szCs w:val="22"/>
        </w:rPr>
        <w:t xml:space="preserve">«Agua de mesa Aromatizada (o Saborizada)», seguido de la leyenda «con </w:t>
      </w:r>
      <w:proofErr w:type="gramStart"/>
      <w:r>
        <w:rPr>
          <w:rFonts w:ascii="Arial" w:eastAsia="Arial" w:hAnsi="Arial" w:cs="Arial"/>
          <w:sz w:val="22"/>
          <w:szCs w:val="22"/>
        </w:rPr>
        <w:t>sabor  a</w:t>
      </w:r>
      <w:proofErr w:type="gramEnd"/>
      <w:r>
        <w:rPr>
          <w:rFonts w:ascii="Arial" w:eastAsia="Arial" w:hAnsi="Arial" w:cs="Arial"/>
          <w:sz w:val="22"/>
          <w:szCs w:val="22"/>
        </w:rPr>
        <w:t xml:space="preserve"> ...» o «con aroma a...» llenando el espacio en blanco con el sabor o aroma que lo caracteriza, acompañado del calificativo</w:t>
      </w:r>
      <w:r>
        <w:rPr>
          <w:rFonts w:ascii="Arial" w:eastAsia="Arial" w:hAnsi="Arial" w:cs="Arial"/>
          <w:sz w:val="22"/>
          <w:szCs w:val="22"/>
        </w:rPr>
        <w:t xml:space="preserve"> «con gas» o «gasificada», «sin gas» o «no gasificada»; según corresponda.</w:t>
      </w:r>
    </w:p>
    <w:p w:rsidR="00E85227" w:rsidRDefault="00E85227">
      <w:pPr>
        <w:tabs>
          <w:tab w:val="left" w:pos="390"/>
        </w:tabs>
        <w:ind w:left="2125" w:right="820"/>
        <w:jc w:val="both"/>
        <w:rPr>
          <w:rFonts w:ascii="Arial" w:eastAsia="Arial" w:hAnsi="Arial" w:cs="Arial"/>
          <w:sz w:val="10"/>
          <w:szCs w:val="10"/>
        </w:rPr>
      </w:pPr>
    </w:p>
    <w:p w:rsidR="00E85227" w:rsidRDefault="00BF240B">
      <w:pPr>
        <w:tabs>
          <w:tab w:val="left" w:pos="390"/>
        </w:tabs>
        <w:ind w:left="1417" w:right="820" w:hanging="1417"/>
        <w:jc w:val="both"/>
        <w:rPr>
          <w:rFonts w:ascii="Arial" w:eastAsia="Arial" w:hAnsi="Arial" w:cs="Arial"/>
          <w:sz w:val="22"/>
          <w:szCs w:val="22"/>
        </w:rPr>
      </w:pPr>
      <w:r>
        <w:rPr>
          <w:rFonts w:ascii="Arial" w:eastAsia="Arial" w:hAnsi="Arial" w:cs="Arial"/>
          <w:b/>
          <w:sz w:val="22"/>
          <w:szCs w:val="22"/>
        </w:rPr>
        <w:t>Artículo 3</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 xml:space="preserve">Disponer que el etiquetado de las aguas envasadas destinadas al consumo humano, deberá: </w:t>
      </w:r>
    </w:p>
    <w:p w:rsidR="00E85227" w:rsidRDefault="00E85227">
      <w:pPr>
        <w:tabs>
          <w:tab w:val="left" w:pos="390"/>
        </w:tabs>
        <w:ind w:left="1417" w:right="820" w:hanging="1417"/>
        <w:jc w:val="both"/>
        <w:rPr>
          <w:rFonts w:ascii="Arial" w:eastAsia="Arial" w:hAnsi="Arial" w:cs="Arial"/>
          <w:sz w:val="10"/>
          <w:szCs w:val="10"/>
        </w:rPr>
      </w:pPr>
    </w:p>
    <w:p w:rsidR="00E85227" w:rsidRDefault="00BF240B">
      <w:pPr>
        <w:numPr>
          <w:ilvl w:val="0"/>
          <w:numId w:val="3"/>
        </w:numPr>
        <w:tabs>
          <w:tab w:val="left" w:pos="390"/>
        </w:tabs>
        <w:ind w:left="2125" w:right="820"/>
        <w:jc w:val="both"/>
        <w:rPr>
          <w:rFonts w:ascii="Arial" w:eastAsia="Arial" w:hAnsi="Arial" w:cs="Arial"/>
          <w:sz w:val="22"/>
          <w:szCs w:val="22"/>
        </w:rPr>
      </w:pPr>
      <w:r>
        <w:rPr>
          <w:rFonts w:ascii="Arial" w:eastAsia="Arial" w:hAnsi="Arial" w:cs="Arial"/>
          <w:sz w:val="22"/>
          <w:szCs w:val="22"/>
        </w:rPr>
        <w:t>Cumplir con la legislación vigente de etiquetado de alimentos, y a lo establecido en la presente Resolución, sin perjuicio de la aplicación de otros reglamentos técnicos específicos.</w:t>
      </w:r>
    </w:p>
    <w:p w:rsidR="00E85227" w:rsidRDefault="00E85227">
      <w:pPr>
        <w:tabs>
          <w:tab w:val="left" w:pos="390"/>
        </w:tabs>
        <w:ind w:left="720" w:right="820"/>
        <w:jc w:val="both"/>
        <w:rPr>
          <w:rFonts w:ascii="Arial" w:eastAsia="Arial" w:hAnsi="Arial" w:cs="Arial"/>
          <w:sz w:val="10"/>
          <w:szCs w:val="10"/>
        </w:rPr>
      </w:pPr>
    </w:p>
    <w:p w:rsidR="00E85227" w:rsidRDefault="00BF240B">
      <w:pPr>
        <w:numPr>
          <w:ilvl w:val="0"/>
          <w:numId w:val="3"/>
        </w:numPr>
        <w:tabs>
          <w:tab w:val="left" w:pos="390"/>
        </w:tabs>
        <w:ind w:left="2125" w:right="820"/>
        <w:jc w:val="both"/>
        <w:rPr>
          <w:rFonts w:ascii="Arial" w:eastAsia="Arial" w:hAnsi="Arial" w:cs="Arial"/>
          <w:sz w:val="22"/>
          <w:szCs w:val="22"/>
        </w:rPr>
      </w:pPr>
      <w:r>
        <w:rPr>
          <w:rFonts w:ascii="Arial" w:eastAsia="Arial" w:hAnsi="Arial" w:cs="Arial"/>
          <w:sz w:val="22"/>
          <w:szCs w:val="22"/>
        </w:rPr>
        <w:t>Declarar las denominaciones asignadas, según corresponda, obligatoriamen</w:t>
      </w:r>
      <w:r>
        <w:rPr>
          <w:rFonts w:ascii="Arial" w:eastAsia="Arial" w:hAnsi="Arial" w:cs="Arial"/>
          <w:sz w:val="22"/>
          <w:szCs w:val="22"/>
        </w:rPr>
        <w:t xml:space="preserve">te en el etiquetado de cada una de ellas, en un mismo tamaño, realce y visibilidad. </w:t>
      </w:r>
    </w:p>
    <w:p w:rsidR="00E85227" w:rsidRDefault="00E85227">
      <w:pPr>
        <w:tabs>
          <w:tab w:val="left" w:pos="390"/>
        </w:tabs>
        <w:ind w:left="720" w:right="820"/>
        <w:jc w:val="both"/>
        <w:rPr>
          <w:rFonts w:ascii="Arial" w:eastAsia="Arial" w:hAnsi="Arial" w:cs="Arial"/>
          <w:sz w:val="10"/>
          <w:szCs w:val="10"/>
        </w:rPr>
      </w:pPr>
    </w:p>
    <w:p w:rsidR="00E85227" w:rsidRDefault="00BF240B">
      <w:pPr>
        <w:tabs>
          <w:tab w:val="left" w:pos="390"/>
        </w:tabs>
        <w:ind w:left="1417" w:right="820"/>
        <w:jc w:val="both"/>
        <w:rPr>
          <w:rFonts w:ascii="Arial" w:eastAsia="Arial" w:hAnsi="Arial" w:cs="Arial"/>
          <w:sz w:val="24"/>
          <w:szCs w:val="24"/>
        </w:rPr>
      </w:pPr>
      <w:r>
        <w:rPr>
          <w:rFonts w:ascii="Arial" w:eastAsia="Arial" w:hAnsi="Arial" w:cs="Arial"/>
          <w:sz w:val="22"/>
          <w:szCs w:val="22"/>
        </w:rPr>
        <w:t xml:space="preserve">La declaración </w:t>
      </w:r>
      <w:r>
        <w:rPr>
          <w:rFonts w:ascii="Arial" w:eastAsia="Arial" w:hAnsi="Arial" w:cs="Arial"/>
          <w:i/>
          <w:sz w:val="22"/>
          <w:szCs w:val="22"/>
        </w:rPr>
        <w:t xml:space="preserve">«Bajo contenido en sodio» </w:t>
      </w:r>
      <w:r>
        <w:rPr>
          <w:rFonts w:ascii="Arial" w:eastAsia="Arial" w:hAnsi="Arial" w:cs="Arial"/>
          <w:sz w:val="22"/>
          <w:szCs w:val="22"/>
        </w:rPr>
        <w:t>o «</w:t>
      </w:r>
      <w:r>
        <w:rPr>
          <w:rFonts w:ascii="Arial" w:eastAsia="Arial" w:hAnsi="Arial" w:cs="Arial"/>
          <w:i/>
          <w:sz w:val="22"/>
          <w:szCs w:val="22"/>
        </w:rPr>
        <w:t>Baja en sodio»</w:t>
      </w:r>
      <w:r>
        <w:rPr>
          <w:rFonts w:ascii="Arial" w:eastAsia="Arial" w:hAnsi="Arial" w:cs="Arial"/>
          <w:sz w:val="22"/>
          <w:szCs w:val="22"/>
        </w:rPr>
        <w:t xml:space="preserve"> podrá ser utilizada en el etiquetado de las aguas envasadas cuyo contenido de sodio sea menor o igual a 20 mg/L</w:t>
      </w:r>
      <w:r>
        <w:rPr>
          <w:rFonts w:ascii="Arial" w:eastAsia="Arial" w:hAnsi="Arial" w:cs="Arial"/>
          <w:sz w:val="22"/>
          <w:szCs w:val="22"/>
        </w:rPr>
        <w:t>, donde el contenido de sodio deberá ser declarado en la etiqueta expresada en mg/L. Para la autorización de uso de las declaraciones antes mencionadas, se deberá presentar un informe de ensayo del contenido de sodio</w:t>
      </w:r>
      <w:r>
        <w:rPr>
          <w:rFonts w:ascii="Arial" w:eastAsia="Arial" w:hAnsi="Arial" w:cs="Arial"/>
          <w:sz w:val="24"/>
          <w:szCs w:val="24"/>
        </w:rPr>
        <w:t>.</w:t>
      </w:r>
    </w:p>
    <w:p w:rsidR="00E85227" w:rsidRDefault="00E85227">
      <w:pPr>
        <w:tabs>
          <w:tab w:val="left" w:pos="390"/>
        </w:tabs>
        <w:ind w:left="1417" w:right="820"/>
        <w:jc w:val="both"/>
        <w:rPr>
          <w:rFonts w:ascii="Arial" w:eastAsia="Arial" w:hAnsi="Arial" w:cs="Arial"/>
          <w:sz w:val="10"/>
          <w:szCs w:val="10"/>
        </w:rPr>
      </w:pPr>
    </w:p>
    <w:p w:rsidR="00E85227" w:rsidRDefault="00BF240B">
      <w:pPr>
        <w:tabs>
          <w:tab w:val="left" w:pos="390"/>
        </w:tabs>
        <w:ind w:left="1417" w:right="820"/>
        <w:jc w:val="both"/>
        <w:rPr>
          <w:rFonts w:ascii="Arial" w:eastAsia="Arial" w:hAnsi="Arial" w:cs="Arial"/>
          <w:sz w:val="22"/>
          <w:szCs w:val="22"/>
        </w:rPr>
      </w:pPr>
      <w:proofErr w:type="gramStart"/>
      <w:r>
        <w:rPr>
          <w:rFonts w:ascii="Arial" w:eastAsia="Arial" w:hAnsi="Arial" w:cs="Arial"/>
          <w:sz w:val="24"/>
          <w:szCs w:val="24"/>
        </w:rPr>
        <w:t>Asimismo</w:t>
      </w:r>
      <w:proofErr w:type="gramEnd"/>
      <w:r>
        <w:rPr>
          <w:rFonts w:ascii="Arial" w:eastAsia="Arial" w:hAnsi="Arial" w:cs="Arial"/>
          <w:sz w:val="24"/>
          <w:szCs w:val="24"/>
        </w:rPr>
        <w:t xml:space="preserve"> </w:t>
      </w:r>
      <w:r>
        <w:rPr>
          <w:rFonts w:ascii="Arial" w:eastAsia="Arial" w:hAnsi="Arial" w:cs="Arial"/>
          <w:sz w:val="22"/>
          <w:szCs w:val="22"/>
        </w:rPr>
        <w:t>no está permitida la declaración del Rotulado Nutricional en el etiquetado de las aguas envasadas para consumo humano ni de las aguas envasadas para consumo humano bajas en sodio, amparadas por el presente reglamento, salvo las establecidas en el párrafo a</w:t>
      </w:r>
      <w:r>
        <w:rPr>
          <w:rFonts w:ascii="Arial" w:eastAsia="Arial" w:hAnsi="Arial" w:cs="Arial"/>
          <w:sz w:val="22"/>
          <w:szCs w:val="22"/>
        </w:rPr>
        <w:t>nterior</w:t>
      </w:r>
      <w:r>
        <w:rPr>
          <w:rFonts w:ascii="Arial" w:eastAsia="Arial" w:hAnsi="Arial" w:cs="Arial"/>
          <w:sz w:val="24"/>
          <w:szCs w:val="24"/>
        </w:rPr>
        <w:t xml:space="preserve">. </w:t>
      </w:r>
    </w:p>
    <w:p w:rsidR="00E85227" w:rsidRDefault="00E85227">
      <w:pPr>
        <w:pBdr>
          <w:top w:val="nil"/>
          <w:left w:val="nil"/>
          <w:bottom w:val="nil"/>
          <w:right w:val="nil"/>
          <w:between w:val="nil"/>
        </w:pBdr>
        <w:ind w:left="1417" w:right="820" w:hanging="1417"/>
        <w:jc w:val="both"/>
        <w:rPr>
          <w:rFonts w:ascii="Arial" w:eastAsia="Arial" w:hAnsi="Arial" w:cs="Arial"/>
          <w:b/>
          <w:sz w:val="22"/>
          <w:szCs w:val="22"/>
        </w:rPr>
      </w:pPr>
    </w:p>
    <w:p w:rsidR="00E85227" w:rsidRDefault="00BF240B">
      <w:pPr>
        <w:ind w:left="1417" w:right="820"/>
        <w:jc w:val="both"/>
        <w:rPr>
          <w:rFonts w:ascii="Arial" w:eastAsia="Arial" w:hAnsi="Arial" w:cs="Arial"/>
          <w:sz w:val="22"/>
          <w:szCs w:val="22"/>
        </w:rPr>
      </w:pPr>
      <w:r>
        <w:rPr>
          <w:rFonts w:ascii="Arial" w:eastAsia="Arial" w:hAnsi="Arial" w:cs="Arial"/>
          <w:b/>
          <w:sz w:val="22"/>
          <w:szCs w:val="22"/>
        </w:rPr>
        <w:lastRenderedPageBreak/>
        <w:t>Artículo 3</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Establecer que las aguas envasadas destinadas al consumo humano, clasificadas en el artículo 2º de la presente Resolución, deberán envasarse en envases aptos para estar en contacto con alimentos, conforme a las reglamentaciones vigentes.</w:t>
      </w:r>
    </w:p>
    <w:p w:rsidR="00E85227" w:rsidRDefault="00BF240B">
      <w:pPr>
        <w:ind w:left="1417" w:right="820"/>
        <w:jc w:val="both"/>
        <w:rPr>
          <w:rFonts w:ascii="Arial" w:eastAsia="Arial" w:hAnsi="Arial" w:cs="Arial"/>
          <w:b/>
          <w:sz w:val="22"/>
          <w:szCs w:val="22"/>
        </w:rPr>
      </w:pPr>
      <w:r>
        <w:rPr>
          <w:rFonts w:ascii="Arial" w:eastAsia="Arial" w:hAnsi="Arial" w:cs="Arial"/>
          <w:b/>
          <w:sz w:val="22"/>
          <w:szCs w:val="22"/>
        </w:rPr>
        <w:t xml:space="preserve"> </w:t>
      </w:r>
    </w:p>
    <w:p w:rsidR="00E85227" w:rsidRDefault="00BF240B">
      <w:pPr>
        <w:ind w:left="1417" w:right="820"/>
        <w:jc w:val="both"/>
        <w:rPr>
          <w:rFonts w:ascii="Arial" w:eastAsia="Arial" w:hAnsi="Arial" w:cs="Arial"/>
          <w:sz w:val="22"/>
          <w:szCs w:val="22"/>
        </w:rPr>
      </w:pPr>
      <w:r>
        <w:rPr>
          <w:rFonts w:ascii="Arial" w:eastAsia="Arial" w:hAnsi="Arial" w:cs="Arial"/>
          <w:b/>
          <w:sz w:val="22"/>
          <w:szCs w:val="22"/>
        </w:rPr>
        <w:t>Artículo 4</w:t>
      </w:r>
      <w:proofErr w:type="gramStart"/>
      <w:r>
        <w:rPr>
          <w:rFonts w:ascii="Arial" w:eastAsia="Arial" w:hAnsi="Arial" w:cs="Arial"/>
          <w:b/>
          <w:sz w:val="22"/>
          <w:szCs w:val="22"/>
        </w:rPr>
        <w:t>°.-</w:t>
      </w:r>
      <w:proofErr w:type="gramEnd"/>
      <w:r>
        <w:rPr>
          <w:rFonts w:ascii="Arial" w:eastAsia="Arial" w:hAnsi="Arial" w:cs="Arial"/>
          <w:sz w:val="22"/>
          <w:szCs w:val="22"/>
        </w:rPr>
        <w:tab/>
        <w:t>Di</w:t>
      </w:r>
      <w:r>
        <w:rPr>
          <w:rFonts w:ascii="Arial" w:eastAsia="Arial" w:hAnsi="Arial" w:cs="Arial"/>
          <w:sz w:val="22"/>
          <w:szCs w:val="22"/>
        </w:rPr>
        <w:t>sponer que las aguas envasadas, destinadas al consumo humano, sólo podrán ser comercializadas, previa obtención del Registro de Establecimiento (R.E.) y del Registro Sanitario de Producto Alimenticio (R.S.P.A.) correspondiente, conforme a las reglamentacio</w:t>
      </w:r>
      <w:r>
        <w:rPr>
          <w:rFonts w:ascii="Arial" w:eastAsia="Arial" w:hAnsi="Arial" w:cs="Arial"/>
          <w:sz w:val="22"/>
          <w:szCs w:val="22"/>
        </w:rPr>
        <w:t>nes vigentes.</w:t>
      </w:r>
    </w:p>
    <w:p w:rsidR="00E85227" w:rsidRDefault="00E85227">
      <w:pPr>
        <w:ind w:left="1417" w:right="820"/>
        <w:jc w:val="both"/>
        <w:rPr>
          <w:rFonts w:ascii="Arial" w:eastAsia="Arial" w:hAnsi="Arial" w:cs="Arial"/>
          <w:sz w:val="22"/>
          <w:szCs w:val="22"/>
          <w:shd w:val="clear" w:color="auto" w:fill="FF9900"/>
        </w:rPr>
      </w:pPr>
    </w:p>
    <w:p w:rsidR="00E85227" w:rsidRDefault="00BF240B">
      <w:pPr>
        <w:ind w:left="1417" w:right="820" w:hanging="1417"/>
        <w:jc w:val="both"/>
        <w:rPr>
          <w:rFonts w:ascii="Arial" w:eastAsia="Arial" w:hAnsi="Arial" w:cs="Arial"/>
          <w:sz w:val="22"/>
          <w:szCs w:val="22"/>
        </w:rPr>
      </w:pPr>
      <w:r>
        <w:rPr>
          <w:rFonts w:ascii="Arial" w:eastAsia="Arial" w:hAnsi="Arial" w:cs="Arial"/>
          <w:b/>
          <w:sz w:val="22"/>
          <w:szCs w:val="22"/>
        </w:rPr>
        <w:t>Artículo 5</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 xml:space="preserve">Disponer que si se constata la comercialización de aguas envasadas en incumplimiento de lo establecido en la presente Resolución, la DINAVISA ordenará al titular del registro la puesta en cuarentena y retiro del mercado de los </w:t>
      </w:r>
      <w:r>
        <w:rPr>
          <w:rFonts w:ascii="Arial" w:eastAsia="Arial" w:hAnsi="Arial" w:cs="Arial"/>
          <w:sz w:val="22"/>
          <w:szCs w:val="22"/>
        </w:rPr>
        <w:t>productos, sin perjuicio de la imposición de otras medidas o acciones legales que correspondan.</w:t>
      </w:r>
    </w:p>
    <w:p w:rsidR="00E85227" w:rsidRDefault="00E85227">
      <w:pPr>
        <w:pBdr>
          <w:top w:val="nil"/>
          <w:left w:val="nil"/>
          <w:bottom w:val="nil"/>
          <w:right w:val="nil"/>
          <w:between w:val="nil"/>
        </w:pBdr>
        <w:ind w:right="820"/>
        <w:jc w:val="both"/>
        <w:rPr>
          <w:rFonts w:ascii="Arial" w:eastAsia="Arial" w:hAnsi="Arial" w:cs="Arial"/>
          <w:color w:val="000000"/>
          <w:sz w:val="22"/>
          <w:szCs w:val="22"/>
        </w:rPr>
      </w:pPr>
    </w:p>
    <w:p w:rsidR="00E85227" w:rsidRDefault="00BF240B">
      <w:pPr>
        <w:pBdr>
          <w:top w:val="nil"/>
          <w:left w:val="nil"/>
          <w:bottom w:val="nil"/>
          <w:right w:val="nil"/>
          <w:between w:val="nil"/>
        </w:pBdr>
        <w:ind w:left="1417" w:right="820" w:hanging="1417"/>
        <w:jc w:val="both"/>
        <w:rPr>
          <w:rFonts w:ascii="Arial" w:eastAsia="Arial" w:hAnsi="Arial" w:cs="Arial"/>
          <w:sz w:val="22"/>
          <w:szCs w:val="22"/>
        </w:rPr>
      </w:pPr>
      <w:r>
        <w:rPr>
          <w:rFonts w:ascii="Arial" w:eastAsia="Arial" w:hAnsi="Arial" w:cs="Arial"/>
          <w:b/>
          <w:color w:val="000000"/>
          <w:sz w:val="22"/>
          <w:szCs w:val="22"/>
        </w:rPr>
        <w:t xml:space="preserve">Artículo </w:t>
      </w:r>
      <w:r>
        <w:rPr>
          <w:rFonts w:ascii="Arial" w:eastAsia="Arial" w:hAnsi="Arial" w:cs="Arial"/>
          <w:b/>
          <w:sz w:val="22"/>
          <w:szCs w:val="22"/>
        </w:rPr>
        <w:t>6</w:t>
      </w:r>
      <w:proofErr w:type="gramStart"/>
      <w:r>
        <w:rPr>
          <w:rFonts w:ascii="Arial" w:eastAsia="Arial" w:hAnsi="Arial" w:cs="Arial"/>
          <w:b/>
          <w:color w:val="000000"/>
          <w:sz w:val="22"/>
          <w:szCs w:val="22"/>
        </w:rPr>
        <w:t>°.-</w:t>
      </w:r>
      <w:proofErr w:type="gramEnd"/>
      <w:r>
        <w:rPr>
          <w:rFonts w:ascii="Arial" w:eastAsia="Arial" w:hAnsi="Arial" w:cs="Arial"/>
          <w:b/>
          <w:color w:val="000000"/>
          <w:sz w:val="22"/>
          <w:szCs w:val="22"/>
        </w:rPr>
        <w:tab/>
      </w:r>
      <w:r>
        <w:rPr>
          <w:rFonts w:ascii="Arial" w:eastAsia="Arial" w:hAnsi="Arial" w:cs="Arial"/>
          <w:sz w:val="22"/>
          <w:szCs w:val="22"/>
        </w:rPr>
        <w:t>Encomendar a</w:t>
      </w:r>
      <w:r>
        <w:rPr>
          <w:rFonts w:ascii="Arial" w:eastAsia="Arial" w:hAnsi="Arial" w:cs="Arial"/>
          <w:color w:val="000000"/>
          <w:sz w:val="22"/>
          <w:szCs w:val="22"/>
        </w:rPr>
        <w:t xml:space="preserve"> la Dirección General de Vigilancia</w:t>
      </w:r>
      <w:r>
        <w:rPr>
          <w:rFonts w:ascii="Arial" w:eastAsia="Arial" w:hAnsi="Arial" w:cs="Arial"/>
          <w:b/>
          <w:color w:val="000000"/>
          <w:sz w:val="22"/>
          <w:szCs w:val="22"/>
        </w:rPr>
        <w:t xml:space="preserve"> </w:t>
      </w:r>
      <w:r>
        <w:rPr>
          <w:rFonts w:ascii="Arial" w:eastAsia="Arial" w:hAnsi="Arial" w:cs="Arial"/>
          <w:color w:val="000000"/>
          <w:sz w:val="22"/>
          <w:szCs w:val="22"/>
        </w:rPr>
        <w:t>y a la Dirección</w:t>
      </w:r>
      <w:r>
        <w:rPr>
          <w:rFonts w:ascii="Arial" w:eastAsia="Arial" w:hAnsi="Arial" w:cs="Arial"/>
          <w:sz w:val="22"/>
          <w:szCs w:val="22"/>
        </w:rPr>
        <w:t xml:space="preserve"> General de Regulación de Alimentos y Productos Afines</w:t>
      </w:r>
      <w:r>
        <w:rPr>
          <w:rFonts w:ascii="Arial" w:eastAsia="Arial" w:hAnsi="Arial" w:cs="Arial"/>
          <w:b/>
          <w:sz w:val="22"/>
          <w:szCs w:val="22"/>
        </w:rPr>
        <w:t xml:space="preserve"> </w:t>
      </w:r>
      <w:r>
        <w:rPr>
          <w:rFonts w:ascii="Arial" w:eastAsia="Arial" w:hAnsi="Arial" w:cs="Arial"/>
          <w:color w:val="000000"/>
          <w:sz w:val="22"/>
          <w:szCs w:val="22"/>
        </w:rPr>
        <w:t xml:space="preserve">verificar </w:t>
      </w:r>
      <w:r>
        <w:rPr>
          <w:rFonts w:ascii="Arial" w:eastAsia="Arial" w:hAnsi="Arial" w:cs="Arial"/>
          <w:sz w:val="22"/>
          <w:szCs w:val="22"/>
        </w:rPr>
        <w:t>el cumplimiento de lo establecido en la presente Resolución.</w:t>
      </w:r>
    </w:p>
    <w:p w:rsidR="00E85227" w:rsidRDefault="00E85227">
      <w:pPr>
        <w:ind w:left="1417" w:right="820" w:hanging="1417"/>
        <w:jc w:val="both"/>
        <w:rPr>
          <w:rFonts w:ascii="Arial" w:eastAsia="Arial" w:hAnsi="Arial" w:cs="Arial"/>
          <w:sz w:val="22"/>
          <w:szCs w:val="22"/>
        </w:rPr>
      </w:pPr>
    </w:p>
    <w:p w:rsidR="00E85227" w:rsidRDefault="00BF240B">
      <w:pPr>
        <w:ind w:left="1417" w:right="820" w:hanging="1417"/>
        <w:jc w:val="both"/>
        <w:rPr>
          <w:rFonts w:ascii="Arial" w:eastAsia="Arial" w:hAnsi="Arial" w:cs="Arial"/>
          <w:sz w:val="22"/>
          <w:szCs w:val="22"/>
        </w:rPr>
      </w:pPr>
      <w:r>
        <w:rPr>
          <w:rFonts w:ascii="Arial" w:eastAsia="Arial" w:hAnsi="Arial" w:cs="Arial"/>
          <w:b/>
          <w:sz w:val="22"/>
          <w:szCs w:val="22"/>
        </w:rPr>
        <w:t>Artículo 7°-</w:t>
      </w:r>
      <w:r>
        <w:rPr>
          <w:rFonts w:ascii="Arial" w:eastAsia="Arial" w:hAnsi="Arial" w:cs="Arial"/>
          <w:b/>
          <w:sz w:val="22"/>
          <w:szCs w:val="22"/>
        </w:rPr>
        <w:tab/>
      </w:r>
      <w:r>
        <w:rPr>
          <w:rFonts w:ascii="Arial" w:eastAsia="Arial" w:hAnsi="Arial" w:cs="Arial"/>
          <w:sz w:val="22"/>
          <w:szCs w:val="22"/>
        </w:rPr>
        <w:t xml:space="preserve">Disponer que el incumplimiento de la presente disposición hará pasible a quien o quienes resulten responsables, de las sanciones previstas en la normativa vigente, la Ley </w:t>
      </w:r>
      <w:proofErr w:type="spellStart"/>
      <w:r>
        <w:rPr>
          <w:rFonts w:ascii="Arial" w:eastAsia="Arial" w:hAnsi="Arial" w:cs="Arial"/>
          <w:sz w:val="22"/>
          <w:szCs w:val="22"/>
        </w:rPr>
        <w:t>N°</w:t>
      </w:r>
      <w:proofErr w:type="spellEnd"/>
      <w:r>
        <w:rPr>
          <w:rFonts w:ascii="Arial" w:eastAsia="Arial" w:hAnsi="Arial" w:cs="Arial"/>
          <w:sz w:val="22"/>
          <w:szCs w:val="22"/>
        </w:rPr>
        <w:t xml:space="preserve"> 6788/20</w:t>
      </w:r>
      <w:r>
        <w:rPr>
          <w:rFonts w:ascii="Arial" w:eastAsia="Arial" w:hAnsi="Arial" w:cs="Arial"/>
          <w:sz w:val="22"/>
          <w:szCs w:val="22"/>
        </w:rPr>
        <w:t xml:space="preserve">21 “Que establece la competencia, atribuciones y estructura orgánica de la Dirección Nacional de Vigilancia Sanitaria”, y su modificación por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7361/2024 y las disposiciones reglamentarias, sin perjuicio de otras medidas o acciones que pudieran cor</w:t>
      </w:r>
      <w:r>
        <w:rPr>
          <w:rFonts w:ascii="Arial" w:eastAsia="Arial" w:hAnsi="Arial" w:cs="Arial"/>
          <w:sz w:val="22"/>
          <w:szCs w:val="22"/>
        </w:rPr>
        <w:t>responder.</w:t>
      </w:r>
    </w:p>
    <w:p w:rsidR="00E85227" w:rsidRDefault="00E85227">
      <w:pPr>
        <w:pBdr>
          <w:top w:val="nil"/>
          <w:left w:val="nil"/>
          <w:bottom w:val="nil"/>
          <w:right w:val="nil"/>
          <w:between w:val="nil"/>
        </w:pBdr>
        <w:ind w:left="1417" w:right="820" w:hanging="1417"/>
        <w:jc w:val="both"/>
        <w:rPr>
          <w:rFonts w:ascii="Arial" w:eastAsia="Arial" w:hAnsi="Arial" w:cs="Arial"/>
          <w:color w:val="000000"/>
          <w:sz w:val="22"/>
          <w:szCs w:val="22"/>
        </w:rPr>
      </w:pPr>
    </w:p>
    <w:p w:rsidR="00E85227" w:rsidRDefault="00BF240B">
      <w:pPr>
        <w:pBdr>
          <w:top w:val="nil"/>
          <w:left w:val="nil"/>
          <w:bottom w:val="nil"/>
          <w:right w:val="nil"/>
          <w:between w:val="nil"/>
        </w:pBdr>
        <w:ind w:left="1417" w:right="820" w:hanging="1417"/>
        <w:jc w:val="both"/>
        <w:rPr>
          <w:rFonts w:ascii="Arial" w:eastAsia="Arial" w:hAnsi="Arial" w:cs="Arial"/>
          <w:color w:val="000000"/>
          <w:sz w:val="22"/>
          <w:szCs w:val="22"/>
        </w:rPr>
      </w:pPr>
      <w:r>
        <w:rPr>
          <w:rFonts w:ascii="Arial" w:eastAsia="Arial" w:hAnsi="Arial" w:cs="Arial"/>
          <w:b/>
          <w:color w:val="000000"/>
          <w:sz w:val="22"/>
          <w:szCs w:val="22"/>
        </w:rPr>
        <w:t xml:space="preserve">Artículo </w:t>
      </w:r>
      <w:r>
        <w:rPr>
          <w:rFonts w:ascii="Arial" w:eastAsia="Arial" w:hAnsi="Arial" w:cs="Arial"/>
          <w:b/>
          <w:sz w:val="22"/>
          <w:szCs w:val="22"/>
        </w:rPr>
        <w:t>8</w:t>
      </w:r>
      <w:r>
        <w:rPr>
          <w:rFonts w:ascii="Arial" w:eastAsia="Arial" w:hAnsi="Arial" w:cs="Arial"/>
          <w:b/>
          <w:color w:val="000000"/>
          <w:sz w:val="22"/>
          <w:szCs w:val="22"/>
        </w:rPr>
        <w:t>°.</w:t>
      </w:r>
      <w:r>
        <w:rPr>
          <w:rFonts w:ascii="Arial" w:eastAsia="Arial" w:hAnsi="Arial" w:cs="Arial"/>
          <w:b/>
          <w:color w:val="000000"/>
          <w:sz w:val="22"/>
          <w:szCs w:val="22"/>
        </w:rPr>
        <w:tab/>
      </w:r>
      <w:r>
        <w:rPr>
          <w:rFonts w:ascii="Arial" w:eastAsia="Arial" w:hAnsi="Arial" w:cs="Arial"/>
          <w:color w:val="000000"/>
          <w:sz w:val="22"/>
          <w:szCs w:val="22"/>
        </w:rPr>
        <w:t>Establecer que la presente Resolución entrará en vigencia a</w:t>
      </w:r>
      <w:r>
        <w:rPr>
          <w:rFonts w:ascii="Arial" w:eastAsia="Arial" w:hAnsi="Arial" w:cs="Arial"/>
          <w:color w:val="000000"/>
          <w:sz w:val="22"/>
          <w:szCs w:val="22"/>
        </w:rPr>
        <w:t xml:space="preserve"> los </w:t>
      </w:r>
      <w:r>
        <w:rPr>
          <w:rFonts w:ascii="Arial" w:eastAsia="Arial" w:hAnsi="Arial" w:cs="Arial"/>
          <w:sz w:val="22"/>
          <w:szCs w:val="22"/>
        </w:rPr>
        <w:t>tres</w:t>
      </w:r>
      <w:r>
        <w:rPr>
          <w:rFonts w:ascii="Arial" w:eastAsia="Arial" w:hAnsi="Arial" w:cs="Arial"/>
          <w:color w:val="000000"/>
          <w:sz w:val="22"/>
          <w:szCs w:val="22"/>
        </w:rPr>
        <w:t xml:space="preserve"> (</w:t>
      </w:r>
      <w:r>
        <w:rPr>
          <w:rFonts w:ascii="Arial" w:eastAsia="Arial" w:hAnsi="Arial" w:cs="Arial"/>
          <w:sz w:val="22"/>
          <w:szCs w:val="22"/>
        </w:rPr>
        <w:t>3</w:t>
      </w:r>
      <w:r>
        <w:rPr>
          <w:rFonts w:ascii="Arial" w:eastAsia="Arial" w:hAnsi="Arial" w:cs="Arial"/>
          <w:color w:val="000000"/>
          <w:sz w:val="22"/>
          <w:szCs w:val="22"/>
        </w:rPr>
        <w:t>) meses de la fecha de su firma.</w:t>
      </w:r>
    </w:p>
    <w:p w:rsidR="00E85227" w:rsidRDefault="00E85227">
      <w:pPr>
        <w:pBdr>
          <w:top w:val="nil"/>
          <w:left w:val="nil"/>
          <w:bottom w:val="nil"/>
          <w:right w:val="nil"/>
          <w:between w:val="nil"/>
        </w:pBdr>
        <w:ind w:left="1417" w:right="820" w:hanging="1417"/>
        <w:jc w:val="both"/>
        <w:rPr>
          <w:rFonts w:ascii="Arial" w:eastAsia="Arial" w:hAnsi="Arial" w:cs="Arial"/>
          <w:color w:val="000000"/>
          <w:sz w:val="22"/>
          <w:szCs w:val="22"/>
        </w:rPr>
      </w:pPr>
    </w:p>
    <w:p w:rsidR="00E85227" w:rsidRDefault="00BF240B">
      <w:pPr>
        <w:pBdr>
          <w:top w:val="nil"/>
          <w:left w:val="nil"/>
          <w:bottom w:val="nil"/>
          <w:right w:val="nil"/>
          <w:between w:val="nil"/>
        </w:pBdr>
        <w:ind w:left="1417" w:right="820" w:hanging="1417"/>
        <w:jc w:val="both"/>
        <w:rPr>
          <w:rFonts w:ascii="Arial" w:eastAsia="Arial" w:hAnsi="Arial" w:cs="Arial"/>
          <w:color w:val="000000"/>
          <w:sz w:val="22"/>
          <w:szCs w:val="22"/>
        </w:rPr>
      </w:pPr>
      <w:r>
        <w:rPr>
          <w:rFonts w:ascii="Arial" w:eastAsia="Arial" w:hAnsi="Arial" w:cs="Arial"/>
          <w:b/>
          <w:color w:val="000000"/>
          <w:sz w:val="22"/>
          <w:szCs w:val="22"/>
        </w:rPr>
        <w:t xml:space="preserve">Artículo </w:t>
      </w:r>
      <w:r>
        <w:rPr>
          <w:rFonts w:ascii="Arial" w:eastAsia="Arial" w:hAnsi="Arial" w:cs="Arial"/>
          <w:b/>
          <w:sz w:val="22"/>
          <w:szCs w:val="22"/>
        </w:rPr>
        <w:t>9</w:t>
      </w:r>
      <w:r>
        <w:rPr>
          <w:rFonts w:ascii="Arial" w:eastAsia="Arial" w:hAnsi="Arial" w:cs="Arial"/>
          <w:b/>
          <w:color w:val="000000"/>
          <w:sz w:val="22"/>
          <w:szCs w:val="22"/>
        </w:rPr>
        <w:t>°.</w:t>
      </w:r>
      <w:r>
        <w:rPr>
          <w:rFonts w:ascii="Arial" w:eastAsia="Arial" w:hAnsi="Arial" w:cs="Arial"/>
          <w:color w:val="000000"/>
          <w:sz w:val="22"/>
          <w:szCs w:val="22"/>
        </w:rPr>
        <w:tab/>
        <w:t>Comunicar a quienes corresponda y cumplido archivar.</w:t>
      </w:r>
    </w:p>
    <w:p w:rsidR="00E85227" w:rsidRDefault="00E85227">
      <w:pPr>
        <w:pBdr>
          <w:top w:val="nil"/>
          <w:left w:val="nil"/>
          <w:bottom w:val="nil"/>
          <w:right w:val="nil"/>
          <w:between w:val="nil"/>
        </w:pBdr>
        <w:ind w:left="1417" w:right="820" w:hanging="1417"/>
        <w:jc w:val="both"/>
        <w:rPr>
          <w:rFonts w:ascii="Arial" w:eastAsia="Arial" w:hAnsi="Arial" w:cs="Arial"/>
          <w:sz w:val="22"/>
          <w:szCs w:val="22"/>
        </w:rPr>
      </w:pPr>
    </w:p>
    <w:p w:rsidR="00E85227" w:rsidRDefault="00E85227">
      <w:pPr>
        <w:pBdr>
          <w:top w:val="nil"/>
          <w:left w:val="nil"/>
          <w:bottom w:val="nil"/>
          <w:right w:val="nil"/>
          <w:between w:val="nil"/>
        </w:pBdr>
        <w:ind w:left="1417" w:right="820" w:hanging="1417"/>
        <w:jc w:val="both"/>
        <w:rPr>
          <w:rFonts w:ascii="Arial" w:eastAsia="Arial" w:hAnsi="Arial" w:cs="Arial"/>
          <w:sz w:val="22"/>
          <w:szCs w:val="22"/>
        </w:rPr>
      </w:pPr>
    </w:p>
    <w:p w:rsidR="00E85227" w:rsidRDefault="00E85227">
      <w:pPr>
        <w:pBdr>
          <w:top w:val="nil"/>
          <w:left w:val="nil"/>
          <w:bottom w:val="nil"/>
          <w:right w:val="nil"/>
          <w:between w:val="nil"/>
        </w:pBdr>
        <w:ind w:left="1417" w:right="820" w:hanging="1417"/>
        <w:jc w:val="both"/>
        <w:rPr>
          <w:rFonts w:ascii="Arial" w:eastAsia="Arial" w:hAnsi="Arial" w:cs="Arial"/>
          <w:sz w:val="22"/>
          <w:szCs w:val="22"/>
        </w:rPr>
      </w:pPr>
    </w:p>
    <w:p w:rsidR="00E85227" w:rsidRDefault="00E85227">
      <w:pPr>
        <w:pBdr>
          <w:top w:val="nil"/>
          <w:left w:val="nil"/>
          <w:bottom w:val="nil"/>
          <w:right w:val="nil"/>
          <w:between w:val="nil"/>
        </w:pBdr>
        <w:ind w:left="1417" w:right="820" w:hanging="1417"/>
        <w:jc w:val="both"/>
        <w:rPr>
          <w:rFonts w:ascii="Arial" w:eastAsia="Arial" w:hAnsi="Arial" w:cs="Arial"/>
          <w:sz w:val="22"/>
          <w:szCs w:val="22"/>
        </w:rPr>
      </w:pPr>
    </w:p>
    <w:p w:rsidR="00E85227" w:rsidRDefault="00E85227">
      <w:pPr>
        <w:ind w:left="1701" w:right="820" w:hanging="1716"/>
        <w:jc w:val="both"/>
        <w:rPr>
          <w:rFonts w:ascii="Arial" w:eastAsia="Arial" w:hAnsi="Arial" w:cs="Arial"/>
          <w:sz w:val="22"/>
          <w:szCs w:val="22"/>
        </w:rPr>
      </w:pPr>
    </w:p>
    <w:p w:rsidR="00E85227" w:rsidRDefault="00BF240B">
      <w:pPr>
        <w:ind w:right="820"/>
        <w:jc w:val="center"/>
        <w:rPr>
          <w:rFonts w:ascii="Arial" w:eastAsia="Arial" w:hAnsi="Arial" w:cs="Arial"/>
          <w:b/>
          <w:sz w:val="22"/>
          <w:szCs w:val="22"/>
        </w:rPr>
      </w:pPr>
      <w:r>
        <w:br w:type="page"/>
      </w:r>
      <w:r>
        <w:rPr>
          <w:rFonts w:ascii="Arial" w:eastAsia="Arial" w:hAnsi="Arial" w:cs="Arial"/>
          <w:b/>
          <w:sz w:val="22"/>
          <w:szCs w:val="22"/>
        </w:rPr>
        <w:lastRenderedPageBreak/>
        <w:t xml:space="preserve">ANEXO </w:t>
      </w:r>
    </w:p>
    <w:p w:rsidR="00E85227" w:rsidRDefault="00E85227">
      <w:pPr>
        <w:ind w:right="820"/>
        <w:jc w:val="both"/>
        <w:rPr>
          <w:rFonts w:ascii="Arial" w:eastAsia="Arial" w:hAnsi="Arial" w:cs="Arial"/>
          <w:b/>
          <w:sz w:val="22"/>
          <w:szCs w:val="22"/>
        </w:rPr>
      </w:pPr>
    </w:p>
    <w:p w:rsidR="00E85227" w:rsidRDefault="00BF240B">
      <w:pPr>
        <w:ind w:right="820"/>
        <w:jc w:val="center"/>
        <w:rPr>
          <w:rFonts w:ascii="Arial" w:eastAsia="Arial" w:hAnsi="Arial" w:cs="Arial"/>
          <w:b/>
          <w:sz w:val="22"/>
          <w:szCs w:val="22"/>
        </w:rPr>
      </w:pPr>
      <w:r>
        <w:rPr>
          <w:rFonts w:ascii="Arial" w:eastAsia="Arial" w:hAnsi="Arial" w:cs="Arial"/>
          <w:b/>
          <w:sz w:val="22"/>
          <w:szCs w:val="22"/>
        </w:rPr>
        <w:t>TABLA DE GRADO DE MINERALIZACIÓN DE LAS AGUAS MINERALES NATURALES Y MINERALIZADAS:</w:t>
      </w:r>
    </w:p>
    <w:p w:rsidR="00E85227" w:rsidRDefault="00E85227">
      <w:pPr>
        <w:tabs>
          <w:tab w:val="left" w:pos="390"/>
        </w:tabs>
        <w:jc w:val="both"/>
        <w:rPr>
          <w:rFonts w:ascii="Arial" w:eastAsia="Arial" w:hAnsi="Arial" w:cs="Arial"/>
          <w:sz w:val="22"/>
          <w:szCs w:val="22"/>
        </w:rPr>
      </w:pPr>
    </w:p>
    <w:tbl>
      <w:tblPr>
        <w:tblStyle w:val="a"/>
        <w:tblW w:w="7919"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8"/>
        <w:gridCol w:w="3911"/>
      </w:tblGrid>
      <w:tr w:rsidR="00E85227">
        <w:tc>
          <w:tcPr>
            <w:tcW w:w="4008"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 xml:space="preserve">Agua </w:t>
            </w:r>
            <w:proofErr w:type="spellStart"/>
            <w:r>
              <w:rPr>
                <w:rFonts w:ascii="Arial" w:eastAsia="Arial" w:hAnsi="Arial" w:cs="Arial"/>
                <w:sz w:val="22"/>
                <w:szCs w:val="22"/>
              </w:rPr>
              <w:t>oligometálica</w:t>
            </w:r>
            <w:proofErr w:type="spellEnd"/>
          </w:p>
        </w:tc>
        <w:tc>
          <w:tcPr>
            <w:tcW w:w="3911"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50 a 100 mg/L</w:t>
            </w:r>
          </w:p>
        </w:tc>
      </w:tr>
      <w:tr w:rsidR="00E85227">
        <w:tc>
          <w:tcPr>
            <w:tcW w:w="4008"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Agua de mineralización muy débil</w:t>
            </w:r>
          </w:p>
        </w:tc>
        <w:tc>
          <w:tcPr>
            <w:tcW w:w="3911"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101 a 250 mg/L</w:t>
            </w:r>
          </w:p>
        </w:tc>
      </w:tr>
      <w:tr w:rsidR="00E85227">
        <w:tc>
          <w:tcPr>
            <w:tcW w:w="4008"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Agua de mineralización débil</w:t>
            </w:r>
          </w:p>
        </w:tc>
        <w:tc>
          <w:tcPr>
            <w:tcW w:w="3911"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251 a 500 mg/L</w:t>
            </w:r>
          </w:p>
        </w:tc>
      </w:tr>
      <w:tr w:rsidR="00E85227">
        <w:tc>
          <w:tcPr>
            <w:tcW w:w="4008"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Agua de mineralización media</w:t>
            </w:r>
          </w:p>
        </w:tc>
        <w:tc>
          <w:tcPr>
            <w:tcW w:w="3911"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501 a 1500 mg/L</w:t>
            </w:r>
          </w:p>
        </w:tc>
      </w:tr>
      <w:tr w:rsidR="00E85227">
        <w:tc>
          <w:tcPr>
            <w:tcW w:w="4008"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Agua de mineralización fuerte</w:t>
            </w:r>
          </w:p>
        </w:tc>
        <w:tc>
          <w:tcPr>
            <w:tcW w:w="3911" w:type="dxa"/>
            <w:shd w:val="clear" w:color="auto" w:fill="auto"/>
          </w:tcPr>
          <w:p w:rsidR="00E85227" w:rsidRDefault="00BF240B">
            <w:pPr>
              <w:tabs>
                <w:tab w:val="left" w:pos="390"/>
              </w:tabs>
              <w:jc w:val="both"/>
              <w:rPr>
                <w:rFonts w:ascii="Arial" w:eastAsia="Arial" w:hAnsi="Arial" w:cs="Arial"/>
                <w:sz w:val="22"/>
                <w:szCs w:val="22"/>
              </w:rPr>
            </w:pPr>
            <w:r>
              <w:rPr>
                <w:rFonts w:ascii="Arial" w:eastAsia="Arial" w:hAnsi="Arial" w:cs="Arial"/>
                <w:sz w:val="22"/>
                <w:szCs w:val="22"/>
              </w:rPr>
              <w:t>mayor a 1500 mg/L</w:t>
            </w:r>
          </w:p>
        </w:tc>
      </w:tr>
    </w:tbl>
    <w:p w:rsidR="00E85227" w:rsidRDefault="00E85227">
      <w:pPr>
        <w:ind w:right="820"/>
        <w:jc w:val="both"/>
        <w:rPr>
          <w:rFonts w:ascii="Arial" w:eastAsia="Arial" w:hAnsi="Arial" w:cs="Arial"/>
          <w:sz w:val="22"/>
          <w:szCs w:val="22"/>
        </w:rPr>
      </w:pPr>
    </w:p>
    <w:p w:rsidR="00E85227" w:rsidRDefault="00E85227">
      <w:pPr>
        <w:ind w:right="820"/>
        <w:jc w:val="both"/>
        <w:rPr>
          <w:rFonts w:ascii="Arial" w:eastAsia="Arial" w:hAnsi="Arial" w:cs="Arial"/>
          <w:sz w:val="22"/>
          <w:szCs w:val="22"/>
          <w:highlight w:val="yellow"/>
        </w:rPr>
      </w:pPr>
    </w:p>
    <w:sectPr w:rsidR="00E85227">
      <w:headerReference w:type="default" r:id="rId8"/>
      <w:footerReference w:type="default" r:id="rId9"/>
      <w:pgSz w:w="11906" w:h="16838"/>
      <w:pgMar w:top="1440" w:right="1080" w:bottom="1440" w:left="1080" w:header="0" w:footer="7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40B" w:rsidRDefault="00BF240B">
      <w:r>
        <w:separator/>
      </w:r>
    </w:p>
  </w:endnote>
  <w:endnote w:type="continuationSeparator" w:id="0">
    <w:p w:rsidR="00BF240B" w:rsidRDefault="00BF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227" w:rsidRDefault="00BF240B">
    <w:pPr>
      <w:tabs>
        <w:tab w:val="center" w:pos="4252"/>
        <w:tab w:val="right" w:pos="8504"/>
      </w:tabs>
      <w:ind w:right="820"/>
      <w:jc w:val="both"/>
      <w:rPr>
        <w:rFonts w:ascii="Arial" w:eastAsia="Arial" w:hAnsi="Arial" w:cs="Arial"/>
        <w:sz w:val="14"/>
        <w:szCs w:val="14"/>
      </w:rPr>
    </w:pPr>
    <w:r>
      <w:rPr>
        <w:rFonts w:ascii="Arial" w:eastAsia="Arial" w:hAnsi="Arial" w:cs="Arial"/>
        <w:b/>
        <w:sz w:val="14"/>
        <w:szCs w:val="14"/>
      </w:rPr>
      <w:t>Misión</w:t>
    </w:r>
    <w:r>
      <w:rPr>
        <w:rFonts w:ascii="Arial" w:eastAsia="Arial" w:hAnsi="Arial" w:cs="Arial"/>
        <w:sz w:val="14"/>
        <w:szCs w:val="14"/>
      </w:rPr>
      <w:t>: Regular, vigilar y fiscalizar productos de aplicación en medicina y otros asignados por ley, para garantizar la calidad, seguridad y eficacia de los mismos en beneficio de las personas, respondiendo a los desafíos de</w:t>
    </w:r>
    <w:r>
      <w:rPr>
        <w:rFonts w:ascii="Arial" w:eastAsia="Arial" w:hAnsi="Arial" w:cs="Arial"/>
        <w:sz w:val="14"/>
        <w:szCs w:val="14"/>
      </w:rPr>
      <w:t xml:space="preserve"> la innovación y promoviendo el desarrollo, a través de acciones coordinadas e integradas, sostenidas en normas técnicas.</w:t>
    </w:r>
  </w:p>
  <w:p w:rsidR="00E85227" w:rsidRDefault="00BF240B">
    <w:pPr>
      <w:tabs>
        <w:tab w:val="center" w:pos="4252"/>
        <w:tab w:val="right" w:pos="8504"/>
      </w:tabs>
      <w:ind w:right="820"/>
      <w:jc w:val="both"/>
      <w:rPr>
        <w:rFonts w:ascii="Arial" w:eastAsia="Arial" w:hAnsi="Arial" w:cs="Arial"/>
        <w:sz w:val="14"/>
        <w:szCs w:val="14"/>
      </w:rPr>
    </w:pPr>
    <w:r>
      <w:rPr>
        <w:rFonts w:ascii="Arial" w:eastAsia="Arial" w:hAnsi="Arial" w:cs="Arial"/>
        <w:b/>
        <w:sz w:val="14"/>
        <w:szCs w:val="14"/>
      </w:rPr>
      <w:t xml:space="preserve">Visión: </w:t>
    </w:r>
    <w:r>
      <w:rPr>
        <w:rFonts w:ascii="Arial" w:eastAsia="Arial" w:hAnsi="Arial" w:cs="Arial"/>
        <w:sz w:val="14"/>
        <w:szCs w:val="14"/>
      </w:rPr>
      <w:t>Ser una institución reguladora y fiscalizadora de Referencia Nacional e Internacional reconocida por su capacidad técnica, cre</w:t>
    </w:r>
    <w:r>
      <w:rPr>
        <w:rFonts w:ascii="Arial" w:eastAsia="Arial" w:hAnsi="Arial" w:cs="Arial"/>
        <w:sz w:val="14"/>
        <w:szCs w:val="14"/>
      </w:rPr>
      <w:t>dibilidad y compromiso con la protección de la salud de la población y el desarrollo nacional.</w:t>
    </w:r>
  </w:p>
  <w:p w:rsidR="00E85227" w:rsidRDefault="00BF240B">
    <w:pPr>
      <w:tabs>
        <w:tab w:val="center" w:pos="4252"/>
        <w:tab w:val="right" w:pos="8504"/>
      </w:tabs>
      <w:ind w:right="820"/>
      <w:jc w:val="both"/>
      <w:rPr>
        <w:rFonts w:ascii="Arial" w:eastAsia="Arial" w:hAnsi="Arial" w:cs="Arial"/>
        <w:sz w:val="14"/>
        <w:szCs w:val="14"/>
      </w:rPr>
    </w:pPr>
    <w:r>
      <w:rPr>
        <w:rFonts w:ascii="Arial" w:eastAsia="Arial" w:hAnsi="Arial" w:cs="Arial"/>
        <w:sz w:val="14"/>
        <w:szCs w:val="14"/>
      </w:rPr>
      <w:t xml:space="preserve"> </w:t>
    </w:r>
  </w:p>
  <w:p w:rsidR="00E85227" w:rsidRDefault="00BF240B">
    <w:pPr>
      <w:tabs>
        <w:tab w:val="center" w:pos="4252"/>
        <w:tab w:val="right" w:pos="8504"/>
      </w:tabs>
      <w:ind w:right="820"/>
      <w:jc w:val="center"/>
      <w:rPr>
        <w:rFonts w:ascii="Arial" w:eastAsia="Arial" w:hAnsi="Arial" w:cs="Arial"/>
        <w:b/>
        <w:sz w:val="14"/>
        <w:szCs w:val="14"/>
      </w:rPr>
    </w:pPr>
    <w:r>
      <w:rPr>
        <w:rFonts w:ascii="Arial" w:eastAsia="Arial" w:hAnsi="Arial" w:cs="Arial"/>
        <w:b/>
        <w:sz w:val="14"/>
        <w:szCs w:val="14"/>
      </w:rPr>
      <w:t xml:space="preserve">Iturbe </w:t>
    </w:r>
    <w:proofErr w:type="spellStart"/>
    <w:r>
      <w:rPr>
        <w:rFonts w:ascii="Arial" w:eastAsia="Arial" w:hAnsi="Arial" w:cs="Arial"/>
        <w:b/>
        <w:sz w:val="14"/>
        <w:szCs w:val="14"/>
      </w:rPr>
      <w:t>Nº</w:t>
    </w:r>
    <w:proofErr w:type="spellEnd"/>
    <w:r>
      <w:rPr>
        <w:rFonts w:ascii="Arial" w:eastAsia="Arial" w:hAnsi="Arial" w:cs="Arial"/>
        <w:b/>
        <w:sz w:val="14"/>
        <w:szCs w:val="14"/>
      </w:rPr>
      <w:t xml:space="preserve"> 883 e/ Manuel Domínguez y Fulgencio R. Moreno</w:t>
    </w:r>
  </w:p>
  <w:p w:rsidR="00E85227" w:rsidRDefault="00BF240B">
    <w:pPr>
      <w:tabs>
        <w:tab w:val="center" w:pos="4252"/>
        <w:tab w:val="right" w:pos="8504"/>
      </w:tabs>
      <w:ind w:right="820"/>
      <w:jc w:val="center"/>
      <w:rPr>
        <w:rFonts w:ascii="Arial" w:eastAsia="Arial" w:hAnsi="Arial" w:cs="Arial"/>
        <w:b/>
        <w:sz w:val="14"/>
        <w:szCs w:val="14"/>
      </w:rPr>
    </w:pPr>
    <w:r>
      <w:rPr>
        <w:rFonts w:ascii="Arial" w:eastAsia="Arial" w:hAnsi="Arial" w:cs="Arial"/>
        <w:b/>
        <w:sz w:val="14"/>
        <w:szCs w:val="14"/>
      </w:rPr>
      <w:t>Asunción, Paraguay</w:t>
    </w:r>
  </w:p>
  <w:p w:rsidR="00E85227" w:rsidRDefault="00BF240B">
    <w:pPr>
      <w:tabs>
        <w:tab w:val="center" w:pos="4252"/>
        <w:tab w:val="right" w:pos="8504"/>
      </w:tabs>
      <w:spacing w:line="276" w:lineRule="auto"/>
      <w:ind w:right="820"/>
      <w:jc w:val="right"/>
      <w:rPr>
        <w:color w:val="000000"/>
      </w:rPr>
    </w:pPr>
    <w:r>
      <w:rPr>
        <w:sz w:val="16"/>
        <w:szCs w:val="16"/>
      </w:rPr>
      <w:t xml:space="preserve">Página </w:t>
    </w:r>
    <w:r>
      <w:rPr>
        <w:b/>
        <w:sz w:val="16"/>
        <w:szCs w:val="16"/>
      </w:rPr>
      <w:t>2</w:t>
    </w:r>
    <w:r>
      <w:rPr>
        <w:sz w:val="16"/>
        <w:szCs w:val="16"/>
      </w:rPr>
      <w:t xml:space="preserve"> de </w:t>
    </w:r>
    <w:r>
      <w:rPr>
        <w:b/>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40B" w:rsidRDefault="00BF240B">
      <w:r>
        <w:separator/>
      </w:r>
    </w:p>
  </w:footnote>
  <w:footnote w:type="continuationSeparator" w:id="0">
    <w:p w:rsidR="00BF240B" w:rsidRDefault="00BF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227" w:rsidRDefault="00E85227">
    <w:pPr>
      <w:pStyle w:val="Ttulo"/>
      <w:keepNext w:val="0"/>
      <w:keepLines w:val="0"/>
      <w:spacing w:before="0" w:after="0"/>
      <w:ind w:right="820"/>
      <w:jc w:val="center"/>
      <w:rPr>
        <w:rFonts w:ascii="Arial" w:eastAsia="Arial" w:hAnsi="Arial" w:cs="Arial"/>
        <w:sz w:val="20"/>
        <w:szCs w:val="20"/>
      </w:rPr>
    </w:pPr>
  </w:p>
  <w:p w:rsidR="00E85227" w:rsidRDefault="00E85227">
    <w:pPr>
      <w:pStyle w:val="Ttulo"/>
      <w:keepNext w:val="0"/>
      <w:keepLines w:val="0"/>
      <w:spacing w:before="0" w:after="0"/>
      <w:ind w:right="820"/>
      <w:jc w:val="center"/>
      <w:rPr>
        <w:rFonts w:ascii="Arial" w:eastAsia="Arial" w:hAnsi="Arial" w:cs="Arial"/>
        <w:sz w:val="20"/>
        <w:szCs w:val="20"/>
      </w:rPr>
    </w:pPr>
  </w:p>
  <w:p w:rsidR="00E85227" w:rsidRDefault="00BF240B">
    <w:pPr>
      <w:pStyle w:val="Ttulo"/>
      <w:keepNext w:val="0"/>
      <w:keepLines w:val="0"/>
      <w:spacing w:before="0" w:after="0"/>
      <w:ind w:right="820"/>
      <w:jc w:val="center"/>
      <w:rPr>
        <w:rFonts w:ascii="Arial" w:eastAsia="Arial" w:hAnsi="Arial" w:cs="Arial"/>
        <w:sz w:val="20"/>
        <w:szCs w:val="20"/>
      </w:rPr>
    </w:pPr>
    <w:r>
      <w:rPr>
        <w:rFonts w:ascii="Arial" w:eastAsia="Arial" w:hAnsi="Arial" w:cs="Arial"/>
        <w:sz w:val="20"/>
        <w:szCs w:val="20"/>
      </w:rPr>
      <w:t>“Sesquicentenario de la Epopeya Nacional: 1864 - 1870”</w:t>
    </w:r>
  </w:p>
  <w:p w:rsidR="00E85227" w:rsidRDefault="00E85227">
    <w:pPr>
      <w:pStyle w:val="Ttulo"/>
      <w:keepNext w:val="0"/>
      <w:keepLines w:val="0"/>
      <w:spacing w:before="0" w:after="0"/>
      <w:ind w:right="820"/>
      <w:jc w:val="center"/>
      <w:rPr>
        <w:rFonts w:ascii="Arial" w:eastAsia="Arial" w:hAnsi="Arial" w:cs="Arial"/>
        <w:sz w:val="10"/>
        <w:szCs w:val="10"/>
      </w:rPr>
    </w:pPr>
  </w:p>
  <w:p w:rsidR="00E85227" w:rsidRDefault="00BF240B">
    <w:pPr>
      <w:pStyle w:val="Ttulo"/>
      <w:keepNext w:val="0"/>
      <w:keepLines w:val="0"/>
      <w:spacing w:before="0" w:after="0"/>
      <w:ind w:right="820"/>
      <w:jc w:val="center"/>
      <w:rPr>
        <w:rFonts w:ascii="Arial" w:eastAsia="Arial" w:hAnsi="Arial" w:cs="Arial"/>
        <w:i/>
        <w:sz w:val="22"/>
        <w:szCs w:val="22"/>
      </w:rPr>
    </w:pPr>
    <w:r>
      <w:rPr>
        <w:rFonts w:ascii="Arial" w:eastAsia="Arial" w:hAnsi="Arial" w:cs="Arial"/>
        <w:b w:val="0"/>
        <w:noProof/>
        <w:sz w:val="22"/>
        <w:szCs w:val="22"/>
      </w:rPr>
      <w:drawing>
        <wp:inline distT="0" distB="0" distL="0" distR="0">
          <wp:extent cx="514350" cy="476250"/>
          <wp:effectExtent l="0" t="0" r="0" b="0"/>
          <wp:docPr id="2" name="image1.png" descr="24.Escudo - Gloria Inés Montaño 2014"/>
          <wp:cNvGraphicFramePr/>
          <a:graphic xmlns:a="http://schemas.openxmlformats.org/drawingml/2006/main">
            <a:graphicData uri="http://schemas.openxmlformats.org/drawingml/2006/picture">
              <pic:pic xmlns:pic="http://schemas.openxmlformats.org/drawingml/2006/picture">
                <pic:nvPicPr>
                  <pic:cNvPr id="0" name="image1.png" descr="24.Escudo - Gloria Inés Montaño 2014"/>
                  <pic:cNvPicPr preferRelativeResize="0"/>
                </pic:nvPicPr>
                <pic:blipFill>
                  <a:blip r:embed="rId1"/>
                  <a:srcRect/>
                  <a:stretch>
                    <a:fillRect/>
                  </a:stretch>
                </pic:blipFill>
                <pic:spPr>
                  <a:xfrm>
                    <a:off x="0" y="0"/>
                    <a:ext cx="514350" cy="476250"/>
                  </a:xfrm>
                  <a:prstGeom prst="rect">
                    <a:avLst/>
                  </a:prstGeom>
                  <a:ln/>
                </pic:spPr>
              </pic:pic>
            </a:graphicData>
          </a:graphic>
        </wp:inline>
      </w:drawing>
    </w:r>
  </w:p>
  <w:p w:rsidR="00E85227" w:rsidRDefault="00E85227">
    <w:pPr>
      <w:pStyle w:val="Ttulo"/>
      <w:keepNext w:val="0"/>
      <w:keepLines w:val="0"/>
      <w:spacing w:before="0" w:after="0"/>
      <w:ind w:right="820"/>
      <w:jc w:val="center"/>
      <w:rPr>
        <w:rFonts w:ascii="Arial" w:eastAsia="Arial" w:hAnsi="Arial" w:cs="Arial"/>
        <w:i/>
        <w:sz w:val="10"/>
        <w:szCs w:val="10"/>
      </w:rPr>
    </w:pPr>
  </w:p>
  <w:p w:rsidR="00E85227" w:rsidRDefault="00BF240B">
    <w:pPr>
      <w:ind w:right="820"/>
      <w:jc w:val="center"/>
      <w:rPr>
        <w:rFonts w:ascii="Arial" w:eastAsia="Arial" w:hAnsi="Arial" w:cs="Arial"/>
        <w:b/>
        <w:sz w:val="22"/>
        <w:szCs w:val="22"/>
      </w:rPr>
    </w:pPr>
    <w:r>
      <w:rPr>
        <w:rFonts w:ascii="Arial" w:eastAsia="Arial" w:hAnsi="Arial" w:cs="Arial"/>
        <w:b/>
        <w:sz w:val="22"/>
        <w:szCs w:val="22"/>
      </w:rPr>
      <w:t>Poder Ejecutivo</w:t>
    </w:r>
  </w:p>
  <w:p w:rsidR="00E85227" w:rsidRDefault="00BF240B">
    <w:pPr>
      <w:ind w:right="820"/>
      <w:jc w:val="center"/>
      <w:rPr>
        <w:rFonts w:ascii="Arial" w:eastAsia="Arial" w:hAnsi="Arial" w:cs="Arial"/>
        <w:b/>
        <w:sz w:val="22"/>
        <w:szCs w:val="22"/>
      </w:rPr>
    </w:pPr>
    <w:r>
      <w:rPr>
        <w:rFonts w:ascii="Arial" w:eastAsia="Arial" w:hAnsi="Arial" w:cs="Arial"/>
        <w:b/>
        <w:sz w:val="22"/>
        <w:szCs w:val="22"/>
      </w:rPr>
      <w:t>Dirección Nacional de Vigilancia Sanitaria</w:t>
    </w:r>
  </w:p>
  <w:p w:rsidR="00E85227" w:rsidRDefault="00E85227">
    <w:pPr>
      <w:ind w:right="820"/>
      <w:jc w:val="center"/>
      <w:rPr>
        <w:rFonts w:ascii="Arial" w:eastAsia="Arial" w:hAnsi="Arial" w:cs="Arial"/>
        <w:b/>
        <w:sz w:val="22"/>
        <w:szCs w:val="22"/>
      </w:rPr>
    </w:pPr>
  </w:p>
  <w:p w:rsidR="00E85227" w:rsidRDefault="00BF240B">
    <w:pPr>
      <w:keepNext/>
      <w:ind w:left="432" w:right="820"/>
      <w:jc w:val="center"/>
      <w:rPr>
        <w:rFonts w:ascii="Arial" w:eastAsia="Arial" w:hAnsi="Arial" w:cs="Arial"/>
        <w:b/>
        <w:sz w:val="22"/>
        <w:szCs w:val="22"/>
      </w:rPr>
    </w:pPr>
    <w:r>
      <w:rPr>
        <w:rFonts w:ascii="Arial" w:eastAsia="Arial" w:hAnsi="Arial" w:cs="Arial"/>
        <w:b/>
        <w:sz w:val="22"/>
        <w:szCs w:val="22"/>
      </w:rPr>
      <w:t xml:space="preserve">Resolución DINAVISA </w:t>
    </w:r>
    <w:proofErr w:type="spellStart"/>
    <w:r>
      <w:rPr>
        <w:rFonts w:ascii="Arial" w:eastAsia="Arial" w:hAnsi="Arial" w:cs="Arial"/>
        <w:b/>
        <w:sz w:val="22"/>
        <w:szCs w:val="22"/>
      </w:rPr>
      <w:t>N°</w:t>
    </w:r>
    <w:proofErr w:type="spellEnd"/>
    <w:r>
      <w:rPr>
        <w:rFonts w:ascii="Arial" w:eastAsia="Arial" w:hAnsi="Arial" w:cs="Arial"/>
        <w:b/>
        <w:sz w:val="22"/>
        <w:szCs w:val="22"/>
      </w:rPr>
      <w:t xml:space="preserve">              /2025</w:t>
    </w:r>
  </w:p>
  <w:p w:rsidR="00E85227" w:rsidRDefault="00E85227">
    <w:pPr>
      <w:pBdr>
        <w:top w:val="nil"/>
        <w:left w:val="nil"/>
        <w:bottom w:val="nil"/>
        <w:right w:val="nil"/>
        <w:between w:val="nil"/>
      </w:pBdr>
      <w:tabs>
        <w:tab w:val="center" w:pos="4252"/>
        <w:tab w:val="right" w:pos="8504"/>
      </w:tabs>
      <w:ind w:right="820"/>
      <w:rPr>
        <w:color w:val="000000"/>
      </w:rPr>
    </w:pPr>
  </w:p>
  <w:p w:rsidR="00E85227" w:rsidRDefault="00E85227">
    <w:pPr>
      <w:ind w:right="820"/>
      <w:jc w:val="both"/>
      <w:rPr>
        <w:rFonts w:ascii="Arial" w:eastAsia="Arial" w:hAnsi="Arial" w:cs="Arial"/>
        <w:b/>
        <w:sz w:val="22"/>
        <w:szCs w:val="22"/>
        <w:shd w:val="clear" w:color="auto" w:fill="FF9900"/>
      </w:rPr>
    </w:pPr>
  </w:p>
  <w:p w:rsidR="00E85227" w:rsidRDefault="00BF240B">
    <w:pPr>
      <w:ind w:right="825"/>
      <w:jc w:val="both"/>
      <w:rPr>
        <w:rFonts w:ascii="Arial" w:eastAsia="Arial" w:hAnsi="Arial" w:cs="Arial"/>
        <w:b/>
        <w:sz w:val="22"/>
        <w:szCs w:val="22"/>
      </w:rPr>
    </w:pPr>
    <w:r>
      <w:rPr>
        <w:rFonts w:ascii="Arial" w:eastAsia="Arial" w:hAnsi="Arial" w:cs="Arial"/>
        <w:b/>
        <w:sz w:val="22"/>
        <w:szCs w:val="22"/>
      </w:rPr>
      <w:t>POR LA CUAL SE ESTABLECE LA CLASIFICACIÓN DE LAS AGUAS ENVASADAS, DESTINADAS AL CONSUMO HUMANO, SUS DENOMINACIONES DE VENTA Y EL ROTULADO QUE DEBEN CUMPLIR LAS MISMAS PARA SU COMERCIALIZACIÓN.</w:t>
    </w:r>
  </w:p>
  <w:p w:rsidR="00E85227" w:rsidRDefault="00E85227">
    <w:pPr>
      <w:ind w:right="820"/>
      <w:jc w:val="both"/>
      <w:rPr>
        <w:rFonts w:ascii="Arial" w:eastAsia="Arial" w:hAnsi="Arial" w:cs="Arial"/>
        <w:b/>
        <w:sz w:val="22"/>
        <w:szCs w:val="22"/>
      </w:rPr>
    </w:pPr>
  </w:p>
  <w:p w:rsidR="00E85227" w:rsidRDefault="00E85227">
    <w:pPr>
      <w:ind w:right="820"/>
      <w:jc w:val="both"/>
      <w:rPr>
        <w:rFonts w:ascii="Arial" w:eastAsia="Arial" w:hAnsi="Arial" w:cs="Arial"/>
        <w:b/>
        <w:sz w:val="22"/>
        <w:szCs w:val="22"/>
        <w:shd w:val="clear" w:color="auto" w:fill="FF9900"/>
      </w:rPr>
    </w:pPr>
  </w:p>
  <w:p w:rsidR="00E85227" w:rsidRDefault="00E85227">
    <w:pPr>
      <w:ind w:right="820"/>
      <w:jc w:val="both"/>
      <w:rPr>
        <w:rFonts w:ascii="Arial" w:eastAsia="Arial" w:hAnsi="Arial" w:cs="Arial"/>
        <w:b/>
        <w:sz w:val="22"/>
        <w:szCs w:val="22"/>
      </w:rPr>
    </w:pPr>
  </w:p>
  <w:p w:rsidR="00E85227" w:rsidRDefault="00BF240B">
    <w:pPr>
      <w:ind w:right="820"/>
      <w:jc w:val="right"/>
      <w:rPr>
        <w:rFonts w:ascii="Arial" w:eastAsia="Arial" w:hAnsi="Arial" w:cs="Arial"/>
        <w:sz w:val="22"/>
        <w:szCs w:val="22"/>
      </w:rPr>
    </w:pPr>
    <w:r>
      <w:rPr>
        <w:rFonts w:ascii="Arial" w:eastAsia="Arial" w:hAnsi="Arial" w:cs="Arial"/>
        <w:sz w:val="22"/>
        <w:szCs w:val="22"/>
      </w:rPr>
      <w:t>Asunción, XX de XXXX de 2025.-</w:t>
    </w:r>
  </w:p>
  <w:p w:rsidR="00E85227" w:rsidRDefault="00E85227">
    <w:pPr>
      <w:ind w:right="820"/>
      <w:jc w:val="right"/>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615BD"/>
    <w:multiLevelType w:val="multilevel"/>
    <w:tmpl w:val="45DC57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0A0345A"/>
    <w:multiLevelType w:val="multilevel"/>
    <w:tmpl w:val="41B08352"/>
    <w:lvl w:ilvl="0">
      <w:start w:val="1"/>
      <w:numFmt w:val="lowerLetter"/>
      <w:lvlText w:val="%1)"/>
      <w:lvlJc w:val="left"/>
      <w:pPr>
        <w:ind w:left="2125" w:hanging="359"/>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8181FC1"/>
    <w:multiLevelType w:val="multilevel"/>
    <w:tmpl w:val="E0E6958C"/>
    <w:lvl w:ilvl="0">
      <w:start w:val="1"/>
      <w:numFmt w:val="lowerLetter"/>
      <w:lvlText w:val="%1."/>
      <w:lvlJc w:val="left"/>
      <w:pPr>
        <w:ind w:left="2160" w:hanging="360"/>
      </w:pPr>
      <w:rPr>
        <w:u w:val="none"/>
        <w:shd w:val="clear" w:color="auto" w:fill="auto"/>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27"/>
    <w:rsid w:val="00BF240B"/>
    <w:rsid w:val="00E85227"/>
    <w:rsid w:val="00FE0C6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80F89-16F7-42A1-BBB1-55A732BF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Y" w:eastAsia="es-P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link w:val="TextoindependienteCar"/>
    <w:rsid w:val="001C2552"/>
    <w:pPr>
      <w:jc w:val="both"/>
    </w:pPr>
    <w:rPr>
      <w:sz w:val="24"/>
    </w:rPr>
  </w:style>
  <w:style w:type="character" w:customStyle="1" w:styleId="TextoindependienteCar">
    <w:name w:val="Texto independiente Car"/>
    <w:basedOn w:val="Fuentedeprrafopredeter"/>
    <w:link w:val="Textoindependiente"/>
    <w:rsid w:val="001C2552"/>
    <w:rPr>
      <w:rFonts w:ascii="Times New Roman" w:eastAsia="Times New Roman" w:hAnsi="Times New Roman" w:cs="Times New Roman"/>
      <w:sz w:val="24"/>
      <w:szCs w:val="20"/>
      <w:lang w:eastAsia="zh-CN"/>
    </w:rPr>
  </w:style>
  <w:style w:type="paragraph" w:styleId="Piedepgina">
    <w:name w:val="footer"/>
    <w:basedOn w:val="Normal"/>
    <w:link w:val="PiedepginaCar"/>
    <w:rsid w:val="001C2552"/>
    <w:pPr>
      <w:tabs>
        <w:tab w:val="center" w:pos="4252"/>
        <w:tab w:val="right" w:pos="8504"/>
      </w:tabs>
    </w:pPr>
  </w:style>
  <w:style w:type="character" w:customStyle="1" w:styleId="PiedepginaCar">
    <w:name w:val="Pie de página Car"/>
    <w:basedOn w:val="Fuentedeprrafopredeter"/>
    <w:link w:val="Piedepgina"/>
    <w:rsid w:val="001C2552"/>
    <w:rPr>
      <w:rFonts w:ascii="Times New Roman" w:eastAsia="Times New Roman" w:hAnsi="Times New Roman" w:cs="Times New Roman"/>
      <w:sz w:val="20"/>
      <w:szCs w:val="20"/>
      <w:lang w:eastAsia="zh-CN"/>
    </w:rPr>
  </w:style>
  <w:style w:type="paragraph" w:styleId="Prrafodelista">
    <w:name w:val="List Paragraph"/>
    <w:basedOn w:val="Normal"/>
    <w:qFormat/>
    <w:rsid w:val="001C2552"/>
    <w:pPr>
      <w:ind w:left="720"/>
    </w:pPr>
    <w:rPr>
      <w:lang w:val="es-ES"/>
    </w:rPr>
  </w:style>
  <w:style w:type="paragraph" w:styleId="Encabezado">
    <w:name w:val="header"/>
    <w:basedOn w:val="Normal"/>
    <w:link w:val="EncabezadoCar"/>
    <w:uiPriority w:val="99"/>
    <w:unhideWhenUsed/>
    <w:rsid w:val="001C2552"/>
    <w:pPr>
      <w:tabs>
        <w:tab w:val="center" w:pos="4252"/>
        <w:tab w:val="right" w:pos="8504"/>
      </w:tabs>
    </w:pPr>
  </w:style>
  <w:style w:type="character" w:customStyle="1" w:styleId="EncabezadoCar">
    <w:name w:val="Encabezado Car"/>
    <w:basedOn w:val="Fuentedeprrafopredeter"/>
    <w:link w:val="Encabezado"/>
    <w:uiPriority w:val="99"/>
    <w:rsid w:val="001C2552"/>
    <w:rPr>
      <w:rFonts w:ascii="Times New Roman" w:eastAsia="Times New Roman" w:hAnsi="Times New Roman" w:cs="Times New Roman"/>
      <w:sz w:val="20"/>
      <w:szCs w:val="20"/>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PnjLCl35qHpfQi/Hy/LKooTMQ==">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DELL</cp:lastModifiedBy>
  <cp:revision>2</cp:revision>
  <dcterms:created xsi:type="dcterms:W3CDTF">2025-09-22T14:33:00Z</dcterms:created>
  <dcterms:modified xsi:type="dcterms:W3CDTF">2025-09-22T14:33:00Z</dcterms:modified>
</cp:coreProperties>
</file>