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54B" w:rsidRDefault="00C82583">
      <w:pPr>
        <w:jc w:val="both"/>
        <w:rPr>
          <w:rFonts w:ascii="Arial" w:eastAsia="Arial" w:hAnsi="Arial" w:cs="Arial"/>
          <w:b/>
          <w:sz w:val="22"/>
          <w:szCs w:val="22"/>
        </w:rPr>
      </w:pPr>
      <w:r>
        <w:rPr>
          <w:rFonts w:ascii="Arial" w:eastAsia="Arial" w:hAnsi="Arial" w:cs="Arial"/>
          <w:b/>
          <w:sz w:val="22"/>
          <w:szCs w:val="22"/>
        </w:rPr>
        <w:t>VISTO:</w:t>
      </w:r>
    </w:p>
    <w:p w:rsidR="009C054B" w:rsidRDefault="00C82583">
      <w:pPr>
        <w:ind w:firstLine="708"/>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 xml:space="preserve">El Memorando DINAVISA XXX </w:t>
      </w:r>
      <w:proofErr w:type="spellStart"/>
      <w:r>
        <w:rPr>
          <w:rFonts w:ascii="Arial" w:eastAsia="Arial" w:hAnsi="Arial" w:cs="Arial"/>
          <w:sz w:val="22"/>
          <w:szCs w:val="22"/>
        </w:rPr>
        <w:t>Nº</w:t>
      </w:r>
      <w:proofErr w:type="spellEnd"/>
      <w:r>
        <w:rPr>
          <w:rFonts w:ascii="Arial" w:eastAsia="Arial" w:hAnsi="Arial" w:cs="Arial"/>
          <w:sz w:val="22"/>
          <w:szCs w:val="22"/>
        </w:rPr>
        <w:t xml:space="preserve"> XX/2025, por medio del cual el Departamento de Fijación de Precios de Medicamentos de la Dirección Nacional de Vigilancia Sanitaria (DINAVISA) a través del cual solicita la reglamentación del procedimiento para fijación de precios de medicamentos, adoptando el sistema de fijación de precios de venta al público de medicamentos (PVP) con base en fuente oficial de precios de referencia interna; y</w:t>
      </w:r>
    </w:p>
    <w:p w:rsidR="009C054B" w:rsidRDefault="009C054B">
      <w:pPr>
        <w:pBdr>
          <w:top w:val="nil"/>
          <w:left w:val="nil"/>
          <w:bottom w:val="nil"/>
          <w:right w:val="nil"/>
          <w:between w:val="nil"/>
        </w:pBdr>
        <w:rPr>
          <w:rFonts w:ascii="Arial" w:eastAsia="Arial" w:hAnsi="Arial" w:cs="Arial"/>
          <w:color w:val="000000"/>
        </w:rPr>
      </w:pPr>
    </w:p>
    <w:p w:rsidR="009C054B" w:rsidRDefault="00C82583">
      <w:pPr>
        <w:pBdr>
          <w:top w:val="nil"/>
          <w:left w:val="nil"/>
          <w:bottom w:val="nil"/>
          <w:right w:val="nil"/>
          <w:between w:val="nil"/>
        </w:pBdr>
        <w:ind w:firstLine="709"/>
        <w:jc w:val="both"/>
        <w:rPr>
          <w:rFonts w:ascii="Arial" w:eastAsia="Arial" w:hAnsi="Arial" w:cs="Arial"/>
          <w:color w:val="000000"/>
          <w:sz w:val="22"/>
          <w:szCs w:val="22"/>
        </w:rPr>
      </w:pPr>
      <w:r>
        <w:rPr>
          <w:rFonts w:ascii="Arial" w:eastAsia="Arial" w:hAnsi="Arial" w:cs="Arial"/>
          <w:color w:val="000000"/>
          <w:sz w:val="22"/>
          <w:szCs w:val="22"/>
        </w:rPr>
        <w:t>La existencia de diferentes opciones de políticas públicas de asequibilidad financiera (</w:t>
      </w:r>
      <w:proofErr w:type="spellStart"/>
      <w:r>
        <w:rPr>
          <w:rFonts w:ascii="Arial" w:eastAsia="Arial" w:hAnsi="Arial" w:cs="Arial"/>
          <w:color w:val="000000"/>
          <w:sz w:val="22"/>
          <w:szCs w:val="22"/>
        </w:rPr>
        <w:t>affordability</w:t>
      </w:r>
      <w:proofErr w:type="spellEnd"/>
      <w:r>
        <w:rPr>
          <w:rFonts w:ascii="Arial" w:eastAsia="Arial" w:hAnsi="Arial" w:cs="Arial"/>
          <w:color w:val="000000"/>
          <w:sz w:val="22"/>
          <w:szCs w:val="22"/>
        </w:rPr>
        <w:t>) para gestionar el precio de medicamentos y tecnologías en salud de manera directa o indirecta que pueden implementarse de manera combinada.</w:t>
      </w:r>
    </w:p>
    <w:p w:rsidR="009C054B" w:rsidRDefault="00C82583">
      <w:pPr>
        <w:ind w:firstLine="708"/>
        <w:jc w:val="both"/>
        <w:rPr>
          <w:rFonts w:ascii="Arial" w:eastAsia="Arial" w:hAnsi="Arial" w:cs="Arial"/>
          <w:b/>
          <w:sz w:val="22"/>
          <w:szCs w:val="22"/>
        </w:rPr>
      </w:pPr>
      <w:r>
        <w:rPr>
          <w:rFonts w:ascii="Arial" w:eastAsia="Arial" w:hAnsi="Arial" w:cs="Arial"/>
          <w:sz w:val="22"/>
          <w:szCs w:val="22"/>
        </w:rPr>
        <w:t xml:space="preserve">  </w:t>
      </w:r>
    </w:p>
    <w:p w:rsidR="009C054B" w:rsidRDefault="00C82583">
      <w:pPr>
        <w:jc w:val="both"/>
        <w:rPr>
          <w:rFonts w:ascii="Arial" w:eastAsia="Arial" w:hAnsi="Arial" w:cs="Arial"/>
          <w:b/>
          <w:sz w:val="22"/>
          <w:szCs w:val="22"/>
        </w:rPr>
      </w:pPr>
      <w:r>
        <w:rPr>
          <w:rFonts w:ascii="Arial" w:eastAsia="Arial" w:hAnsi="Arial" w:cs="Arial"/>
          <w:b/>
          <w:sz w:val="22"/>
          <w:szCs w:val="22"/>
        </w:rPr>
        <w:t>CONSIDERANDO:</w:t>
      </w:r>
    </w:p>
    <w:p w:rsidR="009C054B" w:rsidRDefault="009C054B">
      <w:pPr>
        <w:jc w:val="both"/>
        <w:rPr>
          <w:rFonts w:ascii="Arial" w:eastAsia="Arial" w:hAnsi="Arial" w:cs="Arial"/>
          <w:sz w:val="22"/>
          <w:szCs w:val="22"/>
        </w:rPr>
      </w:pPr>
    </w:p>
    <w:p w:rsidR="009C054B" w:rsidRDefault="00C82583">
      <w:pPr>
        <w:pBdr>
          <w:top w:val="nil"/>
          <w:left w:val="nil"/>
          <w:bottom w:val="nil"/>
          <w:right w:val="nil"/>
          <w:between w:val="nil"/>
        </w:pBdr>
        <w:ind w:firstLine="709"/>
        <w:jc w:val="both"/>
        <w:rPr>
          <w:rFonts w:ascii="Arial" w:eastAsia="Arial" w:hAnsi="Arial" w:cs="Arial"/>
          <w:sz w:val="22"/>
          <w:szCs w:val="22"/>
        </w:rPr>
      </w:pPr>
      <w:r>
        <w:rPr>
          <w:rFonts w:ascii="Arial" w:eastAsia="Arial" w:hAnsi="Arial" w:cs="Arial"/>
          <w:sz w:val="22"/>
          <w:szCs w:val="22"/>
        </w:rPr>
        <w:t>Que la Constitución de la República del Paraguay en su Capítulo VI “De la Salud”, Artículo 72. “Del control de calidad” dispone que: “El Estado velará por el control de la calidad de los productos alimenticios, químicos, farmacéuticos y biológicos, en las etapas de producción, importación y comercialización. Asimismo, facilitará el acceso de sectores de escasos recursos a los medicamentos considerados esenciales”.</w:t>
      </w:r>
    </w:p>
    <w:p w:rsidR="009C054B" w:rsidRDefault="009C054B">
      <w:pPr>
        <w:pBdr>
          <w:top w:val="nil"/>
          <w:left w:val="nil"/>
          <w:bottom w:val="nil"/>
          <w:right w:val="nil"/>
          <w:between w:val="nil"/>
        </w:pBdr>
        <w:ind w:firstLine="709"/>
        <w:jc w:val="both"/>
        <w:rPr>
          <w:rFonts w:ascii="Arial" w:eastAsia="Arial" w:hAnsi="Arial" w:cs="Arial"/>
          <w:sz w:val="22"/>
          <w:szCs w:val="22"/>
        </w:rPr>
      </w:pPr>
    </w:p>
    <w:p w:rsidR="009C054B" w:rsidRDefault="00C82583">
      <w:pPr>
        <w:pBdr>
          <w:top w:val="nil"/>
          <w:left w:val="nil"/>
          <w:bottom w:val="nil"/>
          <w:right w:val="nil"/>
          <w:between w:val="nil"/>
        </w:pBdr>
        <w:ind w:firstLine="709"/>
        <w:jc w:val="both"/>
        <w:rPr>
          <w:rFonts w:ascii="Arial" w:eastAsia="Arial" w:hAnsi="Arial" w:cs="Arial"/>
          <w:sz w:val="22"/>
          <w:szCs w:val="22"/>
        </w:rPr>
      </w:pPr>
      <w:r>
        <w:rPr>
          <w:rFonts w:ascii="Arial" w:eastAsia="Arial" w:hAnsi="Arial" w:cs="Arial"/>
          <w:sz w:val="22"/>
          <w:szCs w:val="22"/>
        </w:rPr>
        <w:t xml:space="preserve">Que la Ley </w:t>
      </w:r>
      <w:proofErr w:type="spellStart"/>
      <w:r>
        <w:rPr>
          <w:rFonts w:ascii="Arial" w:eastAsia="Arial" w:hAnsi="Arial" w:cs="Arial"/>
          <w:sz w:val="22"/>
          <w:szCs w:val="22"/>
        </w:rPr>
        <w:t>Nº</w:t>
      </w:r>
      <w:proofErr w:type="spellEnd"/>
      <w:r>
        <w:rPr>
          <w:rFonts w:ascii="Arial" w:eastAsia="Arial" w:hAnsi="Arial" w:cs="Arial"/>
          <w:sz w:val="22"/>
          <w:szCs w:val="22"/>
        </w:rPr>
        <w:t xml:space="preserve"> 6788/2021, modificada por la Ley </w:t>
      </w:r>
      <w:proofErr w:type="spellStart"/>
      <w:r>
        <w:rPr>
          <w:rFonts w:ascii="Arial" w:eastAsia="Arial" w:hAnsi="Arial" w:cs="Arial"/>
          <w:sz w:val="22"/>
          <w:szCs w:val="22"/>
        </w:rPr>
        <w:t>Nº</w:t>
      </w:r>
      <w:proofErr w:type="spellEnd"/>
      <w:r>
        <w:rPr>
          <w:rFonts w:ascii="Arial" w:eastAsia="Arial" w:hAnsi="Arial" w:cs="Arial"/>
          <w:sz w:val="22"/>
          <w:szCs w:val="22"/>
        </w:rPr>
        <w:t xml:space="preserve"> 7361/2024, dispone la autonomía de la Dirección Nacional de Vigilancia Sanitaria y en su Artículo 3º establece: “La Dirección Nacional de Vigilancia Sanitaria (DINAVISA) será la autoridad responsable en materia de regulación sanitaria de productos para la salud como medicamentos y afines, así como también en materia de alimentos y afines, conforme lo establecido en este artículo y las demás disposiciones de esta Ley, a través de la ejecución de las políticas públicas diseñadas por el Ministerio de Salud Pública y Bienestar Social, como Ministerio con la rectoría sectorial en la materia”, y en su Artículo 5º, la Ley </w:t>
      </w:r>
      <w:proofErr w:type="spellStart"/>
      <w:r>
        <w:rPr>
          <w:rFonts w:ascii="Arial" w:eastAsia="Arial" w:hAnsi="Arial" w:cs="Arial"/>
          <w:sz w:val="22"/>
          <w:szCs w:val="22"/>
        </w:rPr>
        <w:t>N°</w:t>
      </w:r>
      <w:proofErr w:type="spellEnd"/>
      <w:r>
        <w:rPr>
          <w:rFonts w:ascii="Arial" w:eastAsia="Arial" w:hAnsi="Arial" w:cs="Arial"/>
          <w:sz w:val="22"/>
          <w:szCs w:val="22"/>
        </w:rPr>
        <w:t xml:space="preserve"> 6788/2021, dispone: “La Dirección Nacional de Vigilancia Sanitaria (DINAVISA), tiene por finalidad velar por la protección de la salud humana. A tal efecto, deberá cumplir las siguientes funciones... 4) Regular y </w:t>
      </w:r>
      <w:proofErr w:type="spellStart"/>
      <w:r>
        <w:rPr>
          <w:rFonts w:ascii="Arial" w:eastAsia="Arial" w:hAnsi="Arial" w:cs="Arial"/>
          <w:sz w:val="22"/>
          <w:szCs w:val="22"/>
        </w:rPr>
        <w:t>ﬁscalizar</w:t>
      </w:r>
      <w:proofErr w:type="spellEnd"/>
      <w:r>
        <w:rPr>
          <w:rFonts w:ascii="Arial" w:eastAsia="Arial" w:hAnsi="Arial" w:cs="Arial"/>
          <w:sz w:val="22"/>
          <w:szCs w:val="22"/>
        </w:rPr>
        <w:t xml:space="preserve"> las actividades realizadas por las personas físicas o jurídicas que intervienen durante las etapas de la fabricación, elaboración, fraccionamiento, control de calidad, distribución, prescripción, dispensación, comercialización, representación, importación, exportación, almacenamiento, uso racional, </w:t>
      </w:r>
      <w:proofErr w:type="spellStart"/>
      <w:r>
        <w:rPr>
          <w:rFonts w:ascii="Arial" w:eastAsia="Arial" w:hAnsi="Arial" w:cs="Arial"/>
          <w:sz w:val="22"/>
          <w:szCs w:val="22"/>
        </w:rPr>
        <w:t>ﬁjación</w:t>
      </w:r>
      <w:proofErr w:type="spellEnd"/>
      <w:r>
        <w:rPr>
          <w:rFonts w:ascii="Arial" w:eastAsia="Arial" w:hAnsi="Arial" w:cs="Arial"/>
          <w:sz w:val="22"/>
          <w:szCs w:val="22"/>
        </w:rPr>
        <w:t xml:space="preserve"> de precios, información y publicidad de los productos para la salud </w:t>
      </w:r>
      <w:r>
        <w:rPr>
          <w:rFonts w:ascii="Arial" w:eastAsia="Arial" w:hAnsi="Arial" w:cs="Arial"/>
          <w:sz w:val="22"/>
          <w:szCs w:val="22"/>
        </w:rPr>
        <w:lastRenderedPageBreak/>
        <w:t xml:space="preserve">como medicamentos de uso humano, drogas, productos químicos, reactivos, dispositivos médicos y todo otro producto de uso y aplicación de uso humano, así como los considerados de higiene personal, cosméticos, perfumes y </w:t>
      </w:r>
      <w:proofErr w:type="spellStart"/>
      <w:r>
        <w:rPr>
          <w:rFonts w:ascii="Arial" w:eastAsia="Arial" w:hAnsi="Arial" w:cs="Arial"/>
          <w:sz w:val="22"/>
          <w:szCs w:val="22"/>
        </w:rPr>
        <w:t>domisanitarios</w:t>
      </w:r>
      <w:proofErr w:type="spellEnd"/>
      <w:r>
        <w:rPr>
          <w:rFonts w:ascii="Arial" w:eastAsia="Arial" w:hAnsi="Arial" w:cs="Arial"/>
          <w:sz w:val="22"/>
          <w:szCs w:val="22"/>
        </w:rPr>
        <w:t xml:space="preserve">; 5) La Dirección Nacional de Vigilancia Sanitaria (DINAVISA), determinará periódicamente bajo la supervisión del Ministerio de Salud Pública y Bienestar Social, los medicamentos que pueden ser comercializados y </w:t>
      </w:r>
      <w:proofErr w:type="spellStart"/>
      <w:r>
        <w:rPr>
          <w:rFonts w:ascii="Arial" w:eastAsia="Arial" w:hAnsi="Arial" w:cs="Arial"/>
          <w:sz w:val="22"/>
          <w:szCs w:val="22"/>
        </w:rPr>
        <w:t>ﬁjará</w:t>
      </w:r>
      <w:proofErr w:type="spellEnd"/>
      <w:r>
        <w:rPr>
          <w:rFonts w:ascii="Arial" w:eastAsia="Arial" w:hAnsi="Arial" w:cs="Arial"/>
          <w:sz w:val="22"/>
          <w:szCs w:val="22"/>
        </w:rPr>
        <w:t xml:space="preserve"> los precios, inclusive los que regirán en las farmacias abiertas al público en general; así como en las farmacias de clínicas, policlínicas, ambulatorios, sanatorios y hospitales y otros servicios similares de atención de pacientes, en el sector privado”. </w:t>
      </w:r>
    </w:p>
    <w:p w:rsidR="009C054B" w:rsidRDefault="009C054B">
      <w:pPr>
        <w:pBdr>
          <w:top w:val="nil"/>
          <w:left w:val="nil"/>
          <w:bottom w:val="nil"/>
          <w:right w:val="nil"/>
          <w:between w:val="nil"/>
        </w:pBdr>
        <w:ind w:firstLine="709"/>
        <w:jc w:val="both"/>
        <w:rPr>
          <w:rFonts w:ascii="Arial" w:eastAsia="Arial" w:hAnsi="Arial" w:cs="Arial"/>
          <w:sz w:val="22"/>
          <w:szCs w:val="22"/>
        </w:rPr>
      </w:pPr>
    </w:p>
    <w:p w:rsidR="009C054B" w:rsidRDefault="00C82583">
      <w:pPr>
        <w:shd w:val="clear" w:color="auto" w:fill="FDFDFD"/>
        <w:ind w:firstLine="709"/>
        <w:jc w:val="both"/>
        <w:rPr>
          <w:rFonts w:ascii="Arial" w:eastAsia="Arial" w:hAnsi="Arial" w:cs="Arial"/>
          <w:sz w:val="22"/>
          <w:szCs w:val="22"/>
        </w:rPr>
      </w:pPr>
      <w:bookmarkStart w:id="1" w:name="_heading=h.3znysh7" w:colFirst="0" w:colLast="0"/>
      <w:bookmarkEnd w:id="1"/>
      <w:r>
        <w:rPr>
          <w:rFonts w:ascii="Arial" w:eastAsia="Arial" w:hAnsi="Arial" w:cs="Arial"/>
          <w:sz w:val="22"/>
          <w:szCs w:val="22"/>
        </w:rPr>
        <w:t>Que la Ley 6788/2021, en su Artículo 7° establece que la dirección, administración y representación legal de la Dirección Nacional de Vigilancia Sanitaria (DINAVISA), estará a cargo de un Director Nacional, el cual será su máxima autoridad y en tal carácter será el responsable directo de la gestión técnica, financiera y administrativa de la entidad.</w:t>
      </w:r>
    </w:p>
    <w:p w:rsidR="009C054B" w:rsidRDefault="009C054B">
      <w:pPr>
        <w:shd w:val="clear" w:color="auto" w:fill="FDFDFD"/>
        <w:ind w:firstLine="709"/>
        <w:jc w:val="both"/>
        <w:rPr>
          <w:rFonts w:ascii="Arial" w:eastAsia="Arial" w:hAnsi="Arial" w:cs="Arial"/>
          <w:sz w:val="22"/>
          <w:szCs w:val="22"/>
        </w:rPr>
      </w:pPr>
      <w:bookmarkStart w:id="2" w:name="_heading=h.macrqnwykntd" w:colFirst="0" w:colLast="0"/>
      <w:bookmarkEnd w:id="2"/>
    </w:p>
    <w:p w:rsidR="009C054B" w:rsidRDefault="00C82583">
      <w:pPr>
        <w:shd w:val="clear" w:color="auto" w:fill="FDFDFD"/>
        <w:ind w:firstLine="709"/>
        <w:jc w:val="both"/>
        <w:rPr>
          <w:rFonts w:ascii="Arial" w:eastAsia="Arial" w:hAnsi="Arial" w:cs="Arial"/>
          <w:sz w:val="22"/>
          <w:szCs w:val="22"/>
        </w:rPr>
      </w:pPr>
      <w:bookmarkStart w:id="3" w:name="_heading=h.2et92p0" w:colFirst="0" w:colLast="0"/>
      <w:bookmarkEnd w:id="3"/>
      <w:r>
        <w:rPr>
          <w:rFonts w:ascii="Arial" w:eastAsia="Arial" w:hAnsi="Arial" w:cs="Arial"/>
          <w:sz w:val="22"/>
          <w:szCs w:val="22"/>
        </w:rPr>
        <w:t xml:space="preserve">Que la Resolución DINAVISA </w:t>
      </w:r>
      <w:proofErr w:type="spellStart"/>
      <w:r>
        <w:rPr>
          <w:rFonts w:ascii="Arial" w:eastAsia="Arial" w:hAnsi="Arial" w:cs="Arial"/>
          <w:sz w:val="22"/>
          <w:szCs w:val="22"/>
        </w:rPr>
        <w:t>Nº</w:t>
      </w:r>
      <w:proofErr w:type="spellEnd"/>
      <w:r>
        <w:rPr>
          <w:rFonts w:ascii="Arial" w:eastAsia="Arial" w:hAnsi="Arial" w:cs="Arial"/>
          <w:sz w:val="22"/>
          <w:szCs w:val="22"/>
        </w:rPr>
        <w:t xml:space="preserve"> 174, de fecha 23 de julio de 2024, “Por la cual se adopta el sistema de fijación de Precios de Venta al Público de medicamentos -PVP- con base en fuentes oficiales de precios de referencia internacional”, determina que el PVP de referencia debe establecerse tomando Referenciación Externa de Precios (REP) de productos comparables en un número no menor a 7 países, los cuales serán propuestos por el solicitante titular del Registro Sanitario, debidamente justificados, los cuales deberán ser validados por el Departamento de Fijación de Precios de la Dirección de Registro de Medicamentos, dependiente de la Dirección Registros Sanitarios.</w:t>
      </w:r>
    </w:p>
    <w:p w:rsidR="009C054B" w:rsidRDefault="009C054B">
      <w:pPr>
        <w:shd w:val="clear" w:color="auto" w:fill="FDFDFD"/>
        <w:ind w:firstLine="709"/>
        <w:jc w:val="both"/>
        <w:rPr>
          <w:rFonts w:ascii="Arial" w:eastAsia="Arial" w:hAnsi="Arial" w:cs="Arial"/>
          <w:sz w:val="22"/>
          <w:szCs w:val="22"/>
        </w:rPr>
      </w:pPr>
    </w:p>
    <w:p w:rsidR="009C054B" w:rsidRDefault="00C82583">
      <w:pPr>
        <w:ind w:firstLine="708"/>
        <w:jc w:val="both"/>
        <w:rPr>
          <w:rFonts w:ascii="Arial" w:eastAsia="Arial" w:hAnsi="Arial" w:cs="Arial"/>
          <w:sz w:val="22"/>
          <w:szCs w:val="22"/>
        </w:rPr>
      </w:pPr>
      <w:r>
        <w:rPr>
          <w:rFonts w:ascii="Arial" w:eastAsia="Arial" w:hAnsi="Arial" w:cs="Arial"/>
          <w:sz w:val="22"/>
          <w:szCs w:val="22"/>
        </w:rPr>
        <w:t xml:space="preserve">Que el Decreto </w:t>
      </w:r>
      <w:proofErr w:type="spellStart"/>
      <w:r>
        <w:rPr>
          <w:rFonts w:ascii="Arial" w:eastAsia="Arial" w:hAnsi="Arial" w:cs="Arial"/>
          <w:sz w:val="22"/>
          <w:szCs w:val="22"/>
        </w:rPr>
        <w:t>Nº</w:t>
      </w:r>
      <w:proofErr w:type="spellEnd"/>
      <w:r>
        <w:rPr>
          <w:rFonts w:ascii="Arial" w:eastAsia="Arial" w:hAnsi="Arial" w:cs="Arial"/>
          <w:sz w:val="22"/>
          <w:szCs w:val="22"/>
        </w:rPr>
        <w:t xml:space="preserve"> 20996/98 “Por el cual se establecen procedimientos para la fijación de precios de medicamentos y se deroga el Decreto </w:t>
      </w:r>
      <w:proofErr w:type="spellStart"/>
      <w:r>
        <w:rPr>
          <w:rFonts w:ascii="Arial" w:eastAsia="Arial" w:hAnsi="Arial" w:cs="Arial"/>
          <w:sz w:val="22"/>
          <w:szCs w:val="22"/>
        </w:rPr>
        <w:t>Nº</w:t>
      </w:r>
      <w:proofErr w:type="spellEnd"/>
      <w:r>
        <w:rPr>
          <w:rFonts w:ascii="Arial" w:eastAsia="Arial" w:hAnsi="Arial" w:cs="Arial"/>
          <w:sz w:val="22"/>
          <w:szCs w:val="22"/>
        </w:rPr>
        <w:t xml:space="preserve"> 10.7355/91 de fecha 29 de agosto de 1991”, dispone en su Artículo 1º “designase a la Dirección de Vigilancia Sanitaria dependiente del Ministerio de Salud Pública y Bienestar Social, como responsable de la Fijación de Precios de Medicamentos”.</w:t>
      </w:r>
    </w:p>
    <w:p w:rsidR="009C054B" w:rsidRDefault="009C054B">
      <w:pPr>
        <w:ind w:firstLine="708"/>
        <w:jc w:val="both"/>
        <w:rPr>
          <w:rFonts w:ascii="Arial" w:eastAsia="Arial" w:hAnsi="Arial" w:cs="Arial"/>
          <w:sz w:val="22"/>
          <w:szCs w:val="22"/>
        </w:rPr>
      </w:pPr>
    </w:p>
    <w:p w:rsidR="009C054B" w:rsidRDefault="00C82583">
      <w:pPr>
        <w:ind w:firstLine="708"/>
        <w:jc w:val="both"/>
        <w:rPr>
          <w:rFonts w:ascii="Arial" w:eastAsia="Arial" w:hAnsi="Arial" w:cs="Arial"/>
          <w:sz w:val="22"/>
          <w:szCs w:val="22"/>
        </w:rPr>
      </w:pPr>
      <w:r>
        <w:rPr>
          <w:rFonts w:ascii="Arial" w:eastAsia="Arial" w:hAnsi="Arial" w:cs="Arial"/>
          <w:sz w:val="22"/>
          <w:szCs w:val="22"/>
        </w:rPr>
        <w:t xml:space="preserve">Que el Departamento de Fijación de Precios manifiesta la necesidad de una metodología de fijación de precios de venta al público de medicamentos (PVP), con base en fuente oficial de precios de referencia interna, complementaria a la fijación de Referenciación Externa de Precios (REP), a los efectos de establecer el precio máximo </w:t>
      </w:r>
      <w:r>
        <w:rPr>
          <w:rFonts w:ascii="Arial" w:eastAsia="Arial" w:hAnsi="Arial" w:cs="Arial"/>
          <w:sz w:val="22"/>
          <w:szCs w:val="22"/>
        </w:rPr>
        <w:lastRenderedPageBreak/>
        <w:t xml:space="preserve">de venta al público para los productos similares con una metodología actualizada respaldada en evidencia científica y experiencia de uso avalada en países de alta vigilancia. </w:t>
      </w:r>
      <w:r>
        <w:rPr>
          <w:rFonts w:ascii="Arial" w:eastAsia="Arial" w:hAnsi="Arial" w:cs="Arial"/>
          <w:color w:val="FFFF00"/>
          <w:sz w:val="22"/>
          <w:szCs w:val="22"/>
        </w:rPr>
        <w:t xml:space="preserve"> </w:t>
      </w:r>
    </w:p>
    <w:p w:rsidR="009C054B" w:rsidRDefault="009C054B">
      <w:pPr>
        <w:ind w:firstLine="708"/>
        <w:jc w:val="both"/>
        <w:rPr>
          <w:rFonts w:ascii="Arial" w:eastAsia="Arial" w:hAnsi="Arial" w:cs="Arial"/>
          <w:sz w:val="22"/>
          <w:szCs w:val="22"/>
        </w:rPr>
      </w:pPr>
    </w:p>
    <w:p w:rsidR="009C054B" w:rsidRDefault="00C82583">
      <w:pPr>
        <w:ind w:firstLine="708"/>
        <w:jc w:val="both"/>
        <w:rPr>
          <w:rFonts w:ascii="Arial" w:eastAsia="Arial" w:hAnsi="Arial" w:cs="Arial"/>
          <w:sz w:val="22"/>
          <w:szCs w:val="22"/>
        </w:rPr>
      </w:pPr>
      <w:r>
        <w:rPr>
          <w:rFonts w:ascii="Arial" w:eastAsia="Arial" w:hAnsi="Arial" w:cs="Arial"/>
          <w:sz w:val="22"/>
          <w:szCs w:val="22"/>
        </w:rPr>
        <w:t>Que mejorar el acceso equitativo de los medicamentos contribuye a alcanzar el acceso universal a la salud y la cobertura universal de salud, así como los Objetivos de Desarrollo Sostenible y, considerando que la adopción y aplicación de políticas, regulaciones, estrategias integrales y normas que contribuyan a mejorar el acceso a los medicamentos para la población, es necesario actualizar los procedimientos normados donde se establezcan todas las pautas a seguir para la fijación de precios de medicamentos registrados para su comercialización, con miras a asegurar su provisión a un precio justo y razonable.</w:t>
      </w:r>
    </w:p>
    <w:p w:rsidR="009C054B" w:rsidRDefault="009C054B">
      <w:pPr>
        <w:ind w:firstLine="708"/>
        <w:jc w:val="both"/>
        <w:rPr>
          <w:rFonts w:ascii="Arial" w:eastAsia="Arial" w:hAnsi="Arial" w:cs="Arial"/>
          <w:sz w:val="22"/>
          <w:szCs w:val="22"/>
        </w:rPr>
      </w:pPr>
    </w:p>
    <w:p w:rsidR="009C054B" w:rsidRDefault="00C82583">
      <w:pPr>
        <w:ind w:firstLine="708"/>
        <w:jc w:val="both"/>
        <w:rPr>
          <w:rFonts w:ascii="Arial" w:eastAsia="Arial" w:hAnsi="Arial" w:cs="Arial"/>
          <w:sz w:val="22"/>
          <w:szCs w:val="22"/>
        </w:rPr>
      </w:pPr>
      <w:r>
        <w:rPr>
          <w:rFonts w:ascii="Arial" w:eastAsia="Arial" w:hAnsi="Arial" w:cs="Arial"/>
          <w:sz w:val="22"/>
          <w:szCs w:val="22"/>
        </w:rPr>
        <w:t xml:space="preserve">Que la presente Resolución cuenta con el parecer favorable de la Dirección General de Evaluación y Registros Sanitarios y de la Vicedirección Nacional. </w:t>
      </w:r>
    </w:p>
    <w:p w:rsidR="009C054B" w:rsidRDefault="00C82583">
      <w:pPr>
        <w:ind w:firstLine="708"/>
        <w:jc w:val="both"/>
        <w:rPr>
          <w:rFonts w:ascii="Arial" w:eastAsia="Arial" w:hAnsi="Arial" w:cs="Arial"/>
          <w:color w:val="FFFF00"/>
          <w:sz w:val="22"/>
          <w:szCs w:val="22"/>
        </w:rPr>
      </w:pPr>
      <w:r>
        <w:rPr>
          <w:rFonts w:ascii="Arial" w:eastAsia="Arial" w:hAnsi="Arial" w:cs="Arial"/>
          <w:sz w:val="22"/>
          <w:szCs w:val="22"/>
        </w:rPr>
        <w:t xml:space="preserve"> </w:t>
      </w:r>
    </w:p>
    <w:p w:rsidR="009C054B" w:rsidRDefault="00C82583">
      <w:pPr>
        <w:ind w:firstLine="708"/>
        <w:jc w:val="both"/>
        <w:rPr>
          <w:rFonts w:ascii="Arial" w:eastAsia="Arial" w:hAnsi="Arial" w:cs="Arial"/>
          <w:sz w:val="22"/>
          <w:szCs w:val="22"/>
        </w:rPr>
      </w:pPr>
      <w:r>
        <w:rPr>
          <w:rFonts w:ascii="Arial" w:eastAsia="Arial" w:hAnsi="Arial" w:cs="Arial"/>
          <w:sz w:val="22"/>
          <w:szCs w:val="22"/>
        </w:rPr>
        <w:t xml:space="preserve">Que la Dirección General de Asuntos Legales se ha expedido favorablemente para la firma de la presente Resolución, según Dictamen DINAVISA/DGAL </w:t>
      </w:r>
      <w:proofErr w:type="spellStart"/>
      <w:r>
        <w:rPr>
          <w:rFonts w:ascii="Arial" w:eastAsia="Arial" w:hAnsi="Arial" w:cs="Arial"/>
          <w:sz w:val="22"/>
          <w:szCs w:val="22"/>
        </w:rPr>
        <w:t>Nº</w:t>
      </w:r>
      <w:proofErr w:type="spellEnd"/>
      <w:r>
        <w:rPr>
          <w:rFonts w:ascii="Arial" w:eastAsia="Arial" w:hAnsi="Arial" w:cs="Arial"/>
          <w:sz w:val="22"/>
          <w:szCs w:val="22"/>
        </w:rPr>
        <w:t xml:space="preserve"> XXXX, de fecha XX de XXXX de 2025.</w:t>
      </w:r>
    </w:p>
    <w:p w:rsidR="009C054B" w:rsidRDefault="009C054B">
      <w:pPr>
        <w:jc w:val="center"/>
        <w:rPr>
          <w:rFonts w:ascii="Arial" w:eastAsia="Arial" w:hAnsi="Arial" w:cs="Arial"/>
          <w:b/>
          <w:sz w:val="22"/>
          <w:szCs w:val="22"/>
        </w:rPr>
      </w:pPr>
    </w:p>
    <w:p w:rsidR="009C054B" w:rsidRDefault="00C82583">
      <w:pPr>
        <w:ind w:left="285" w:hanging="285"/>
        <w:rPr>
          <w:rFonts w:ascii="Arial" w:eastAsia="Arial" w:hAnsi="Arial" w:cs="Arial"/>
          <w:sz w:val="22"/>
          <w:szCs w:val="22"/>
        </w:rPr>
      </w:pPr>
      <w:bookmarkStart w:id="4" w:name="_heading=h.tyjcwt" w:colFirst="0" w:colLast="0"/>
      <w:bookmarkEnd w:id="4"/>
      <w:r>
        <w:rPr>
          <w:rFonts w:ascii="Arial" w:eastAsia="Arial" w:hAnsi="Arial" w:cs="Arial"/>
          <w:b/>
          <w:sz w:val="22"/>
          <w:szCs w:val="22"/>
        </w:rPr>
        <w:t>POR TANTO,</w:t>
      </w:r>
      <w:r>
        <w:rPr>
          <w:rFonts w:ascii="Arial" w:eastAsia="Arial" w:hAnsi="Arial" w:cs="Arial"/>
          <w:sz w:val="22"/>
          <w:szCs w:val="22"/>
        </w:rPr>
        <w:t xml:space="preserve"> en uso de sus atribuciones,</w:t>
      </w:r>
    </w:p>
    <w:p w:rsidR="009C054B" w:rsidRDefault="009C054B">
      <w:pPr>
        <w:ind w:left="285" w:hanging="285"/>
        <w:rPr>
          <w:rFonts w:ascii="Arial" w:eastAsia="Arial" w:hAnsi="Arial" w:cs="Arial"/>
          <w:sz w:val="22"/>
          <w:szCs w:val="22"/>
        </w:rPr>
      </w:pPr>
    </w:p>
    <w:p w:rsidR="009C054B" w:rsidRDefault="009C054B">
      <w:pPr>
        <w:ind w:left="285" w:hanging="285"/>
        <w:rPr>
          <w:rFonts w:ascii="Arial" w:eastAsia="Arial" w:hAnsi="Arial" w:cs="Arial"/>
          <w:sz w:val="22"/>
          <w:szCs w:val="22"/>
        </w:rPr>
      </w:pPr>
    </w:p>
    <w:p w:rsidR="009C054B" w:rsidRDefault="00C82583">
      <w:pPr>
        <w:jc w:val="center"/>
        <w:rPr>
          <w:rFonts w:ascii="Arial" w:eastAsia="Arial" w:hAnsi="Arial" w:cs="Arial"/>
          <w:b/>
          <w:sz w:val="22"/>
          <w:szCs w:val="22"/>
        </w:rPr>
      </w:pPr>
      <w:r>
        <w:rPr>
          <w:rFonts w:ascii="Arial" w:eastAsia="Arial" w:hAnsi="Arial" w:cs="Arial"/>
          <w:b/>
          <w:sz w:val="22"/>
          <w:szCs w:val="22"/>
        </w:rPr>
        <w:t>EL DIRECTOR NACIONAL INTERINO DE LA DIRECCIÓN NACIONAL DE VIGILANCIA SANITARIA</w:t>
      </w:r>
    </w:p>
    <w:p w:rsidR="009C054B" w:rsidRDefault="009C054B">
      <w:pPr>
        <w:jc w:val="center"/>
        <w:rPr>
          <w:rFonts w:ascii="Arial" w:eastAsia="Arial" w:hAnsi="Arial" w:cs="Arial"/>
          <w:b/>
          <w:sz w:val="10"/>
          <w:szCs w:val="10"/>
        </w:rPr>
      </w:pPr>
    </w:p>
    <w:p w:rsidR="009C054B" w:rsidRDefault="00C82583">
      <w:pPr>
        <w:jc w:val="center"/>
        <w:rPr>
          <w:rFonts w:ascii="Arial" w:eastAsia="Arial" w:hAnsi="Arial" w:cs="Arial"/>
          <w:b/>
          <w:sz w:val="22"/>
          <w:szCs w:val="22"/>
        </w:rPr>
      </w:pPr>
      <w:r>
        <w:rPr>
          <w:rFonts w:ascii="Arial" w:eastAsia="Arial" w:hAnsi="Arial" w:cs="Arial"/>
          <w:b/>
          <w:sz w:val="22"/>
          <w:szCs w:val="22"/>
        </w:rPr>
        <w:t>RESUELVE:</w:t>
      </w:r>
    </w:p>
    <w:p w:rsidR="009C054B" w:rsidRDefault="009C054B">
      <w:pPr>
        <w:jc w:val="center"/>
        <w:rPr>
          <w:rFonts w:ascii="Arial" w:eastAsia="Arial" w:hAnsi="Arial" w:cs="Arial"/>
          <w:b/>
          <w:sz w:val="22"/>
          <w:szCs w:val="22"/>
        </w:rPr>
      </w:pPr>
    </w:p>
    <w:p w:rsidR="009C054B" w:rsidRDefault="00C82583">
      <w:pPr>
        <w:ind w:left="1418" w:hanging="1418"/>
        <w:jc w:val="both"/>
        <w:rPr>
          <w:rFonts w:ascii="Arial" w:eastAsia="Arial" w:hAnsi="Arial" w:cs="Arial"/>
          <w:sz w:val="22"/>
          <w:szCs w:val="22"/>
        </w:rPr>
      </w:pPr>
      <w:r>
        <w:rPr>
          <w:rFonts w:ascii="Arial" w:eastAsia="Arial" w:hAnsi="Arial" w:cs="Arial"/>
          <w:b/>
          <w:sz w:val="22"/>
          <w:szCs w:val="22"/>
        </w:rPr>
        <w:t>Artículo 1</w:t>
      </w:r>
      <w:proofErr w:type="gramStart"/>
      <w:r>
        <w:rPr>
          <w:rFonts w:ascii="Arial" w:eastAsia="Arial" w:hAnsi="Arial" w:cs="Arial"/>
          <w:b/>
          <w:sz w:val="22"/>
          <w:szCs w:val="22"/>
        </w:rPr>
        <w:t>°.-</w:t>
      </w:r>
      <w:proofErr w:type="gramEnd"/>
      <w:r>
        <w:rPr>
          <w:rFonts w:ascii="Arial" w:eastAsia="Arial" w:hAnsi="Arial" w:cs="Arial"/>
          <w:b/>
          <w:sz w:val="22"/>
          <w:szCs w:val="22"/>
        </w:rPr>
        <w:tab/>
      </w:r>
      <w:r>
        <w:rPr>
          <w:rFonts w:ascii="Arial" w:eastAsia="Arial" w:hAnsi="Arial" w:cs="Arial"/>
          <w:sz w:val="22"/>
          <w:szCs w:val="22"/>
        </w:rPr>
        <w:t xml:space="preserve">Establecer el Sistema de Referenciación Interna de Precios (REIP), como método complementario a la Referenciación Externa de Precios (REP), para la determinación del Precio de Venta al Público (PVP) de medicamentos en el territorio nacional, conforme a lo establecido en la presente resolución. </w:t>
      </w:r>
    </w:p>
    <w:p w:rsidR="009C054B" w:rsidRDefault="00C82583">
      <w:pPr>
        <w:spacing w:before="120" w:after="120"/>
        <w:ind w:left="1418" w:hanging="1418"/>
        <w:jc w:val="both"/>
        <w:rPr>
          <w:rFonts w:ascii="Arial" w:eastAsia="Arial" w:hAnsi="Arial" w:cs="Arial"/>
          <w:sz w:val="22"/>
          <w:szCs w:val="22"/>
        </w:rPr>
      </w:pPr>
      <w:r>
        <w:rPr>
          <w:rFonts w:ascii="Arial" w:eastAsia="Arial" w:hAnsi="Arial" w:cs="Arial"/>
          <w:b/>
          <w:sz w:val="22"/>
          <w:szCs w:val="22"/>
        </w:rPr>
        <w:t>Artículo 2</w:t>
      </w:r>
      <w:proofErr w:type="gramStart"/>
      <w:r>
        <w:rPr>
          <w:rFonts w:ascii="Arial" w:eastAsia="Arial" w:hAnsi="Arial" w:cs="Arial"/>
          <w:b/>
          <w:sz w:val="22"/>
          <w:szCs w:val="22"/>
        </w:rPr>
        <w:t>°.-</w:t>
      </w:r>
      <w:proofErr w:type="gramEnd"/>
      <w:r>
        <w:rPr>
          <w:rFonts w:ascii="Arial" w:eastAsia="Arial" w:hAnsi="Arial" w:cs="Arial"/>
          <w:sz w:val="22"/>
          <w:szCs w:val="22"/>
        </w:rPr>
        <w:t xml:space="preserve"> </w:t>
      </w:r>
      <w:r>
        <w:rPr>
          <w:rFonts w:ascii="Arial" w:eastAsia="Arial" w:hAnsi="Arial" w:cs="Arial"/>
          <w:sz w:val="22"/>
          <w:szCs w:val="22"/>
        </w:rPr>
        <w:tab/>
        <w:t xml:space="preserve">A los efectos de la presente resolución, se entenderá por: </w:t>
      </w:r>
    </w:p>
    <w:p w:rsidR="009C054B" w:rsidRDefault="00C82583">
      <w:pPr>
        <w:spacing w:before="120" w:after="120"/>
        <w:ind w:left="1418"/>
        <w:jc w:val="both"/>
        <w:rPr>
          <w:rFonts w:ascii="Arial" w:eastAsia="Arial" w:hAnsi="Arial" w:cs="Arial"/>
          <w:sz w:val="22"/>
          <w:szCs w:val="22"/>
        </w:rPr>
      </w:pPr>
      <w:r>
        <w:rPr>
          <w:rFonts w:ascii="Arial" w:eastAsia="Arial" w:hAnsi="Arial" w:cs="Arial"/>
          <w:b/>
          <w:sz w:val="22"/>
          <w:szCs w:val="22"/>
        </w:rPr>
        <w:lastRenderedPageBreak/>
        <w:t>Bioequivalencia (</w:t>
      </w:r>
      <w:r>
        <w:rPr>
          <w:rFonts w:ascii="Arial" w:eastAsia="Arial" w:hAnsi="Arial" w:cs="Arial"/>
          <w:b/>
          <w:i/>
          <w:sz w:val="22"/>
          <w:szCs w:val="22"/>
        </w:rPr>
        <w:t>in vivo</w:t>
      </w:r>
      <w:r>
        <w:rPr>
          <w:rFonts w:ascii="Arial" w:eastAsia="Arial" w:hAnsi="Arial" w:cs="Arial"/>
          <w:b/>
          <w:sz w:val="22"/>
          <w:szCs w:val="22"/>
        </w:rPr>
        <w:t xml:space="preserve">): </w:t>
      </w:r>
      <w:r>
        <w:rPr>
          <w:rFonts w:ascii="Arial" w:eastAsia="Arial" w:hAnsi="Arial" w:cs="Arial"/>
          <w:sz w:val="22"/>
          <w:szCs w:val="22"/>
        </w:rPr>
        <w:t>Demostración, mediante estudios clínicos en humanos, de que dos medicamentos presentan perfiles farmacocinéticos equivalentes, lo que permite su intercambiabilidad terapéutica.</w:t>
      </w:r>
    </w:p>
    <w:p w:rsidR="009C054B" w:rsidRDefault="00C82583">
      <w:pPr>
        <w:spacing w:before="120" w:after="120"/>
        <w:ind w:left="1418"/>
        <w:jc w:val="both"/>
        <w:rPr>
          <w:rFonts w:ascii="Arial" w:eastAsia="Arial" w:hAnsi="Arial" w:cs="Arial"/>
          <w:sz w:val="22"/>
          <w:szCs w:val="22"/>
        </w:rPr>
      </w:pPr>
      <w:r>
        <w:rPr>
          <w:rFonts w:ascii="Arial" w:eastAsia="Arial" w:hAnsi="Arial" w:cs="Arial"/>
          <w:b/>
          <w:sz w:val="22"/>
          <w:szCs w:val="22"/>
        </w:rPr>
        <w:t>Bioexención:</w:t>
      </w:r>
      <w:r>
        <w:rPr>
          <w:rFonts w:ascii="Arial" w:eastAsia="Arial" w:hAnsi="Arial" w:cs="Arial"/>
          <w:sz w:val="22"/>
          <w:szCs w:val="22"/>
        </w:rPr>
        <w:t xml:space="preserve"> Autorización regulatoria para prescindir de estudios de bioequivalencia </w:t>
      </w:r>
      <w:r>
        <w:rPr>
          <w:rFonts w:ascii="Arial" w:eastAsia="Arial" w:hAnsi="Arial" w:cs="Arial"/>
          <w:i/>
          <w:sz w:val="22"/>
          <w:szCs w:val="22"/>
        </w:rPr>
        <w:t>in vivo</w:t>
      </w:r>
      <w:r>
        <w:rPr>
          <w:rFonts w:ascii="Arial" w:eastAsia="Arial" w:hAnsi="Arial" w:cs="Arial"/>
          <w:sz w:val="22"/>
          <w:szCs w:val="22"/>
        </w:rPr>
        <w:t xml:space="preserve">, basada en evidencia de disolución </w:t>
      </w:r>
      <w:r>
        <w:rPr>
          <w:rFonts w:ascii="Arial" w:eastAsia="Arial" w:hAnsi="Arial" w:cs="Arial"/>
          <w:i/>
          <w:sz w:val="22"/>
          <w:szCs w:val="22"/>
        </w:rPr>
        <w:t>in vitro</w:t>
      </w:r>
      <w:r>
        <w:rPr>
          <w:rFonts w:ascii="Arial" w:eastAsia="Arial" w:hAnsi="Arial" w:cs="Arial"/>
          <w:sz w:val="22"/>
          <w:szCs w:val="22"/>
        </w:rPr>
        <w:t xml:space="preserve"> y criterios del Sistema de Clasificación Biofarmacéutica (BCS).</w:t>
      </w:r>
    </w:p>
    <w:p w:rsidR="009C054B" w:rsidRDefault="00C82583">
      <w:pPr>
        <w:spacing w:before="120" w:after="120"/>
        <w:ind w:left="1418"/>
        <w:jc w:val="both"/>
        <w:rPr>
          <w:rFonts w:ascii="Arial" w:eastAsia="Arial" w:hAnsi="Arial" w:cs="Arial"/>
          <w:sz w:val="22"/>
          <w:szCs w:val="22"/>
        </w:rPr>
      </w:pPr>
      <w:r>
        <w:rPr>
          <w:rFonts w:ascii="Arial" w:eastAsia="Arial" w:hAnsi="Arial" w:cs="Arial"/>
          <w:b/>
          <w:sz w:val="22"/>
          <w:szCs w:val="22"/>
        </w:rPr>
        <w:t>Referenciación Interna de Precios (REIP):</w:t>
      </w:r>
      <w:r>
        <w:rPr>
          <w:rFonts w:ascii="Arial" w:eastAsia="Arial" w:hAnsi="Arial" w:cs="Arial"/>
          <w:sz w:val="22"/>
          <w:szCs w:val="22"/>
        </w:rPr>
        <w:t xml:space="preserve"> al mecanismo técnico de regulación para la determinación del precio máximo de venta al público de un medicamento, mediante el análisis comparativo de los precios de otros </w:t>
      </w:r>
      <w:r>
        <w:rPr>
          <w:rFonts w:ascii="Arial" w:eastAsia="Arial" w:hAnsi="Arial" w:cs="Arial"/>
          <w:b/>
          <w:sz w:val="22"/>
          <w:szCs w:val="22"/>
        </w:rPr>
        <w:t>medicamentos similares</w:t>
      </w:r>
      <w:r>
        <w:rPr>
          <w:rFonts w:ascii="Arial" w:eastAsia="Arial" w:hAnsi="Arial" w:cs="Arial"/>
          <w:sz w:val="22"/>
          <w:szCs w:val="22"/>
        </w:rPr>
        <w:t xml:space="preserve"> comercializados en el mercado nacional.</w:t>
      </w:r>
    </w:p>
    <w:p w:rsidR="009C054B" w:rsidRDefault="00C82583">
      <w:pPr>
        <w:spacing w:before="120" w:after="120"/>
        <w:ind w:left="1418"/>
        <w:jc w:val="both"/>
        <w:rPr>
          <w:rFonts w:ascii="Arial" w:eastAsia="Arial" w:hAnsi="Arial" w:cs="Arial"/>
          <w:sz w:val="22"/>
          <w:szCs w:val="22"/>
        </w:rPr>
      </w:pPr>
      <w:r>
        <w:rPr>
          <w:rFonts w:ascii="Arial" w:eastAsia="Arial" w:hAnsi="Arial" w:cs="Arial"/>
          <w:b/>
          <w:sz w:val="22"/>
          <w:szCs w:val="22"/>
        </w:rPr>
        <w:t>Medicamento similar:</w:t>
      </w:r>
      <w:r>
        <w:rPr>
          <w:rFonts w:ascii="Arial" w:eastAsia="Arial" w:hAnsi="Arial" w:cs="Arial"/>
          <w:sz w:val="22"/>
          <w:szCs w:val="22"/>
        </w:rPr>
        <w:t xml:space="preserve"> Son medicamentos que contienen</w:t>
      </w:r>
      <w:r>
        <w:t xml:space="preserve"> </w:t>
      </w:r>
      <w:r>
        <w:rPr>
          <w:rFonts w:ascii="Arial" w:eastAsia="Arial" w:hAnsi="Arial" w:cs="Arial"/>
          <w:sz w:val="22"/>
          <w:szCs w:val="22"/>
        </w:rPr>
        <w:t>el mismo principio activo, concentración, forma farmacéutica y vía de administración, pero que no necesariamente han demostrado bioequivalencia, por lo que no se garantiza su intercambiabilidad terapéutica.</w:t>
      </w:r>
    </w:p>
    <w:p w:rsidR="009C054B" w:rsidRDefault="00C82583">
      <w:pPr>
        <w:spacing w:before="120" w:after="120"/>
        <w:ind w:left="1418"/>
        <w:jc w:val="both"/>
        <w:rPr>
          <w:rFonts w:ascii="Arial" w:eastAsia="Arial" w:hAnsi="Arial" w:cs="Arial"/>
          <w:sz w:val="22"/>
          <w:szCs w:val="22"/>
        </w:rPr>
      </w:pPr>
      <w:r>
        <w:rPr>
          <w:rFonts w:ascii="Arial" w:eastAsia="Arial" w:hAnsi="Arial" w:cs="Arial"/>
          <w:b/>
          <w:sz w:val="22"/>
          <w:szCs w:val="22"/>
        </w:rPr>
        <w:t>Precio promedio (media aritmética):</w:t>
      </w:r>
      <w:r>
        <w:rPr>
          <w:rFonts w:ascii="Arial" w:eastAsia="Arial" w:hAnsi="Arial" w:cs="Arial"/>
          <w:sz w:val="22"/>
          <w:szCs w:val="22"/>
        </w:rPr>
        <w:t xml:space="preserve"> Valor obtenido al sumar todos los precios unitarios de los medicamentos considerados como comparables en el mercado nacional, dividido por el número total de precios incluidos en el cálculo. Este promedio se utilizará como referencia técnica para la determinación del precio máximo autorizado.</w:t>
      </w:r>
    </w:p>
    <w:p w:rsidR="009C054B" w:rsidRDefault="00C82583">
      <w:pPr>
        <w:spacing w:before="120" w:after="120"/>
        <w:ind w:left="1418" w:hanging="1418"/>
        <w:jc w:val="both"/>
        <w:rPr>
          <w:rFonts w:ascii="Arial" w:eastAsia="Arial" w:hAnsi="Arial" w:cs="Arial"/>
          <w:sz w:val="22"/>
          <w:szCs w:val="22"/>
        </w:rPr>
      </w:pPr>
      <w:r>
        <w:rPr>
          <w:rFonts w:ascii="Arial" w:eastAsia="Arial" w:hAnsi="Arial" w:cs="Arial"/>
          <w:b/>
          <w:sz w:val="22"/>
          <w:szCs w:val="22"/>
        </w:rPr>
        <w:t>Artículo 3</w:t>
      </w:r>
      <w:proofErr w:type="gramStart"/>
      <w:r>
        <w:rPr>
          <w:rFonts w:ascii="Arial" w:eastAsia="Arial" w:hAnsi="Arial" w:cs="Arial"/>
          <w:b/>
          <w:sz w:val="22"/>
          <w:szCs w:val="22"/>
        </w:rPr>
        <w:t>°.-</w:t>
      </w:r>
      <w:proofErr w:type="gramEnd"/>
      <w:r>
        <w:rPr>
          <w:rFonts w:ascii="Arial" w:eastAsia="Arial" w:hAnsi="Arial" w:cs="Arial"/>
          <w:sz w:val="22"/>
          <w:szCs w:val="22"/>
        </w:rPr>
        <w:t xml:space="preserve"> </w:t>
      </w:r>
      <w:r>
        <w:rPr>
          <w:rFonts w:ascii="Arial" w:eastAsia="Arial" w:hAnsi="Arial" w:cs="Arial"/>
          <w:sz w:val="22"/>
          <w:szCs w:val="22"/>
        </w:rPr>
        <w:tab/>
        <w:t>Disponer que la DINAVISA fijará el Precio de Venta al Público (PVP) de un medicamento, a solicitud del titular del Registro Sanitario, a través del Sistema de Referenciación Interna de Precios (REIP) cuando se cumpla alguna de las siguientes condiciones:</w:t>
      </w:r>
    </w:p>
    <w:p w:rsidR="009C054B" w:rsidRDefault="00C82583">
      <w:pPr>
        <w:numPr>
          <w:ilvl w:val="0"/>
          <w:numId w:val="1"/>
        </w:numPr>
        <w:pBdr>
          <w:top w:val="nil"/>
          <w:left w:val="nil"/>
          <w:bottom w:val="nil"/>
          <w:right w:val="nil"/>
          <w:between w:val="nil"/>
        </w:pBdr>
        <w:spacing w:before="120"/>
        <w:ind w:left="1843" w:hanging="425"/>
        <w:jc w:val="both"/>
        <w:rPr>
          <w:rFonts w:ascii="Arial" w:eastAsia="Arial" w:hAnsi="Arial" w:cs="Arial"/>
          <w:color w:val="000000"/>
          <w:sz w:val="22"/>
          <w:szCs w:val="22"/>
        </w:rPr>
      </w:pPr>
      <w:r>
        <w:rPr>
          <w:rFonts w:ascii="Arial" w:eastAsia="Arial" w:hAnsi="Arial" w:cs="Arial"/>
          <w:color w:val="000000"/>
          <w:sz w:val="22"/>
          <w:szCs w:val="22"/>
        </w:rPr>
        <w:t>Existan más de tres (3) medicamentos similares al medicamento cuyo precio de venta al público se solicita fijar previamente registrados y comercializados al momento de la sol</w:t>
      </w:r>
      <w:r>
        <w:rPr>
          <w:rFonts w:ascii="Arial" w:eastAsia="Arial" w:hAnsi="Arial" w:cs="Arial"/>
          <w:sz w:val="22"/>
          <w:szCs w:val="22"/>
        </w:rPr>
        <w:t>icitud</w:t>
      </w:r>
      <w:r>
        <w:rPr>
          <w:rFonts w:ascii="Arial" w:eastAsia="Arial" w:hAnsi="Arial" w:cs="Arial"/>
          <w:color w:val="000000"/>
          <w:sz w:val="22"/>
          <w:szCs w:val="22"/>
        </w:rPr>
        <w:t xml:space="preserve">. </w:t>
      </w:r>
    </w:p>
    <w:p w:rsidR="009C054B" w:rsidRDefault="00C82583">
      <w:pPr>
        <w:numPr>
          <w:ilvl w:val="0"/>
          <w:numId w:val="1"/>
        </w:numPr>
        <w:pBdr>
          <w:top w:val="nil"/>
          <w:left w:val="nil"/>
          <w:bottom w:val="nil"/>
          <w:right w:val="nil"/>
          <w:between w:val="nil"/>
        </w:pBdr>
        <w:ind w:left="1843" w:hanging="425"/>
        <w:jc w:val="both"/>
        <w:rPr>
          <w:rFonts w:ascii="Arial" w:eastAsia="Arial" w:hAnsi="Arial" w:cs="Arial"/>
          <w:color w:val="000000"/>
          <w:sz w:val="22"/>
          <w:szCs w:val="22"/>
        </w:rPr>
      </w:pPr>
      <w:r>
        <w:rPr>
          <w:rFonts w:ascii="Arial" w:eastAsia="Arial" w:hAnsi="Arial" w:cs="Arial"/>
          <w:color w:val="000000"/>
          <w:sz w:val="22"/>
          <w:szCs w:val="22"/>
        </w:rPr>
        <w:t>El precio resultante de la Referenciación Externa de Precios (REP) sea superior al precio más alto entre los medicamentos similares comercializados en el mercado nacional.</w:t>
      </w:r>
    </w:p>
    <w:p w:rsidR="009C054B" w:rsidRDefault="00C82583">
      <w:pPr>
        <w:numPr>
          <w:ilvl w:val="0"/>
          <w:numId w:val="1"/>
        </w:numPr>
        <w:pBdr>
          <w:top w:val="nil"/>
          <w:left w:val="nil"/>
          <w:bottom w:val="nil"/>
          <w:right w:val="nil"/>
          <w:between w:val="nil"/>
        </w:pBdr>
        <w:spacing w:after="120"/>
        <w:ind w:left="1843" w:hanging="425"/>
        <w:jc w:val="both"/>
        <w:rPr>
          <w:rFonts w:ascii="Arial" w:eastAsia="Arial" w:hAnsi="Arial" w:cs="Arial"/>
          <w:color w:val="000000"/>
          <w:sz w:val="22"/>
          <w:szCs w:val="22"/>
        </w:rPr>
      </w:pPr>
      <w:r>
        <w:rPr>
          <w:rFonts w:ascii="Arial" w:eastAsia="Arial" w:hAnsi="Arial" w:cs="Arial"/>
          <w:color w:val="000000"/>
          <w:sz w:val="22"/>
          <w:szCs w:val="22"/>
        </w:rPr>
        <w:t xml:space="preserve">Cuando, después de la revisión exhaustiva y comprobable, no exista un medicamento similar de referencia </w:t>
      </w:r>
      <w:proofErr w:type="gramStart"/>
      <w:r>
        <w:rPr>
          <w:rFonts w:ascii="Arial" w:eastAsia="Arial" w:hAnsi="Arial" w:cs="Arial"/>
          <w:color w:val="000000"/>
          <w:sz w:val="22"/>
          <w:szCs w:val="22"/>
        </w:rPr>
        <w:t>internacional</w:t>
      </w:r>
      <w:proofErr w:type="gramEnd"/>
      <w:r>
        <w:rPr>
          <w:rFonts w:ascii="Arial" w:eastAsia="Arial" w:hAnsi="Arial" w:cs="Arial"/>
          <w:color w:val="000000"/>
          <w:sz w:val="22"/>
          <w:szCs w:val="22"/>
        </w:rPr>
        <w:t xml:space="preserve"> pero se </w:t>
      </w:r>
      <w:r>
        <w:rPr>
          <w:rFonts w:ascii="Arial" w:eastAsia="Arial" w:hAnsi="Arial" w:cs="Arial"/>
          <w:color w:val="000000"/>
          <w:sz w:val="22"/>
          <w:szCs w:val="22"/>
        </w:rPr>
        <w:lastRenderedPageBreak/>
        <w:t>identifique un medicamento de referencia nacional como comparador.</w:t>
      </w:r>
    </w:p>
    <w:p w:rsidR="009C054B" w:rsidRDefault="00C82583">
      <w:pPr>
        <w:spacing w:before="120" w:after="120"/>
        <w:ind w:left="1418"/>
        <w:jc w:val="both"/>
        <w:rPr>
          <w:rFonts w:ascii="Arial" w:eastAsia="Arial" w:hAnsi="Arial" w:cs="Arial"/>
          <w:sz w:val="22"/>
          <w:szCs w:val="22"/>
        </w:rPr>
      </w:pPr>
      <w:r>
        <w:rPr>
          <w:rFonts w:ascii="Arial" w:eastAsia="Arial" w:hAnsi="Arial" w:cs="Arial"/>
          <w:sz w:val="22"/>
          <w:szCs w:val="22"/>
        </w:rPr>
        <w:t xml:space="preserve">En caso de no verificarse ninguna de las condiciones precedentemente enumeradas, la fijación del PVP se realizará conforme a lo establecido en la Resolución DINAVISA </w:t>
      </w:r>
      <w:proofErr w:type="spellStart"/>
      <w:r>
        <w:rPr>
          <w:rFonts w:ascii="Arial" w:eastAsia="Arial" w:hAnsi="Arial" w:cs="Arial"/>
          <w:sz w:val="22"/>
          <w:szCs w:val="22"/>
        </w:rPr>
        <w:t>N.°</w:t>
      </w:r>
      <w:proofErr w:type="spellEnd"/>
      <w:r>
        <w:rPr>
          <w:rFonts w:ascii="Arial" w:eastAsia="Arial" w:hAnsi="Arial" w:cs="Arial"/>
          <w:sz w:val="22"/>
          <w:szCs w:val="22"/>
        </w:rPr>
        <w:t xml:space="preserve"> 174/2024 o conforme a sus posteriores modificaciones y actualizaciones.</w:t>
      </w:r>
    </w:p>
    <w:p w:rsidR="009C054B" w:rsidRDefault="00C82583">
      <w:pPr>
        <w:spacing w:after="120"/>
        <w:ind w:left="1418" w:hanging="1418"/>
        <w:jc w:val="both"/>
        <w:rPr>
          <w:rFonts w:ascii="Arial" w:eastAsia="Arial" w:hAnsi="Arial" w:cs="Arial"/>
          <w:sz w:val="22"/>
          <w:szCs w:val="22"/>
        </w:rPr>
      </w:pPr>
      <w:r>
        <w:rPr>
          <w:rFonts w:ascii="Arial" w:eastAsia="Arial" w:hAnsi="Arial" w:cs="Arial"/>
          <w:b/>
          <w:sz w:val="22"/>
          <w:szCs w:val="22"/>
        </w:rPr>
        <w:t>Artículo 4</w:t>
      </w:r>
      <w:proofErr w:type="gramStart"/>
      <w:r>
        <w:rPr>
          <w:rFonts w:ascii="Arial" w:eastAsia="Arial" w:hAnsi="Arial" w:cs="Arial"/>
          <w:b/>
          <w:sz w:val="22"/>
          <w:szCs w:val="22"/>
        </w:rPr>
        <w:t>°.-</w:t>
      </w:r>
      <w:proofErr w:type="gramEnd"/>
      <w:r>
        <w:rPr>
          <w:rFonts w:ascii="Arial" w:eastAsia="Arial" w:hAnsi="Arial" w:cs="Arial"/>
          <w:sz w:val="22"/>
          <w:szCs w:val="22"/>
        </w:rPr>
        <w:t xml:space="preserve"> </w:t>
      </w:r>
      <w:r>
        <w:rPr>
          <w:rFonts w:ascii="Arial" w:eastAsia="Arial" w:hAnsi="Arial" w:cs="Arial"/>
          <w:sz w:val="22"/>
          <w:szCs w:val="22"/>
        </w:rPr>
        <w:tab/>
        <w:t>Disponer que el Precio de Venta al Público (PVP) de un medicamento, determinado según el Sistema de Referenciación Interna de Precios (REIP), será igual o inferior al promedio de los precios unitarios de medicamentos similares registrados y comercializados en el país al momento de la solicitud, conforme al Listado Oficial de Precios publicado por la Dirección Nacional de Vigilancia Sanitaria (DINAVISA).</w:t>
      </w:r>
    </w:p>
    <w:p w:rsidR="009C054B" w:rsidRDefault="00C82583">
      <w:pPr>
        <w:spacing w:after="120"/>
        <w:ind w:left="1418" w:hanging="1418"/>
        <w:jc w:val="both"/>
        <w:rPr>
          <w:rFonts w:ascii="Arial" w:eastAsia="Arial" w:hAnsi="Arial" w:cs="Arial"/>
          <w:sz w:val="22"/>
          <w:szCs w:val="22"/>
        </w:rPr>
      </w:pPr>
      <w:r>
        <w:rPr>
          <w:rFonts w:ascii="Arial" w:eastAsia="Arial" w:hAnsi="Arial" w:cs="Arial"/>
          <w:b/>
          <w:sz w:val="22"/>
          <w:szCs w:val="22"/>
        </w:rPr>
        <w:t>Artículo 5</w:t>
      </w:r>
      <w:proofErr w:type="gramStart"/>
      <w:r>
        <w:rPr>
          <w:rFonts w:ascii="Arial" w:eastAsia="Arial" w:hAnsi="Arial" w:cs="Arial"/>
          <w:b/>
          <w:sz w:val="22"/>
          <w:szCs w:val="22"/>
        </w:rPr>
        <w:t>°.-</w:t>
      </w:r>
      <w:proofErr w:type="gramEnd"/>
      <w:r>
        <w:rPr>
          <w:rFonts w:ascii="Arial" w:eastAsia="Arial" w:hAnsi="Arial" w:cs="Arial"/>
          <w:b/>
          <w:sz w:val="22"/>
          <w:szCs w:val="22"/>
        </w:rPr>
        <w:t xml:space="preserve"> </w:t>
      </w:r>
      <w:r>
        <w:rPr>
          <w:rFonts w:ascii="Arial" w:eastAsia="Arial" w:hAnsi="Arial" w:cs="Arial"/>
          <w:b/>
          <w:sz w:val="22"/>
          <w:szCs w:val="22"/>
        </w:rPr>
        <w:tab/>
      </w:r>
      <w:r>
        <w:rPr>
          <w:rFonts w:ascii="Arial" w:eastAsia="Arial" w:hAnsi="Arial" w:cs="Arial"/>
          <w:sz w:val="22"/>
          <w:szCs w:val="22"/>
        </w:rPr>
        <w:t>La Dirección Nacional de Vigilancia Sanitaria (DINAVISA) podrá autorizar un ajuste técnico complementario máximo de hasta un quince por ciento (15 %) adicional sobre el Precio de Venta al Público (PVP) calculado por el Sistema de Referenciación Interna de Precios (REIP), conforme al siguiente desglose:</w:t>
      </w:r>
    </w:p>
    <w:sdt>
      <w:sdtPr>
        <w:tag w:val="goog_rdk_0"/>
        <w:id w:val="2135907397"/>
        <w:lock w:val="contentLocked"/>
      </w:sdtPr>
      <w:sdtEndPr/>
      <w:sdtContent>
        <w:tbl>
          <w:tblPr>
            <w:tblStyle w:val="a1"/>
            <w:tblW w:w="7086"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3"/>
            <w:gridCol w:w="3543"/>
          </w:tblGrid>
          <w:tr w:rsidR="009C054B">
            <w:trPr>
              <w:tblHeader/>
            </w:trPr>
            <w:tc>
              <w:tcPr>
                <w:tcW w:w="3543" w:type="dxa"/>
                <w:shd w:val="clear" w:color="auto" w:fill="auto"/>
                <w:tcMar>
                  <w:top w:w="100" w:type="dxa"/>
                  <w:left w:w="100" w:type="dxa"/>
                  <w:bottom w:w="100" w:type="dxa"/>
                  <w:right w:w="100" w:type="dxa"/>
                </w:tcMar>
              </w:tcPr>
              <w:p w:rsidR="009C054B" w:rsidRDefault="00C82583">
                <w:pPr>
                  <w:widowControl w:val="0"/>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Criterio técnico</w:t>
                </w:r>
              </w:p>
            </w:tc>
            <w:tc>
              <w:tcPr>
                <w:tcW w:w="3543" w:type="dxa"/>
                <w:shd w:val="clear" w:color="auto" w:fill="auto"/>
                <w:tcMar>
                  <w:top w:w="100" w:type="dxa"/>
                  <w:left w:w="100" w:type="dxa"/>
                  <w:bottom w:w="100" w:type="dxa"/>
                  <w:right w:w="100" w:type="dxa"/>
                </w:tcMar>
              </w:tcPr>
              <w:p w:rsidR="009C054B" w:rsidRDefault="00C82583">
                <w:pPr>
                  <w:widowControl w:val="0"/>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Porcentaje adicional aprobado</w:t>
                </w:r>
              </w:p>
            </w:tc>
          </w:tr>
          <w:tr w:rsidR="009C054B">
            <w:trPr>
              <w:trHeight w:val="537"/>
            </w:trPr>
            <w:tc>
              <w:tcPr>
                <w:tcW w:w="3543" w:type="dxa"/>
                <w:shd w:val="clear" w:color="auto" w:fill="auto"/>
                <w:tcMar>
                  <w:top w:w="100" w:type="dxa"/>
                  <w:left w:w="100" w:type="dxa"/>
                  <w:bottom w:w="100" w:type="dxa"/>
                  <w:right w:w="100" w:type="dxa"/>
                </w:tcMar>
              </w:tcPr>
              <w:p w:rsidR="009C054B" w:rsidRDefault="00C82583">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Comercializado en país de alta vigilancia sanitaria</w:t>
                </w:r>
              </w:p>
            </w:tc>
            <w:tc>
              <w:tcPr>
                <w:tcW w:w="3543" w:type="dxa"/>
                <w:shd w:val="clear" w:color="auto" w:fill="auto"/>
                <w:tcMar>
                  <w:top w:w="100" w:type="dxa"/>
                  <w:left w:w="100" w:type="dxa"/>
                  <w:bottom w:w="100" w:type="dxa"/>
                  <w:right w:w="100" w:type="dxa"/>
                </w:tcMar>
              </w:tcPr>
              <w:p w:rsidR="009C054B" w:rsidRDefault="00C82583">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5%</w:t>
                </w:r>
              </w:p>
            </w:tc>
          </w:tr>
          <w:tr w:rsidR="009C054B">
            <w:tc>
              <w:tcPr>
                <w:tcW w:w="3543" w:type="dxa"/>
                <w:shd w:val="clear" w:color="auto" w:fill="auto"/>
                <w:tcMar>
                  <w:top w:w="100" w:type="dxa"/>
                  <w:left w:w="100" w:type="dxa"/>
                  <w:bottom w:w="100" w:type="dxa"/>
                  <w:right w:w="100" w:type="dxa"/>
                </w:tcMar>
              </w:tcPr>
              <w:p w:rsidR="009C054B" w:rsidRDefault="00C82583">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Requerimientos adicionales de BPF o segregación</w:t>
                </w:r>
              </w:p>
            </w:tc>
            <w:tc>
              <w:tcPr>
                <w:tcW w:w="3543" w:type="dxa"/>
                <w:shd w:val="clear" w:color="auto" w:fill="auto"/>
                <w:tcMar>
                  <w:top w:w="100" w:type="dxa"/>
                  <w:left w:w="100" w:type="dxa"/>
                  <w:bottom w:w="100" w:type="dxa"/>
                  <w:right w:w="100" w:type="dxa"/>
                </w:tcMar>
              </w:tcPr>
              <w:p w:rsidR="009C054B" w:rsidRDefault="00C82583">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5%</w:t>
                </w:r>
              </w:p>
            </w:tc>
          </w:tr>
          <w:tr w:rsidR="009C054B">
            <w:tc>
              <w:tcPr>
                <w:tcW w:w="3543" w:type="dxa"/>
                <w:shd w:val="clear" w:color="auto" w:fill="auto"/>
                <w:tcMar>
                  <w:top w:w="100" w:type="dxa"/>
                  <w:left w:w="100" w:type="dxa"/>
                  <w:bottom w:w="100" w:type="dxa"/>
                  <w:right w:w="100" w:type="dxa"/>
                </w:tcMar>
              </w:tcPr>
              <w:p w:rsidR="009C054B" w:rsidRDefault="00C82583">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Presentaciones innovadoras</w:t>
                </w:r>
              </w:p>
            </w:tc>
            <w:tc>
              <w:tcPr>
                <w:tcW w:w="3543" w:type="dxa"/>
                <w:shd w:val="clear" w:color="auto" w:fill="auto"/>
                <w:tcMar>
                  <w:top w:w="100" w:type="dxa"/>
                  <w:left w:w="100" w:type="dxa"/>
                  <w:bottom w:w="100" w:type="dxa"/>
                  <w:right w:w="100" w:type="dxa"/>
                </w:tcMar>
              </w:tcPr>
              <w:p w:rsidR="009C054B" w:rsidRDefault="00C82583">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5%</w:t>
                </w:r>
              </w:p>
            </w:tc>
          </w:tr>
        </w:tbl>
      </w:sdtContent>
    </w:sdt>
    <w:p w:rsidR="009C054B" w:rsidRDefault="009C054B">
      <w:pPr>
        <w:spacing w:after="120"/>
        <w:ind w:left="1418"/>
        <w:jc w:val="both"/>
        <w:rPr>
          <w:rFonts w:ascii="Arial" w:eastAsia="Arial" w:hAnsi="Arial" w:cs="Arial"/>
          <w:sz w:val="22"/>
          <w:szCs w:val="22"/>
          <w:highlight w:val="yellow"/>
        </w:rPr>
      </w:pPr>
    </w:p>
    <w:p w:rsidR="009C054B" w:rsidRDefault="00C82583">
      <w:pPr>
        <w:spacing w:after="120"/>
        <w:ind w:left="1418"/>
        <w:jc w:val="both"/>
        <w:rPr>
          <w:rFonts w:ascii="Arial" w:eastAsia="Arial" w:hAnsi="Arial" w:cs="Arial"/>
          <w:sz w:val="22"/>
          <w:szCs w:val="22"/>
        </w:rPr>
      </w:pPr>
      <w:r>
        <w:rPr>
          <w:rFonts w:ascii="Arial" w:eastAsia="Arial" w:hAnsi="Arial" w:cs="Arial"/>
          <w:sz w:val="22"/>
          <w:szCs w:val="22"/>
        </w:rPr>
        <w:t>Sin perjuicio de lo anterior, se podrá otorgar un nuevo ajuste de 10% a medicamentos con bioequivalencia demostrada y de 5% a medicamentos con bioexención concluida.</w:t>
      </w:r>
    </w:p>
    <w:p w:rsidR="009C054B" w:rsidRDefault="00C82583">
      <w:pPr>
        <w:spacing w:after="120"/>
        <w:ind w:left="1417" w:hanging="1417"/>
        <w:jc w:val="both"/>
        <w:rPr>
          <w:rFonts w:ascii="Arial" w:eastAsia="Arial" w:hAnsi="Arial" w:cs="Arial"/>
          <w:sz w:val="22"/>
          <w:szCs w:val="22"/>
        </w:rPr>
      </w:pPr>
      <w:r>
        <w:rPr>
          <w:rFonts w:ascii="Arial" w:eastAsia="Arial" w:hAnsi="Arial" w:cs="Arial"/>
          <w:b/>
          <w:sz w:val="22"/>
          <w:szCs w:val="22"/>
        </w:rPr>
        <w:t>Artículo 6</w:t>
      </w:r>
      <w:proofErr w:type="gramStart"/>
      <w:r>
        <w:rPr>
          <w:rFonts w:ascii="Arial" w:eastAsia="Arial" w:hAnsi="Arial" w:cs="Arial"/>
          <w:b/>
          <w:sz w:val="22"/>
          <w:szCs w:val="22"/>
        </w:rPr>
        <w:t>°.-</w:t>
      </w:r>
      <w:proofErr w:type="gramEnd"/>
      <w:r>
        <w:rPr>
          <w:rFonts w:ascii="Arial" w:eastAsia="Arial" w:hAnsi="Arial" w:cs="Arial"/>
          <w:b/>
          <w:sz w:val="22"/>
          <w:szCs w:val="22"/>
        </w:rPr>
        <w:t xml:space="preserve"> </w:t>
      </w:r>
      <w:r>
        <w:rPr>
          <w:rFonts w:ascii="Arial" w:eastAsia="Arial" w:hAnsi="Arial" w:cs="Arial"/>
          <w:b/>
          <w:sz w:val="22"/>
          <w:szCs w:val="22"/>
        </w:rPr>
        <w:tab/>
      </w:r>
      <w:r>
        <w:rPr>
          <w:rFonts w:ascii="Arial" w:eastAsia="Arial" w:hAnsi="Arial" w:cs="Arial"/>
          <w:sz w:val="22"/>
          <w:szCs w:val="22"/>
        </w:rPr>
        <w:t>Establecer que el ajuste complementario deberá estar respaldado por evidencia técnica verificable, incluyendo, pero no limitándose a:</w:t>
      </w:r>
    </w:p>
    <w:p w:rsidR="009C054B" w:rsidRDefault="00C82583">
      <w:pPr>
        <w:numPr>
          <w:ilvl w:val="0"/>
          <w:numId w:val="2"/>
        </w:numPr>
        <w:jc w:val="both"/>
        <w:rPr>
          <w:rFonts w:ascii="Arial" w:eastAsia="Arial" w:hAnsi="Arial" w:cs="Arial"/>
          <w:sz w:val="22"/>
          <w:szCs w:val="22"/>
        </w:rPr>
      </w:pPr>
      <w:r>
        <w:rPr>
          <w:rFonts w:ascii="Arial" w:eastAsia="Arial" w:hAnsi="Arial" w:cs="Arial"/>
          <w:sz w:val="22"/>
          <w:szCs w:val="22"/>
        </w:rPr>
        <w:lastRenderedPageBreak/>
        <w:t>Informe de bioequivalencia emitido por entidad reconocida nacional o internacional.</w:t>
      </w:r>
    </w:p>
    <w:p w:rsidR="009C054B" w:rsidRDefault="00C82583">
      <w:pPr>
        <w:numPr>
          <w:ilvl w:val="0"/>
          <w:numId w:val="2"/>
        </w:numPr>
        <w:jc w:val="both"/>
        <w:rPr>
          <w:rFonts w:ascii="Arial" w:eastAsia="Arial" w:hAnsi="Arial" w:cs="Arial"/>
          <w:sz w:val="22"/>
          <w:szCs w:val="22"/>
        </w:rPr>
      </w:pPr>
      <w:r>
        <w:rPr>
          <w:rFonts w:ascii="Arial" w:eastAsia="Arial" w:hAnsi="Arial" w:cs="Arial"/>
          <w:sz w:val="22"/>
          <w:szCs w:val="22"/>
        </w:rPr>
        <w:t>Ficha técnica del producto con detalle de procesos críticos de fabricación.</w:t>
      </w:r>
    </w:p>
    <w:p w:rsidR="009C054B" w:rsidRDefault="00C82583">
      <w:pPr>
        <w:numPr>
          <w:ilvl w:val="0"/>
          <w:numId w:val="2"/>
        </w:numPr>
        <w:spacing w:after="120"/>
        <w:jc w:val="both"/>
        <w:rPr>
          <w:rFonts w:ascii="Arial" w:eastAsia="Arial" w:hAnsi="Arial" w:cs="Arial"/>
          <w:sz w:val="22"/>
          <w:szCs w:val="22"/>
        </w:rPr>
      </w:pPr>
      <w:r>
        <w:rPr>
          <w:rFonts w:ascii="Arial" w:eastAsia="Arial" w:hAnsi="Arial" w:cs="Arial"/>
          <w:sz w:val="22"/>
          <w:szCs w:val="22"/>
        </w:rPr>
        <w:t>Certificado de Libre Venta, de Producto Farmacéutico o equivalente emitido por la autoridad sanitaria de origen o procedencia.</w:t>
      </w:r>
    </w:p>
    <w:p w:rsidR="009C054B" w:rsidRDefault="00C82583">
      <w:pPr>
        <w:spacing w:after="120"/>
        <w:ind w:left="1418"/>
        <w:jc w:val="both"/>
        <w:rPr>
          <w:rFonts w:ascii="Arial" w:eastAsia="Arial" w:hAnsi="Arial" w:cs="Arial"/>
          <w:sz w:val="22"/>
          <w:szCs w:val="22"/>
        </w:rPr>
      </w:pPr>
      <w:r>
        <w:rPr>
          <w:rFonts w:ascii="Arial" w:eastAsia="Arial" w:hAnsi="Arial" w:cs="Arial"/>
          <w:sz w:val="22"/>
          <w:szCs w:val="22"/>
        </w:rPr>
        <w:t>Se podrán solicitar otros documentos que la DINAVISA considere necesarios de manera justificada.</w:t>
      </w:r>
    </w:p>
    <w:p w:rsidR="009C054B" w:rsidRDefault="00C82583" w:rsidP="006327B2">
      <w:pPr>
        <w:spacing w:after="120"/>
        <w:ind w:left="1418" w:hanging="1418"/>
        <w:jc w:val="both"/>
        <w:rPr>
          <w:rFonts w:ascii="Arial" w:eastAsia="Arial" w:hAnsi="Arial" w:cs="Arial"/>
          <w:sz w:val="22"/>
          <w:szCs w:val="22"/>
        </w:rPr>
      </w:pPr>
      <w:r>
        <w:rPr>
          <w:rFonts w:ascii="Arial" w:eastAsia="Arial" w:hAnsi="Arial" w:cs="Arial"/>
          <w:b/>
          <w:sz w:val="22"/>
          <w:szCs w:val="22"/>
        </w:rPr>
        <w:t>Artículo 7</w:t>
      </w:r>
      <w:proofErr w:type="gramStart"/>
      <w:r>
        <w:rPr>
          <w:rFonts w:ascii="Arial" w:eastAsia="Arial" w:hAnsi="Arial" w:cs="Arial"/>
          <w:b/>
          <w:sz w:val="22"/>
          <w:szCs w:val="22"/>
        </w:rPr>
        <w:t>°.-</w:t>
      </w:r>
      <w:proofErr w:type="gramEnd"/>
      <w:r>
        <w:rPr>
          <w:rFonts w:ascii="Arial" w:eastAsia="Arial" w:hAnsi="Arial" w:cs="Arial"/>
          <w:b/>
          <w:sz w:val="22"/>
          <w:szCs w:val="22"/>
        </w:rPr>
        <w:tab/>
      </w:r>
      <w:r>
        <w:rPr>
          <w:rFonts w:ascii="Arial" w:eastAsia="Arial" w:hAnsi="Arial" w:cs="Arial"/>
          <w:sz w:val="22"/>
          <w:szCs w:val="22"/>
        </w:rPr>
        <w:t>Disponer que en ningún caso el precio solicitado mediante el Sistema de Referenciación Interna de Precios (REIP) podrá superar el 80 % del Precio de Referencia Externo (REP), al momento de la solicitud, quedando fijado como PVP 80% del Precio de Referencia Externo</w:t>
      </w:r>
      <w:r w:rsidR="006327B2">
        <w:rPr>
          <w:rFonts w:ascii="Arial" w:eastAsia="Arial" w:hAnsi="Arial" w:cs="Arial"/>
          <w:sz w:val="22"/>
          <w:szCs w:val="22"/>
        </w:rPr>
        <w:t>.</w:t>
      </w:r>
    </w:p>
    <w:p w:rsidR="009C054B" w:rsidRDefault="00C82583">
      <w:pPr>
        <w:spacing w:after="120"/>
        <w:ind w:left="1418" w:hanging="1418"/>
        <w:jc w:val="both"/>
        <w:rPr>
          <w:rFonts w:ascii="Arial" w:eastAsia="Arial" w:hAnsi="Arial" w:cs="Arial"/>
          <w:sz w:val="22"/>
          <w:szCs w:val="22"/>
        </w:rPr>
      </w:pPr>
      <w:r>
        <w:rPr>
          <w:rFonts w:ascii="Arial" w:eastAsia="Arial" w:hAnsi="Arial" w:cs="Arial"/>
          <w:b/>
          <w:sz w:val="22"/>
          <w:szCs w:val="22"/>
        </w:rPr>
        <w:t>Artículo 8</w:t>
      </w:r>
      <w:proofErr w:type="gramStart"/>
      <w:r>
        <w:rPr>
          <w:rFonts w:ascii="Arial" w:eastAsia="Arial" w:hAnsi="Arial" w:cs="Arial"/>
          <w:b/>
          <w:sz w:val="22"/>
          <w:szCs w:val="22"/>
        </w:rPr>
        <w:t>°.-</w:t>
      </w:r>
      <w:proofErr w:type="gramEnd"/>
      <w:r>
        <w:rPr>
          <w:rFonts w:ascii="Arial" w:eastAsia="Arial" w:hAnsi="Arial" w:cs="Arial"/>
          <w:b/>
          <w:sz w:val="22"/>
          <w:szCs w:val="22"/>
        </w:rPr>
        <w:tab/>
      </w:r>
      <w:r>
        <w:rPr>
          <w:rFonts w:ascii="Arial" w:eastAsia="Arial" w:hAnsi="Arial" w:cs="Arial"/>
          <w:sz w:val="22"/>
          <w:szCs w:val="22"/>
        </w:rPr>
        <w:t>Disponer que el Titular del Registro Sanitario deberá presentar la propuesta de Precio de Venta al Público (PVP) del medicamento conforme a lo establecido en la presente resolución.</w:t>
      </w:r>
    </w:p>
    <w:p w:rsidR="009C054B" w:rsidRDefault="00C82583">
      <w:pPr>
        <w:spacing w:after="120"/>
        <w:ind w:left="1418"/>
        <w:jc w:val="both"/>
        <w:rPr>
          <w:rFonts w:ascii="Arial" w:eastAsia="Arial" w:hAnsi="Arial" w:cs="Arial"/>
          <w:sz w:val="22"/>
          <w:szCs w:val="22"/>
        </w:rPr>
      </w:pPr>
      <w:r>
        <w:rPr>
          <w:rFonts w:ascii="Arial" w:eastAsia="Arial" w:hAnsi="Arial" w:cs="Arial"/>
          <w:sz w:val="22"/>
          <w:szCs w:val="22"/>
        </w:rPr>
        <w:t>La propuesta será evaluada por el Departamento de Fijación de Precios, a fin de verificar su conformidad con las normativas vigentes. En caso de que la solicitud esté incompleta o requiera ajustes, el Titular del Registro deberá subsanar las observaciones formuladas por única vez, en un plazo máximo de quince (15) días hábiles contados desde la notificación oficial. Si persisten faltas en la documentación presentada, el expediente perderá el orden de llegada y el arancel abonado, debiendo iniciar el trámite nuevamente.</w:t>
      </w:r>
    </w:p>
    <w:p w:rsidR="009C054B" w:rsidRDefault="00C82583">
      <w:pPr>
        <w:spacing w:after="120"/>
        <w:ind w:left="1418" w:hanging="1418"/>
        <w:jc w:val="both"/>
        <w:rPr>
          <w:rFonts w:ascii="Arial" w:eastAsia="Arial" w:hAnsi="Arial" w:cs="Arial"/>
          <w:sz w:val="22"/>
          <w:szCs w:val="22"/>
        </w:rPr>
      </w:pPr>
      <w:r>
        <w:rPr>
          <w:rFonts w:ascii="Arial" w:eastAsia="Arial" w:hAnsi="Arial" w:cs="Arial"/>
          <w:b/>
          <w:sz w:val="22"/>
          <w:szCs w:val="22"/>
        </w:rPr>
        <w:t>Artículo 9</w:t>
      </w:r>
      <w:proofErr w:type="gramStart"/>
      <w:r>
        <w:rPr>
          <w:rFonts w:ascii="Arial" w:eastAsia="Arial" w:hAnsi="Arial" w:cs="Arial"/>
          <w:b/>
          <w:sz w:val="22"/>
          <w:szCs w:val="22"/>
        </w:rPr>
        <w:t>°.-</w:t>
      </w:r>
      <w:proofErr w:type="gramEnd"/>
      <w:r>
        <w:rPr>
          <w:rFonts w:ascii="Arial" w:eastAsia="Arial" w:hAnsi="Arial" w:cs="Arial"/>
          <w:b/>
          <w:sz w:val="22"/>
          <w:szCs w:val="22"/>
        </w:rPr>
        <w:t xml:space="preserve"> </w:t>
      </w:r>
      <w:r>
        <w:rPr>
          <w:rFonts w:ascii="Arial" w:eastAsia="Arial" w:hAnsi="Arial" w:cs="Arial"/>
          <w:b/>
          <w:sz w:val="22"/>
          <w:szCs w:val="22"/>
        </w:rPr>
        <w:tab/>
      </w:r>
      <w:r>
        <w:rPr>
          <w:rFonts w:ascii="Arial" w:eastAsia="Arial" w:hAnsi="Arial" w:cs="Arial"/>
          <w:sz w:val="22"/>
          <w:szCs w:val="22"/>
        </w:rPr>
        <w:t>Disponer que en casos debidamente fundamentados, en los que por razones objetivas, técnicas o por falta de disponibilidad de información no resulte aplicable ni el Sistema de Referenciación Externa de Precios (REP) ni el Sistema de Referenciación Interna de Precios (REIP), la DINAVISA establecerá, mediante reglamentación específica, el mecanismo alternativo para la fijación del PVP.</w:t>
      </w:r>
    </w:p>
    <w:p w:rsidR="009C054B" w:rsidRDefault="00C82583">
      <w:pPr>
        <w:spacing w:after="120"/>
        <w:ind w:left="1418" w:hanging="1418"/>
        <w:jc w:val="both"/>
        <w:rPr>
          <w:rFonts w:ascii="Arial" w:eastAsia="Arial" w:hAnsi="Arial" w:cs="Arial"/>
          <w:sz w:val="22"/>
          <w:szCs w:val="22"/>
        </w:rPr>
      </w:pPr>
      <w:r>
        <w:rPr>
          <w:rFonts w:ascii="Arial" w:eastAsia="Arial" w:hAnsi="Arial" w:cs="Arial"/>
          <w:b/>
          <w:sz w:val="22"/>
          <w:szCs w:val="22"/>
        </w:rPr>
        <w:t>Artículo 10.-</w:t>
      </w:r>
      <w:r>
        <w:rPr>
          <w:rFonts w:ascii="Arial" w:eastAsia="Arial" w:hAnsi="Arial" w:cs="Arial"/>
          <w:sz w:val="22"/>
          <w:szCs w:val="22"/>
        </w:rPr>
        <w:t xml:space="preserve"> </w:t>
      </w:r>
      <w:r>
        <w:rPr>
          <w:rFonts w:ascii="Arial" w:eastAsia="Arial" w:hAnsi="Arial" w:cs="Arial"/>
          <w:sz w:val="22"/>
          <w:szCs w:val="22"/>
        </w:rPr>
        <w:tab/>
        <w:t xml:space="preserve">Establecer que los Precios máximos de Venta al Público de medicamentos (PVP), fijados por la Dirección Nacional de Vigilancia Sanitaria, serán válidos en todo el país, y su sobrefacturación será </w:t>
      </w:r>
      <w:r>
        <w:rPr>
          <w:rFonts w:ascii="Arial" w:eastAsia="Arial" w:hAnsi="Arial" w:cs="Arial"/>
          <w:sz w:val="22"/>
          <w:szCs w:val="22"/>
        </w:rPr>
        <w:lastRenderedPageBreak/>
        <w:t xml:space="preserve">sancionada conforme a la Ley </w:t>
      </w:r>
      <w:proofErr w:type="spellStart"/>
      <w:r>
        <w:rPr>
          <w:rFonts w:ascii="Arial" w:eastAsia="Arial" w:hAnsi="Arial" w:cs="Arial"/>
          <w:sz w:val="22"/>
          <w:szCs w:val="22"/>
        </w:rPr>
        <w:t>N°</w:t>
      </w:r>
      <w:proofErr w:type="spellEnd"/>
      <w:r>
        <w:rPr>
          <w:rFonts w:ascii="Arial" w:eastAsia="Arial" w:hAnsi="Arial" w:cs="Arial"/>
          <w:sz w:val="22"/>
          <w:szCs w:val="22"/>
        </w:rPr>
        <w:t xml:space="preserve"> 6788/2021 “Que establece la competencia, atribuciones y estructura orgánica de la Dirección Nacional de Vigilancia Sanitaria”, y su modificación por la Ley </w:t>
      </w:r>
      <w:proofErr w:type="spellStart"/>
      <w:r>
        <w:rPr>
          <w:rFonts w:ascii="Arial" w:eastAsia="Arial" w:hAnsi="Arial" w:cs="Arial"/>
          <w:sz w:val="22"/>
          <w:szCs w:val="22"/>
        </w:rPr>
        <w:t>Nº</w:t>
      </w:r>
      <w:proofErr w:type="spellEnd"/>
      <w:r>
        <w:rPr>
          <w:rFonts w:ascii="Arial" w:eastAsia="Arial" w:hAnsi="Arial" w:cs="Arial"/>
          <w:sz w:val="22"/>
          <w:szCs w:val="22"/>
        </w:rPr>
        <w:t xml:space="preserve"> 7361/2024 y la Ley </w:t>
      </w:r>
      <w:proofErr w:type="spellStart"/>
      <w:r>
        <w:rPr>
          <w:rFonts w:ascii="Arial" w:eastAsia="Arial" w:hAnsi="Arial" w:cs="Arial"/>
          <w:sz w:val="22"/>
          <w:szCs w:val="22"/>
        </w:rPr>
        <w:t>N°</w:t>
      </w:r>
      <w:proofErr w:type="spellEnd"/>
      <w:r>
        <w:rPr>
          <w:rFonts w:ascii="Arial" w:eastAsia="Arial" w:hAnsi="Arial" w:cs="Arial"/>
          <w:sz w:val="22"/>
          <w:szCs w:val="22"/>
        </w:rPr>
        <w:t xml:space="preserve"> 1119/1997 “De productos para la Salud”, previo sumario administrativo.</w:t>
      </w:r>
    </w:p>
    <w:p w:rsidR="009C054B" w:rsidRDefault="00C82583">
      <w:pPr>
        <w:ind w:left="1418" w:hanging="1418"/>
        <w:jc w:val="both"/>
        <w:rPr>
          <w:rFonts w:ascii="Arial" w:eastAsia="Arial" w:hAnsi="Arial" w:cs="Arial"/>
          <w:sz w:val="22"/>
          <w:szCs w:val="22"/>
        </w:rPr>
      </w:pPr>
      <w:r>
        <w:rPr>
          <w:rFonts w:ascii="Arial" w:eastAsia="Arial" w:hAnsi="Arial" w:cs="Arial"/>
          <w:b/>
          <w:sz w:val="22"/>
          <w:szCs w:val="22"/>
        </w:rPr>
        <w:t>Artículo 11.</w:t>
      </w:r>
      <w:proofErr w:type="gramStart"/>
      <w:r>
        <w:rPr>
          <w:rFonts w:ascii="Arial" w:eastAsia="Arial" w:hAnsi="Arial" w:cs="Arial"/>
          <w:b/>
          <w:sz w:val="22"/>
          <w:szCs w:val="22"/>
        </w:rPr>
        <w:t>-</w:t>
      </w:r>
      <w:r>
        <w:rPr>
          <w:rFonts w:ascii="Arial" w:eastAsia="Arial" w:hAnsi="Arial" w:cs="Arial"/>
          <w:sz w:val="22"/>
          <w:szCs w:val="22"/>
        </w:rPr>
        <w:t xml:space="preserve">  </w:t>
      </w:r>
      <w:r>
        <w:rPr>
          <w:rFonts w:ascii="Arial" w:eastAsia="Arial" w:hAnsi="Arial" w:cs="Arial"/>
          <w:sz w:val="22"/>
          <w:szCs w:val="22"/>
        </w:rPr>
        <w:tab/>
      </w:r>
      <w:proofErr w:type="gramEnd"/>
      <w:r>
        <w:rPr>
          <w:rFonts w:ascii="Arial" w:eastAsia="Arial" w:hAnsi="Arial" w:cs="Arial"/>
          <w:sz w:val="22"/>
          <w:szCs w:val="22"/>
        </w:rPr>
        <w:t>Disponer que la presente normativa entrará en vigencia a los tres (3) meses de la fecha de su firma.</w:t>
      </w:r>
    </w:p>
    <w:p w:rsidR="009C054B" w:rsidRDefault="00C82583">
      <w:pPr>
        <w:ind w:left="1418" w:hanging="1418"/>
        <w:jc w:val="both"/>
        <w:rPr>
          <w:rFonts w:ascii="Arial" w:eastAsia="Arial" w:hAnsi="Arial" w:cs="Arial"/>
          <w:b/>
          <w:sz w:val="22"/>
          <w:szCs w:val="22"/>
        </w:rPr>
      </w:pPr>
      <w:r>
        <w:rPr>
          <w:rFonts w:ascii="Arial" w:eastAsia="Arial" w:hAnsi="Arial" w:cs="Arial"/>
          <w:b/>
          <w:sz w:val="22"/>
          <w:szCs w:val="22"/>
        </w:rPr>
        <w:t xml:space="preserve"> </w:t>
      </w:r>
      <w:r>
        <w:rPr>
          <w:rFonts w:ascii="Arial" w:eastAsia="Arial" w:hAnsi="Arial" w:cs="Arial"/>
          <w:b/>
          <w:sz w:val="22"/>
          <w:szCs w:val="22"/>
        </w:rPr>
        <w:tab/>
      </w:r>
    </w:p>
    <w:p w:rsidR="009C054B" w:rsidRDefault="00C82583">
      <w:pPr>
        <w:ind w:left="1418" w:hanging="1418"/>
        <w:jc w:val="both"/>
        <w:rPr>
          <w:rFonts w:ascii="Arial" w:eastAsia="Arial" w:hAnsi="Arial" w:cs="Arial"/>
          <w:sz w:val="22"/>
          <w:szCs w:val="22"/>
        </w:rPr>
      </w:pPr>
      <w:r>
        <w:rPr>
          <w:rFonts w:ascii="Arial" w:eastAsia="Arial" w:hAnsi="Arial" w:cs="Arial"/>
          <w:b/>
          <w:sz w:val="22"/>
          <w:szCs w:val="22"/>
        </w:rPr>
        <w:t xml:space="preserve">Artículo 12.- </w:t>
      </w:r>
      <w:r>
        <w:rPr>
          <w:rFonts w:ascii="Arial" w:eastAsia="Arial" w:hAnsi="Arial" w:cs="Arial"/>
          <w:b/>
          <w:sz w:val="22"/>
          <w:szCs w:val="22"/>
        </w:rPr>
        <w:tab/>
      </w:r>
      <w:r>
        <w:rPr>
          <w:rFonts w:ascii="Arial" w:eastAsia="Arial" w:hAnsi="Arial" w:cs="Arial"/>
          <w:sz w:val="22"/>
          <w:szCs w:val="22"/>
        </w:rPr>
        <w:t>Comunicar a quienes corresponda y cumplido, archivar.</w:t>
      </w:r>
      <w:r>
        <w:rPr>
          <w:rFonts w:ascii="Arial" w:eastAsia="Arial" w:hAnsi="Arial" w:cs="Arial"/>
          <w:b/>
          <w:sz w:val="22"/>
          <w:szCs w:val="22"/>
        </w:rPr>
        <w:t xml:space="preserve">  </w:t>
      </w:r>
    </w:p>
    <w:p w:rsidR="009C054B" w:rsidRDefault="009C054B">
      <w:pPr>
        <w:rPr>
          <w:rFonts w:ascii="Arial" w:eastAsia="Arial" w:hAnsi="Arial" w:cs="Arial"/>
          <w:sz w:val="22"/>
          <w:szCs w:val="22"/>
        </w:rPr>
      </w:pPr>
    </w:p>
    <w:p w:rsidR="009C054B" w:rsidRDefault="009C054B">
      <w:pPr>
        <w:rPr>
          <w:rFonts w:ascii="Arial" w:eastAsia="Arial" w:hAnsi="Arial" w:cs="Arial"/>
          <w:sz w:val="22"/>
          <w:szCs w:val="22"/>
        </w:rPr>
      </w:pPr>
    </w:p>
    <w:sectPr w:rsidR="009C054B">
      <w:headerReference w:type="even" r:id="rId8"/>
      <w:headerReference w:type="default" r:id="rId9"/>
      <w:footerReference w:type="even" r:id="rId10"/>
      <w:footerReference w:type="default" r:id="rId11"/>
      <w:headerReference w:type="first" r:id="rId12"/>
      <w:footerReference w:type="first" r:id="rId13"/>
      <w:pgSz w:w="11906" w:h="16838"/>
      <w:pgMar w:top="1418" w:right="1701" w:bottom="2836" w:left="1701" w:header="227"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E13" w:rsidRDefault="008F4E13">
      <w:r>
        <w:separator/>
      </w:r>
    </w:p>
  </w:endnote>
  <w:endnote w:type="continuationSeparator" w:id="0">
    <w:p w:rsidR="008F4E13" w:rsidRDefault="008F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inux Libertine 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C08" w:rsidRDefault="00C37C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54B" w:rsidRDefault="009C054B">
    <w:pPr>
      <w:pBdr>
        <w:top w:val="nil"/>
        <w:left w:val="nil"/>
        <w:bottom w:val="nil"/>
        <w:right w:val="nil"/>
        <w:between w:val="nil"/>
      </w:pBdr>
      <w:tabs>
        <w:tab w:val="center" w:pos="4252"/>
        <w:tab w:val="right" w:pos="8504"/>
      </w:tabs>
      <w:jc w:val="center"/>
      <w:rPr>
        <w:b/>
        <w:color w:val="000000"/>
        <w:sz w:val="16"/>
        <w:szCs w:val="16"/>
      </w:rPr>
    </w:pPr>
  </w:p>
  <w:p w:rsidR="009C054B" w:rsidRDefault="00C82583">
    <w:pPr>
      <w:tabs>
        <w:tab w:val="center" w:pos="4252"/>
        <w:tab w:val="right" w:pos="8504"/>
      </w:tabs>
      <w:jc w:val="both"/>
      <w:rPr>
        <w:rFonts w:ascii="Arial" w:eastAsia="Arial" w:hAnsi="Arial" w:cs="Arial"/>
        <w:sz w:val="14"/>
        <w:szCs w:val="14"/>
      </w:rPr>
    </w:pPr>
    <w:r>
      <w:rPr>
        <w:rFonts w:ascii="Arial" w:eastAsia="Arial" w:hAnsi="Arial" w:cs="Arial"/>
        <w:b/>
        <w:sz w:val="14"/>
        <w:szCs w:val="14"/>
      </w:rPr>
      <w:t>Misión</w:t>
    </w:r>
    <w:r>
      <w:rPr>
        <w:rFonts w:ascii="Arial" w:eastAsia="Arial" w:hAnsi="Arial" w:cs="Arial"/>
        <w:sz w:val="14"/>
        <w:szCs w:val="14"/>
      </w:rPr>
      <w:t>: Regular, vigilar y fiscalizar productos de aplicación en medicina y otros asignados por ley, para garantizar la calidad, seguridad y eficacia de los mismos en beneficio de las personas, respondiendo a los desafíos de la innovación y promoviendo el desarrollo, a través de acciones coordinadas e integradas, sostenidas en normas técnicas.</w:t>
    </w:r>
  </w:p>
  <w:p w:rsidR="009C054B" w:rsidRDefault="00C82583">
    <w:pPr>
      <w:tabs>
        <w:tab w:val="center" w:pos="4252"/>
        <w:tab w:val="right" w:pos="8504"/>
      </w:tabs>
      <w:jc w:val="both"/>
      <w:rPr>
        <w:rFonts w:ascii="Arial" w:eastAsia="Arial" w:hAnsi="Arial" w:cs="Arial"/>
        <w:sz w:val="14"/>
        <w:szCs w:val="14"/>
      </w:rPr>
    </w:pPr>
    <w:r>
      <w:rPr>
        <w:rFonts w:ascii="Arial" w:eastAsia="Arial" w:hAnsi="Arial" w:cs="Arial"/>
        <w:b/>
        <w:sz w:val="14"/>
        <w:szCs w:val="14"/>
      </w:rPr>
      <w:t xml:space="preserve">Visión: </w:t>
    </w:r>
    <w:r>
      <w:rPr>
        <w:rFonts w:ascii="Arial" w:eastAsia="Arial" w:hAnsi="Arial" w:cs="Arial"/>
        <w:sz w:val="14"/>
        <w:szCs w:val="14"/>
      </w:rPr>
      <w:t>Ser una institución reguladora y fiscalizadora de Referencia Nacional e Internacional reconocida por su capacidad técnica, credibilidad y compromiso con la protección de la salud de la población y el desarrollo nacional.</w:t>
    </w:r>
  </w:p>
  <w:p w:rsidR="009C054B" w:rsidRDefault="009C054B">
    <w:pPr>
      <w:tabs>
        <w:tab w:val="center" w:pos="4252"/>
        <w:tab w:val="right" w:pos="8504"/>
      </w:tabs>
      <w:jc w:val="both"/>
      <w:rPr>
        <w:rFonts w:ascii="Arial" w:eastAsia="Arial" w:hAnsi="Arial" w:cs="Arial"/>
        <w:sz w:val="14"/>
        <w:szCs w:val="14"/>
      </w:rPr>
    </w:pPr>
  </w:p>
  <w:p w:rsidR="009C054B" w:rsidRDefault="00C82583">
    <w:pPr>
      <w:tabs>
        <w:tab w:val="center" w:pos="4252"/>
        <w:tab w:val="right" w:pos="8504"/>
      </w:tabs>
      <w:jc w:val="center"/>
      <w:rPr>
        <w:rFonts w:ascii="Arial" w:eastAsia="Arial" w:hAnsi="Arial" w:cs="Arial"/>
        <w:b/>
        <w:sz w:val="14"/>
        <w:szCs w:val="14"/>
      </w:rPr>
    </w:pPr>
    <w:r>
      <w:rPr>
        <w:rFonts w:ascii="Arial" w:eastAsia="Arial" w:hAnsi="Arial" w:cs="Arial"/>
        <w:b/>
        <w:sz w:val="14"/>
        <w:szCs w:val="14"/>
      </w:rPr>
      <w:t xml:space="preserve">Iturbe </w:t>
    </w:r>
    <w:proofErr w:type="spellStart"/>
    <w:r>
      <w:rPr>
        <w:rFonts w:ascii="Arial" w:eastAsia="Arial" w:hAnsi="Arial" w:cs="Arial"/>
        <w:b/>
        <w:sz w:val="14"/>
        <w:szCs w:val="14"/>
      </w:rPr>
      <w:t>Nº</w:t>
    </w:r>
    <w:proofErr w:type="spellEnd"/>
    <w:r>
      <w:rPr>
        <w:rFonts w:ascii="Arial" w:eastAsia="Arial" w:hAnsi="Arial" w:cs="Arial"/>
        <w:b/>
        <w:sz w:val="14"/>
        <w:szCs w:val="14"/>
      </w:rPr>
      <w:t xml:space="preserve"> 883 e/ Manuel Domínguez y Fulgencio R. Moreno</w:t>
    </w:r>
  </w:p>
  <w:p w:rsidR="009C054B" w:rsidRDefault="00C82583">
    <w:pPr>
      <w:pBdr>
        <w:top w:val="nil"/>
        <w:left w:val="nil"/>
        <w:bottom w:val="nil"/>
        <w:right w:val="nil"/>
        <w:between w:val="nil"/>
      </w:pBdr>
      <w:tabs>
        <w:tab w:val="center" w:pos="4252"/>
        <w:tab w:val="right" w:pos="8504"/>
      </w:tabs>
      <w:jc w:val="center"/>
      <w:rPr>
        <w:rFonts w:ascii="Arial" w:eastAsia="Arial" w:hAnsi="Arial" w:cs="Arial"/>
        <w:b/>
        <w:color w:val="000000"/>
        <w:sz w:val="14"/>
        <w:szCs w:val="14"/>
      </w:rPr>
    </w:pPr>
    <w:r>
      <w:rPr>
        <w:rFonts w:ascii="Arial" w:eastAsia="Arial" w:hAnsi="Arial" w:cs="Arial"/>
        <w:b/>
        <w:color w:val="000000"/>
        <w:sz w:val="14"/>
        <w:szCs w:val="14"/>
      </w:rPr>
      <w:t>Asunción, Paraguay</w:t>
    </w:r>
  </w:p>
  <w:p w:rsidR="009C054B" w:rsidRDefault="00C82583">
    <w:pPr>
      <w:pBdr>
        <w:top w:val="nil"/>
        <w:left w:val="nil"/>
        <w:bottom w:val="nil"/>
        <w:right w:val="nil"/>
        <w:between w:val="nil"/>
      </w:pBdr>
      <w:tabs>
        <w:tab w:val="center" w:pos="4252"/>
        <w:tab w:val="right" w:pos="8504"/>
      </w:tabs>
      <w:jc w:val="right"/>
      <w:rPr>
        <w:rFonts w:ascii="Arial" w:eastAsia="Arial" w:hAnsi="Arial" w:cs="Arial"/>
        <w:color w:val="000000"/>
        <w:sz w:val="14"/>
        <w:szCs w:val="14"/>
      </w:rPr>
    </w:pPr>
    <w:r>
      <w:rPr>
        <w:rFonts w:ascii="Arial" w:eastAsia="Arial" w:hAnsi="Arial" w:cs="Arial"/>
        <w:b/>
        <w:color w:val="000000"/>
        <w:sz w:val="14"/>
        <w:szCs w:val="14"/>
      </w:rPr>
      <w:t xml:space="preserve">Página </w:t>
    </w:r>
    <w:r>
      <w:rPr>
        <w:rFonts w:ascii="Arial" w:eastAsia="Arial" w:hAnsi="Arial" w:cs="Arial"/>
        <w:b/>
        <w:color w:val="000000"/>
        <w:sz w:val="14"/>
        <w:szCs w:val="14"/>
      </w:rPr>
      <w:fldChar w:fldCharType="begin"/>
    </w:r>
    <w:r>
      <w:rPr>
        <w:rFonts w:ascii="Arial" w:eastAsia="Arial" w:hAnsi="Arial" w:cs="Arial"/>
        <w:b/>
        <w:color w:val="000000"/>
        <w:sz w:val="14"/>
        <w:szCs w:val="14"/>
      </w:rPr>
      <w:instrText>PAGE</w:instrText>
    </w:r>
    <w:r>
      <w:rPr>
        <w:rFonts w:ascii="Arial" w:eastAsia="Arial" w:hAnsi="Arial" w:cs="Arial"/>
        <w:b/>
        <w:color w:val="000000"/>
        <w:sz w:val="14"/>
        <w:szCs w:val="14"/>
      </w:rPr>
      <w:fldChar w:fldCharType="separate"/>
    </w:r>
    <w:r w:rsidR="006327B2">
      <w:rPr>
        <w:rFonts w:ascii="Arial" w:eastAsia="Arial" w:hAnsi="Arial" w:cs="Arial"/>
        <w:b/>
        <w:noProof/>
        <w:color w:val="000000"/>
        <w:sz w:val="14"/>
        <w:szCs w:val="14"/>
      </w:rPr>
      <w:t>1</w:t>
    </w:r>
    <w:r>
      <w:rPr>
        <w:rFonts w:ascii="Arial" w:eastAsia="Arial" w:hAnsi="Arial" w:cs="Arial"/>
        <w:b/>
        <w:color w:val="000000"/>
        <w:sz w:val="14"/>
        <w:szCs w:val="14"/>
      </w:rPr>
      <w:fldChar w:fldCharType="end"/>
    </w:r>
    <w:r>
      <w:rPr>
        <w:rFonts w:ascii="Arial" w:eastAsia="Arial" w:hAnsi="Arial" w:cs="Arial"/>
        <w:b/>
        <w:color w:val="000000"/>
        <w:sz w:val="14"/>
        <w:szCs w:val="14"/>
      </w:rPr>
      <w:t xml:space="preserve"> de </w:t>
    </w:r>
    <w:r>
      <w:rPr>
        <w:rFonts w:ascii="Arial" w:eastAsia="Arial" w:hAnsi="Arial" w:cs="Arial"/>
        <w:b/>
        <w:color w:val="000000"/>
        <w:sz w:val="14"/>
        <w:szCs w:val="14"/>
      </w:rPr>
      <w:fldChar w:fldCharType="begin"/>
    </w:r>
    <w:r>
      <w:rPr>
        <w:rFonts w:ascii="Arial" w:eastAsia="Arial" w:hAnsi="Arial" w:cs="Arial"/>
        <w:b/>
        <w:color w:val="000000"/>
        <w:sz w:val="14"/>
        <w:szCs w:val="14"/>
      </w:rPr>
      <w:instrText>NUMPAGES</w:instrText>
    </w:r>
    <w:r>
      <w:rPr>
        <w:rFonts w:ascii="Arial" w:eastAsia="Arial" w:hAnsi="Arial" w:cs="Arial"/>
        <w:b/>
        <w:color w:val="000000"/>
        <w:sz w:val="14"/>
        <w:szCs w:val="14"/>
      </w:rPr>
      <w:fldChar w:fldCharType="separate"/>
    </w:r>
    <w:r w:rsidR="006327B2">
      <w:rPr>
        <w:rFonts w:ascii="Arial" w:eastAsia="Arial" w:hAnsi="Arial" w:cs="Arial"/>
        <w:b/>
        <w:noProof/>
        <w:color w:val="000000"/>
        <w:sz w:val="14"/>
        <w:szCs w:val="14"/>
      </w:rPr>
      <w:t>1</w:t>
    </w:r>
    <w:r>
      <w:rPr>
        <w:rFonts w:ascii="Arial" w:eastAsia="Arial" w:hAnsi="Arial" w:cs="Arial"/>
        <w:b/>
        <w:color w:val="000000"/>
        <w:sz w:val="14"/>
        <w:szCs w:val="14"/>
      </w:rPr>
      <w:fldChar w:fldCharType="end"/>
    </w:r>
  </w:p>
  <w:p w:rsidR="009C054B" w:rsidRDefault="009C054B">
    <w:pPr>
      <w:pBdr>
        <w:top w:val="nil"/>
        <w:left w:val="nil"/>
        <w:bottom w:val="nil"/>
        <w:right w:val="nil"/>
        <w:between w:val="nil"/>
      </w:pBdr>
      <w:tabs>
        <w:tab w:val="center" w:pos="4252"/>
        <w:tab w:val="right" w:pos="8504"/>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C08" w:rsidRDefault="00C37C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E13" w:rsidRDefault="008F4E13">
      <w:r>
        <w:separator/>
      </w:r>
    </w:p>
  </w:footnote>
  <w:footnote w:type="continuationSeparator" w:id="0">
    <w:p w:rsidR="008F4E13" w:rsidRDefault="008F4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C08" w:rsidRDefault="00C37C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54B" w:rsidRDefault="009C054B">
    <w:pPr>
      <w:pStyle w:val="Ttulo"/>
      <w:jc w:val="left"/>
      <w:rPr>
        <w:b/>
        <w:sz w:val="22"/>
        <w:szCs w:val="22"/>
      </w:rPr>
    </w:pPr>
  </w:p>
  <w:p w:rsidR="009C054B" w:rsidRDefault="00C82583">
    <w:pPr>
      <w:pStyle w:val="Ttulo"/>
      <w:rPr>
        <w:rFonts w:ascii="Arial" w:eastAsia="Arial" w:hAnsi="Arial" w:cs="Arial"/>
        <w:b/>
        <w:i w:val="0"/>
        <w:sz w:val="22"/>
        <w:szCs w:val="22"/>
      </w:rPr>
    </w:pPr>
    <w:r>
      <w:rPr>
        <w:rFonts w:ascii="Arial" w:eastAsia="Arial" w:hAnsi="Arial" w:cs="Arial"/>
        <w:b/>
        <w:i w:val="0"/>
        <w:sz w:val="22"/>
        <w:szCs w:val="22"/>
      </w:rPr>
      <w:t>“Sesquicentenario de la Epopeya Nacional: 1864 - 1870”</w:t>
    </w:r>
  </w:p>
  <w:p w:rsidR="009C054B" w:rsidRDefault="009C054B">
    <w:pPr>
      <w:pStyle w:val="Ttulo"/>
      <w:rPr>
        <w:rFonts w:ascii="Arial" w:eastAsia="Arial" w:hAnsi="Arial" w:cs="Arial"/>
        <w:b/>
        <w:i w:val="0"/>
        <w:sz w:val="10"/>
        <w:szCs w:val="10"/>
      </w:rPr>
    </w:pPr>
  </w:p>
  <w:p w:rsidR="009C054B" w:rsidRDefault="00C82583">
    <w:pPr>
      <w:pStyle w:val="Ttulo"/>
      <w:rPr>
        <w:rFonts w:ascii="Arial" w:eastAsia="Arial" w:hAnsi="Arial" w:cs="Arial"/>
        <w:b/>
        <w:sz w:val="22"/>
        <w:szCs w:val="22"/>
      </w:rPr>
    </w:pPr>
    <w:r>
      <w:rPr>
        <w:rFonts w:ascii="Arial" w:eastAsia="Arial" w:hAnsi="Arial" w:cs="Arial"/>
        <w:i w:val="0"/>
        <w:noProof/>
        <w:sz w:val="22"/>
        <w:szCs w:val="22"/>
      </w:rPr>
      <w:drawing>
        <wp:inline distT="0" distB="0" distL="0" distR="0">
          <wp:extent cx="514350" cy="476250"/>
          <wp:effectExtent l="0" t="0" r="0" b="0"/>
          <wp:docPr id="2" name="image1.png" descr="24.Escudo - Gloria Inés Montaño 2014"/>
          <wp:cNvGraphicFramePr/>
          <a:graphic xmlns:a="http://schemas.openxmlformats.org/drawingml/2006/main">
            <a:graphicData uri="http://schemas.openxmlformats.org/drawingml/2006/picture">
              <pic:pic xmlns:pic="http://schemas.openxmlformats.org/drawingml/2006/picture">
                <pic:nvPicPr>
                  <pic:cNvPr id="0" name="image1.png" descr="24.Escudo - Gloria Inés Montaño 2014"/>
                  <pic:cNvPicPr preferRelativeResize="0"/>
                </pic:nvPicPr>
                <pic:blipFill>
                  <a:blip r:embed="rId1"/>
                  <a:srcRect/>
                  <a:stretch>
                    <a:fillRect/>
                  </a:stretch>
                </pic:blipFill>
                <pic:spPr>
                  <a:xfrm>
                    <a:off x="0" y="0"/>
                    <a:ext cx="514350" cy="476250"/>
                  </a:xfrm>
                  <a:prstGeom prst="rect">
                    <a:avLst/>
                  </a:prstGeom>
                  <a:ln/>
                </pic:spPr>
              </pic:pic>
            </a:graphicData>
          </a:graphic>
        </wp:inline>
      </w:drawing>
    </w:r>
  </w:p>
  <w:p w:rsidR="009C054B" w:rsidRDefault="009C054B">
    <w:pPr>
      <w:pStyle w:val="Ttulo"/>
      <w:rPr>
        <w:rFonts w:ascii="Arial" w:eastAsia="Arial" w:hAnsi="Arial" w:cs="Arial"/>
        <w:b/>
        <w:sz w:val="10"/>
        <w:szCs w:val="10"/>
      </w:rPr>
    </w:pPr>
  </w:p>
  <w:p w:rsidR="009C054B" w:rsidRDefault="00C82583">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Poder Ejecutivo</w:t>
    </w:r>
  </w:p>
  <w:p w:rsidR="009C054B" w:rsidRDefault="00C82583">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Dirección Nacional de Vigilancia Sanitaria</w:t>
    </w:r>
  </w:p>
  <w:p w:rsidR="009C054B" w:rsidRDefault="009C054B">
    <w:pPr>
      <w:pBdr>
        <w:top w:val="nil"/>
        <w:left w:val="nil"/>
        <w:bottom w:val="nil"/>
        <w:right w:val="nil"/>
        <w:between w:val="nil"/>
      </w:pBdr>
      <w:jc w:val="center"/>
      <w:rPr>
        <w:rFonts w:ascii="Arial" w:eastAsia="Arial" w:hAnsi="Arial" w:cs="Arial"/>
        <w:b/>
        <w:color w:val="000000"/>
        <w:sz w:val="22"/>
        <w:szCs w:val="22"/>
      </w:rPr>
    </w:pPr>
  </w:p>
  <w:p w:rsidR="009C054B" w:rsidRDefault="00C82583">
    <w:pPr>
      <w:keepNext/>
      <w:pBdr>
        <w:top w:val="nil"/>
        <w:left w:val="nil"/>
        <w:bottom w:val="nil"/>
        <w:right w:val="nil"/>
        <w:between w:val="nil"/>
      </w:pBdr>
      <w:ind w:left="432"/>
      <w:jc w:val="center"/>
      <w:rPr>
        <w:rFonts w:ascii="Arial" w:eastAsia="Arial" w:hAnsi="Arial" w:cs="Arial"/>
        <w:b/>
        <w:color w:val="000000"/>
        <w:sz w:val="22"/>
        <w:szCs w:val="22"/>
      </w:rPr>
    </w:pPr>
    <w:r>
      <w:rPr>
        <w:rFonts w:ascii="Arial" w:eastAsia="Arial" w:hAnsi="Arial" w:cs="Arial"/>
        <w:b/>
        <w:color w:val="000000"/>
        <w:sz w:val="22"/>
        <w:szCs w:val="22"/>
      </w:rPr>
      <w:t xml:space="preserve">Resolución DINAVISA </w:t>
    </w:r>
    <w:proofErr w:type="spellStart"/>
    <w:r>
      <w:rPr>
        <w:rFonts w:ascii="Arial" w:eastAsia="Arial" w:hAnsi="Arial" w:cs="Arial"/>
        <w:b/>
        <w:color w:val="000000"/>
        <w:sz w:val="22"/>
        <w:szCs w:val="22"/>
      </w:rPr>
      <w:t>N°</w:t>
    </w:r>
    <w:proofErr w:type="spellEnd"/>
    <w:r>
      <w:rPr>
        <w:rFonts w:ascii="Arial" w:eastAsia="Arial" w:hAnsi="Arial" w:cs="Arial"/>
        <w:b/>
        <w:color w:val="000000"/>
        <w:sz w:val="22"/>
        <w:szCs w:val="22"/>
      </w:rPr>
      <w:t xml:space="preserve">              /2025</w:t>
    </w:r>
  </w:p>
  <w:p w:rsidR="009C054B" w:rsidRDefault="009C054B">
    <w:pPr>
      <w:pBdr>
        <w:top w:val="nil"/>
        <w:left w:val="nil"/>
        <w:bottom w:val="nil"/>
        <w:right w:val="nil"/>
        <w:between w:val="nil"/>
      </w:pBdr>
      <w:tabs>
        <w:tab w:val="center" w:pos="4252"/>
        <w:tab w:val="right" w:pos="8504"/>
      </w:tabs>
      <w:rPr>
        <w:rFonts w:ascii="Arial" w:eastAsia="Arial" w:hAnsi="Arial" w:cs="Arial"/>
        <w:color w:val="000000"/>
        <w:sz w:val="22"/>
        <w:szCs w:val="22"/>
      </w:rPr>
    </w:pPr>
  </w:p>
  <w:p w:rsidR="009C054B" w:rsidRDefault="00C82583">
    <w:pPr>
      <w:pBdr>
        <w:top w:val="nil"/>
        <w:left w:val="nil"/>
        <w:bottom w:val="nil"/>
        <w:right w:val="nil"/>
        <w:between w:val="nil"/>
      </w:pBdr>
      <w:tabs>
        <w:tab w:val="center" w:pos="4252"/>
        <w:tab w:val="right" w:pos="8504"/>
      </w:tabs>
      <w:jc w:val="both"/>
      <w:rPr>
        <w:rFonts w:ascii="Arial" w:eastAsia="Arial" w:hAnsi="Arial" w:cs="Arial"/>
        <w:b/>
        <w:color w:val="000000"/>
        <w:sz w:val="22"/>
        <w:szCs w:val="22"/>
      </w:rPr>
    </w:pPr>
    <w:r>
      <w:rPr>
        <w:rFonts w:ascii="Arial" w:eastAsia="Arial" w:hAnsi="Arial" w:cs="Arial"/>
        <w:b/>
        <w:color w:val="000000"/>
        <w:sz w:val="22"/>
        <w:szCs w:val="22"/>
      </w:rPr>
      <w:t xml:space="preserve">POR LA CUAL SE ESTABLECE EL SISTEMA DE REFERENCIACIÓN INTERNA DE PRECIOS (REIP), COMO MÉTODO COMPLEMENTARIO A LA REFERENCIACIÓN </w:t>
    </w:r>
    <w:bookmarkStart w:id="5" w:name="_GoBack"/>
    <w:r>
      <w:rPr>
        <w:rFonts w:ascii="Arial" w:eastAsia="Arial" w:hAnsi="Arial" w:cs="Arial"/>
        <w:b/>
        <w:color w:val="000000"/>
        <w:sz w:val="22"/>
        <w:szCs w:val="22"/>
      </w:rPr>
      <w:t xml:space="preserve">EXTERNA DE PRECIOS (REP), PARA LA DETERMINACIÓN DEL PRECIO DE </w:t>
    </w:r>
    <w:bookmarkEnd w:id="5"/>
    <w:r>
      <w:rPr>
        <w:rFonts w:ascii="Arial" w:eastAsia="Arial" w:hAnsi="Arial" w:cs="Arial"/>
        <w:b/>
        <w:color w:val="000000"/>
        <w:sz w:val="22"/>
        <w:szCs w:val="22"/>
      </w:rPr>
      <w:t>VENTA AL PÚBLICO (PVP) DE MEDICAMENTOS EN EL TERRITORIO NACIONAL</w:t>
    </w:r>
  </w:p>
  <w:p w:rsidR="009C054B" w:rsidRDefault="009C054B">
    <w:pPr>
      <w:pBdr>
        <w:top w:val="nil"/>
        <w:left w:val="nil"/>
        <w:bottom w:val="nil"/>
        <w:right w:val="nil"/>
        <w:between w:val="nil"/>
      </w:pBdr>
      <w:tabs>
        <w:tab w:val="center" w:pos="4252"/>
        <w:tab w:val="right" w:pos="8504"/>
      </w:tabs>
      <w:jc w:val="both"/>
      <w:rPr>
        <w:rFonts w:ascii="Arial" w:eastAsia="Arial" w:hAnsi="Arial" w:cs="Arial"/>
        <w:b/>
        <w:color w:val="000000"/>
        <w:sz w:val="22"/>
        <w:szCs w:val="22"/>
      </w:rPr>
    </w:pPr>
  </w:p>
  <w:p w:rsidR="009C054B" w:rsidRDefault="00C82583">
    <w:pPr>
      <w:jc w:val="right"/>
      <w:rPr>
        <w:rFonts w:ascii="Arial" w:eastAsia="Arial" w:hAnsi="Arial" w:cs="Arial"/>
        <w:sz w:val="22"/>
        <w:szCs w:val="22"/>
      </w:rPr>
    </w:pPr>
    <w:r>
      <w:rPr>
        <w:rFonts w:ascii="Arial" w:eastAsia="Arial" w:hAnsi="Arial" w:cs="Arial"/>
        <w:sz w:val="22"/>
        <w:szCs w:val="22"/>
      </w:rPr>
      <w:t xml:space="preserve">Asunción, XX </w:t>
    </w:r>
    <w:proofErr w:type="gramStart"/>
    <w:r>
      <w:rPr>
        <w:rFonts w:ascii="Arial" w:eastAsia="Arial" w:hAnsi="Arial" w:cs="Arial"/>
        <w:sz w:val="22"/>
        <w:szCs w:val="22"/>
      </w:rPr>
      <w:t>de  XXXX</w:t>
    </w:r>
    <w:proofErr w:type="gramEnd"/>
    <w:r>
      <w:rPr>
        <w:rFonts w:ascii="Arial" w:eastAsia="Arial" w:hAnsi="Arial" w:cs="Arial"/>
        <w:sz w:val="22"/>
        <w:szCs w:val="22"/>
      </w:rPr>
      <w:t xml:space="preserve"> de 2025.-</w:t>
    </w:r>
  </w:p>
  <w:p w:rsidR="009C054B" w:rsidRDefault="009C054B">
    <w:pPr>
      <w:jc w:val="right"/>
      <w:rPr>
        <w:rFonts w:ascii="Arial" w:eastAsia="Arial" w:hAnsi="Arial" w:cs="Arial"/>
        <w:sz w:val="10"/>
        <w:szCs w:val="10"/>
      </w:rPr>
    </w:pPr>
  </w:p>
  <w:p w:rsidR="009C054B" w:rsidRDefault="009C054B">
    <w:pPr>
      <w:pBdr>
        <w:top w:val="nil"/>
        <w:left w:val="nil"/>
        <w:bottom w:val="nil"/>
        <w:right w:val="nil"/>
        <w:between w:val="nil"/>
      </w:pBdr>
      <w:tabs>
        <w:tab w:val="center" w:pos="4252"/>
        <w:tab w:val="right" w:pos="8504"/>
      </w:tabs>
      <w:jc w:val="both"/>
      <w:rPr>
        <w:rFonts w:ascii="Tahoma" w:eastAsia="Tahoma" w:hAnsi="Tahoma" w:cs="Tahoma"/>
        <w:b/>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C08" w:rsidRDefault="00C37C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93993"/>
    <w:multiLevelType w:val="multilevel"/>
    <w:tmpl w:val="135C19FC"/>
    <w:lvl w:ilvl="0">
      <w:start w:val="1"/>
      <w:numFmt w:val="lowerRoman"/>
      <w:lvlText w:val="%1)"/>
      <w:lvlJc w:val="left"/>
      <w:pPr>
        <w:ind w:left="2138" w:hanging="72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 w15:restartNumberingAfterBreak="0">
    <w:nsid w:val="2F660C58"/>
    <w:multiLevelType w:val="multilevel"/>
    <w:tmpl w:val="818A01E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54B"/>
    <w:rsid w:val="006327B2"/>
    <w:rsid w:val="008F4E13"/>
    <w:rsid w:val="009C054B"/>
    <w:rsid w:val="00C37C08"/>
    <w:rsid w:val="00C82583"/>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3BBB45-660C-48AC-B71D-652A075E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P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jc w:val="center"/>
      <w:outlineLvl w:val="0"/>
    </w:pPr>
    <w:rPr>
      <w:i/>
      <w:sz w:val="20"/>
      <w:szCs w:val="2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jc w:val="center"/>
    </w:pPr>
    <w:rPr>
      <w:i/>
      <w:sz w:val="20"/>
      <w:szCs w:val="20"/>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1F02C3"/>
    <w:pPr>
      <w:ind w:left="720"/>
      <w:contextualSpacing/>
    </w:pPr>
  </w:style>
  <w:style w:type="paragraph" w:styleId="Encabezado">
    <w:name w:val="header"/>
    <w:basedOn w:val="Normal"/>
    <w:link w:val="EncabezadoCar"/>
    <w:uiPriority w:val="99"/>
    <w:unhideWhenUsed/>
    <w:rsid w:val="002E2637"/>
    <w:pPr>
      <w:tabs>
        <w:tab w:val="center" w:pos="4252"/>
        <w:tab w:val="right" w:pos="8504"/>
      </w:tabs>
    </w:pPr>
  </w:style>
  <w:style w:type="character" w:customStyle="1" w:styleId="EncabezadoCar">
    <w:name w:val="Encabezado Car"/>
    <w:basedOn w:val="Fuentedeprrafopredeter"/>
    <w:link w:val="Encabezado"/>
    <w:uiPriority w:val="99"/>
    <w:rsid w:val="002E2637"/>
    <w:rPr>
      <w:rFonts w:ascii="Times New Roman" w:eastAsia="Times New Roman" w:hAnsi="Times New Roman" w:cs="Times New Roman"/>
      <w:noProof/>
      <w:sz w:val="24"/>
      <w:szCs w:val="24"/>
      <w:lang w:val="es-MX" w:eastAsia="pt-BR"/>
    </w:rPr>
  </w:style>
  <w:style w:type="paragraph" w:styleId="Piedepgina">
    <w:name w:val="footer"/>
    <w:basedOn w:val="Normal"/>
    <w:link w:val="PiedepginaCar"/>
    <w:unhideWhenUsed/>
    <w:rsid w:val="002E2637"/>
    <w:pPr>
      <w:tabs>
        <w:tab w:val="center" w:pos="4252"/>
        <w:tab w:val="right" w:pos="8504"/>
      </w:tabs>
    </w:pPr>
  </w:style>
  <w:style w:type="character" w:customStyle="1" w:styleId="PiedepginaCar">
    <w:name w:val="Pie de página Car"/>
    <w:basedOn w:val="Fuentedeprrafopredeter"/>
    <w:link w:val="Piedepgina"/>
    <w:uiPriority w:val="99"/>
    <w:rsid w:val="002E2637"/>
    <w:rPr>
      <w:rFonts w:ascii="Times New Roman" w:eastAsia="Times New Roman" w:hAnsi="Times New Roman" w:cs="Times New Roman"/>
      <w:noProof/>
      <w:sz w:val="24"/>
      <w:szCs w:val="24"/>
      <w:lang w:val="es-MX" w:eastAsia="pt-BR"/>
    </w:rPr>
  </w:style>
  <w:style w:type="paragraph" w:styleId="Textodeglobo">
    <w:name w:val="Balloon Text"/>
    <w:basedOn w:val="Normal"/>
    <w:link w:val="TextodegloboCar"/>
    <w:uiPriority w:val="99"/>
    <w:semiHidden/>
    <w:unhideWhenUsed/>
    <w:rsid w:val="009F4FD6"/>
    <w:rPr>
      <w:rFonts w:ascii="Tahoma" w:hAnsi="Tahoma" w:cs="Tahoma"/>
      <w:sz w:val="16"/>
      <w:szCs w:val="16"/>
    </w:rPr>
  </w:style>
  <w:style w:type="character" w:customStyle="1" w:styleId="TextodegloboCar">
    <w:name w:val="Texto de globo Car"/>
    <w:basedOn w:val="Fuentedeprrafopredeter"/>
    <w:link w:val="Textodeglobo"/>
    <w:uiPriority w:val="99"/>
    <w:semiHidden/>
    <w:rsid w:val="009F4FD6"/>
    <w:rPr>
      <w:rFonts w:ascii="Tahoma" w:eastAsia="Times New Roman" w:hAnsi="Tahoma" w:cs="Tahoma"/>
      <w:noProof/>
      <w:sz w:val="16"/>
      <w:szCs w:val="16"/>
      <w:lang w:val="es-MX" w:eastAsia="pt-BR"/>
    </w:rPr>
  </w:style>
  <w:style w:type="character" w:customStyle="1" w:styleId="Ttulo1Car">
    <w:name w:val="Título 1 Car"/>
    <w:basedOn w:val="Fuentedeprrafopredeter"/>
    <w:uiPriority w:val="99"/>
    <w:rsid w:val="009F4FD6"/>
    <w:rPr>
      <w:rFonts w:ascii="Times New Roman" w:eastAsia="Times New Roman" w:hAnsi="Times New Roman" w:cs="Times New Roman"/>
      <w:i/>
      <w:iCs/>
      <w:sz w:val="20"/>
      <w:szCs w:val="20"/>
      <w:lang w:val="es-PY" w:eastAsia="es-ES"/>
    </w:rPr>
  </w:style>
  <w:style w:type="character" w:customStyle="1" w:styleId="TtuloCar">
    <w:name w:val="Título Car"/>
    <w:basedOn w:val="Fuentedeprrafopredeter"/>
    <w:rsid w:val="009F4FD6"/>
    <w:rPr>
      <w:rFonts w:ascii="Times New Roman" w:eastAsia="Times New Roman" w:hAnsi="Times New Roman" w:cs="Times New Roman"/>
      <w:i/>
      <w:iCs/>
      <w:sz w:val="20"/>
      <w:szCs w:val="20"/>
      <w:lang w:val="es-PY"/>
    </w:rPr>
  </w:style>
  <w:style w:type="paragraph" w:customStyle="1" w:styleId="TableParagraph">
    <w:name w:val="Table Paragraph"/>
    <w:basedOn w:val="Normal"/>
    <w:uiPriority w:val="1"/>
    <w:qFormat/>
    <w:rsid w:val="00886275"/>
    <w:pPr>
      <w:widowControl w:val="0"/>
      <w:autoSpaceDE w:val="0"/>
      <w:autoSpaceDN w:val="0"/>
      <w:spacing w:before="11"/>
      <w:ind w:left="203"/>
    </w:pPr>
    <w:rPr>
      <w:rFonts w:ascii="Arial" w:eastAsia="Arial" w:hAnsi="Arial" w:cs="Arial"/>
      <w:sz w:val="22"/>
      <w:szCs w:val="22"/>
      <w:lang w:val="es-ES" w:eastAsia="es-ES" w:bidi="es-ES"/>
    </w:rPr>
  </w:style>
  <w:style w:type="paragraph" w:customStyle="1" w:styleId="dispcabeza">
    <w:name w:val="disp_cabeza"/>
    <w:basedOn w:val="Normal"/>
    <w:rsid w:val="006E4973"/>
    <w:pPr>
      <w:spacing w:before="100" w:beforeAutospacing="1" w:after="100" w:afterAutospacing="1"/>
    </w:pPr>
    <w:rPr>
      <w:lang w:val="es-ES" w:eastAsia="es-ES"/>
    </w:rPr>
  </w:style>
  <w:style w:type="character" w:styleId="Textoennegrita">
    <w:name w:val="Strong"/>
    <w:basedOn w:val="Fuentedeprrafopredeter"/>
    <w:uiPriority w:val="22"/>
    <w:qFormat/>
    <w:rsid w:val="006E4973"/>
    <w:rPr>
      <w:b/>
      <w:bCs/>
    </w:rPr>
  </w:style>
  <w:style w:type="paragraph" w:customStyle="1" w:styleId="a">
    <w:next w:val="Encabezado"/>
    <w:uiPriority w:val="99"/>
    <w:qFormat/>
    <w:rsid w:val="00933056"/>
    <w:pPr>
      <w:jc w:val="center"/>
    </w:pPr>
    <w:rPr>
      <w:i/>
      <w:iCs/>
      <w:sz w:val="20"/>
      <w:szCs w:val="20"/>
      <w:lang w:val="es-PY"/>
    </w:rPr>
  </w:style>
  <w:style w:type="paragraph" w:styleId="Sangradetextonormal">
    <w:name w:val="Body Text Indent"/>
    <w:basedOn w:val="Normal"/>
    <w:link w:val="SangradetextonormalCar"/>
    <w:rsid w:val="00C34564"/>
    <w:pPr>
      <w:ind w:left="690" w:firstLine="18"/>
      <w:jc w:val="both"/>
    </w:pPr>
    <w:rPr>
      <w:rFonts w:ascii="Univers" w:hAnsi="Univers"/>
      <w:sz w:val="23"/>
      <w:szCs w:val="20"/>
      <w:lang w:val="es-ES" w:eastAsia="es-ES"/>
    </w:rPr>
  </w:style>
  <w:style w:type="character" w:customStyle="1" w:styleId="SangradetextonormalCar">
    <w:name w:val="Sangría de texto normal Car"/>
    <w:basedOn w:val="Fuentedeprrafopredeter"/>
    <w:link w:val="Sangradetextonormal"/>
    <w:rsid w:val="00C34564"/>
    <w:rPr>
      <w:rFonts w:ascii="Univers" w:eastAsia="Times New Roman" w:hAnsi="Univers" w:cs="Times New Roman"/>
      <w:sz w:val="23"/>
      <w:szCs w:val="20"/>
      <w:lang w:eastAsia="es-ES"/>
    </w:rPr>
  </w:style>
  <w:style w:type="table" w:styleId="Tablaconcuadrcula">
    <w:name w:val="Table Grid"/>
    <w:basedOn w:val="Tablanormal"/>
    <w:uiPriority w:val="59"/>
    <w:rsid w:val="00775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A7125"/>
    <w:pPr>
      <w:widowControl w:val="0"/>
      <w:suppressAutoHyphens/>
      <w:autoSpaceDN w:val="0"/>
    </w:pPr>
    <w:rPr>
      <w:rFonts w:ascii="Calibri" w:eastAsia="Linux Libertine G" w:hAnsi="Calibri" w:cs="Linux Libertine G"/>
      <w:sz w:val="20"/>
      <w:szCs w:val="20"/>
      <w:lang w:val="es-PY" w:eastAsia="zh-CN" w:bidi="hi-IN"/>
    </w:rPr>
  </w:style>
  <w:style w:type="numbering" w:customStyle="1" w:styleId="WWNum1">
    <w:name w:val="WWNum1"/>
    <w:rsid w:val="009A7125"/>
  </w:style>
  <w:style w:type="paragraph" w:styleId="Lista">
    <w:name w:val="List"/>
    <w:basedOn w:val="Normal"/>
    <w:rsid w:val="004D5429"/>
    <w:pPr>
      <w:widowControl w:val="0"/>
      <w:suppressAutoHyphens/>
      <w:autoSpaceDN w:val="0"/>
      <w:spacing w:after="140" w:line="276" w:lineRule="auto"/>
      <w:textAlignment w:val="baseline"/>
    </w:pPr>
    <w:rPr>
      <w:rFonts w:ascii="Calibri" w:eastAsia="Linux Libertine G" w:hAnsi="Calibri" w:cs="Linux Libertine G"/>
      <w:szCs w:val="20"/>
      <w:lang w:val="es-PY" w:eastAsia="zh-CN" w:bidi="hi-IN"/>
    </w:rPr>
  </w:style>
  <w:style w:type="paragraph" w:styleId="NormalWeb">
    <w:name w:val="Normal (Web)"/>
    <w:basedOn w:val="Normal"/>
    <w:uiPriority w:val="99"/>
    <w:rsid w:val="00B21964"/>
    <w:pPr>
      <w:spacing w:before="100" w:beforeAutospacing="1" w:after="100" w:afterAutospacing="1"/>
    </w:pPr>
    <w:rPr>
      <w:lang w:val="es-ES"/>
    </w:rPr>
  </w:style>
  <w:style w:type="paragraph" w:styleId="Sinespaciado">
    <w:name w:val="No Spacing"/>
    <w:uiPriority w:val="1"/>
    <w:qFormat/>
    <w:rsid w:val="00352257"/>
    <w:rPr>
      <w:noProof/>
      <w:lang w:eastAsia="pt-BR"/>
    </w:rPr>
  </w:style>
  <w:style w:type="table" w:customStyle="1" w:styleId="a0">
    <w:basedOn w:val="TableNormal0"/>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AA36CA"/>
    <w:rPr>
      <w:sz w:val="16"/>
      <w:szCs w:val="16"/>
    </w:rPr>
  </w:style>
  <w:style w:type="paragraph" w:styleId="Textocomentario">
    <w:name w:val="annotation text"/>
    <w:basedOn w:val="Normal"/>
    <w:link w:val="TextocomentarioCar"/>
    <w:uiPriority w:val="99"/>
    <w:unhideWhenUsed/>
    <w:rsid w:val="00AA36CA"/>
    <w:rPr>
      <w:sz w:val="20"/>
      <w:szCs w:val="20"/>
    </w:rPr>
  </w:style>
  <w:style w:type="character" w:customStyle="1" w:styleId="TextocomentarioCar">
    <w:name w:val="Texto comentario Car"/>
    <w:basedOn w:val="Fuentedeprrafopredeter"/>
    <w:link w:val="Textocomentario"/>
    <w:uiPriority w:val="99"/>
    <w:rsid w:val="00AA36CA"/>
    <w:rPr>
      <w:noProof/>
      <w:sz w:val="20"/>
      <w:szCs w:val="20"/>
      <w:lang w:eastAsia="pt-BR"/>
    </w:rPr>
  </w:style>
  <w:style w:type="paragraph" w:styleId="Asuntodelcomentario">
    <w:name w:val="annotation subject"/>
    <w:basedOn w:val="Textocomentario"/>
    <w:next w:val="Textocomentario"/>
    <w:link w:val="AsuntodelcomentarioCar"/>
    <w:uiPriority w:val="99"/>
    <w:semiHidden/>
    <w:unhideWhenUsed/>
    <w:rsid w:val="00AA36CA"/>
    <w:rPr>
      <w:b/>
      <w:bCs/>
    </w:rPr>
  </w:style>
  <w:style w:type="character" w:customStyle="1" w:styleId="AsuntodelcomentarioCar">
    <w:name w:val="Asunto del comentario Car"/>
    <w:basedOn w:val="TextocomentarioCar"/>
    <w:link w:val="Asuntodelcomentario"/>
    <w:uiPriority w:val="99"/>
    <w:semiHidden/>
    <w:rsid w:val="00AA36CA"/>
    <w:rPr>
      <w:b/>
      <w:bCs/>
      <w:noProof/>
      <w:sz w:val="20"/>
      <w:szCs w:val="20"/>
      <w:lang w:eastAsia="pt-BR"/>
    </w:rPr>
  </w:style>
  <w:style w:type="paragraph" w:customStyle="1" w:styleId="Default">
    <w:name w:val="Default"/>
    <w:rsid w:val="00AA36CA"/>
    <w:pPr>
      <w:autoSpaceDE w:val="0"/>
      <w:autoSpaceDN w:val="0"/>
      <w:adjustRightInd w:val="0"/>
    </w:pPr>
    <w:rPr>
      <w:rFonts w:ascii="Arial" w:hAnsi="Arial" w:cs="Arial"/>
      <w:color w:val="000000"/>
      <w:lang w:val="es-PY"/>
    </w:rPr>
  </w:style>
  <w:style w:type="paragraph" w:styleId="Revisin">
    <w:name w:val="Revision"/>
    <w:hidden/>
    <w:uiPriority w:val="99"/>
    <w:semiHidden/>
    <w:rsid w:val="003040F2"/>
    <w:rPr>
      <w:noProof/>
      <w:lang w:eastAsia="pt-BR"/>
    </w:rPr>
  </w:style>
  <w:style w:type="character" w:customStyle="1" w:styleId="mord">
    <w:name w:val="mord"/>
    <w:basedOn w:val="Fuentedeprrafopredeter"/>
    <w:rsid w:val="00D02559"/>
  </w:style>
  <w:style w:type="character" w:customStyle="1" w:styleId="mrel">
    <w:name w:val="mrel"/>
    <w:basedOn w:val="Fuentedeprrafopredeter"/>
    <w:rsid w:val="00D02559"/>
  </w:style>
  <w:style w:type="character" w:customStyle="1" w:styleId="mopen">
    <w:name w:val="mopen"/>
    <w:basedOn w:val="Fuentedeprrafopredeter"/>
    <w:rsid w:val="00D02559"/>
  </w:style>
  <w:style w:type="character" w:customStyle="1" w:styleId="mop">
    <w:name w:val="mop"/>
    <w:basedOn w:val="Fuentedeprrafopredeter"/>
    <w:rsid w:val="00D02559"/>
  </w:style>
  <w:style w:type="character" w:customStyle="1" w:styleId="vlist-s">
    <w:name w:val="vlist-s"/>
    <w:basedOn w:val="Fuentedeprrafopredeter"/>
    <w:rsid w:val="00D02559"/>
  </w:style>
  <w:style w:type="character" w:customStyle="1" w:styleId="mbin">
    <w:name w:val="mbin"/>
    <w:basedOn w:val="Fuentedeprrafopredeter"/>
    <w:rsid w:val="00D02559"/>
  </w:style>
  <w:style w:type="character" w:customStyle="1" w:styleId="mclose">
    <w:name w:val="mclose"/>
    <w:basedOn w:val="Fuentedeprrafopredeter"/>
    <w:rsid w:val="00D0255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FCG1iS/kafYhURYXM5GbQSS9PQ==">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1928</Words>
  <Characters>10607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DELL</cp:lastModifiedBy>
  <cp:revision>2</cp:revision>
  <dcterms:created xsi:type="dcterms:W3CDTF">2025-10-24T12:30:00Z</dcterms:created>
  <dcterms:modified xsi:type="dcterms:W3CDTF">2025-10-24T12:30:00Z</dcterms:modified>
</cp:coreProperties>
</file>