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sz w:val="24"/>
          <w:szCs w:val="24"/>
        </w:rPr>
        <w:id w:val="-773239568"/>
        <w:docPartObj>
          <w:docPartGallery w:val="Cover Pages"/>
          <w:docPartUnique/>
        </w:docPartObj>
      </w:sdtPr>
      <w:sdtEndPr>
        <w:rPr>
          <w:rFonts w:eastAsia="Arial"/>
          <w:color w:val="2F5496"/>
        </w:rPr>
      </w:sdtEndPr>
      <w:sdtContent>
        <w:p w14:paraId="0EB3B449" w14:textId="5635CC8E" w:rsidR="00572D40" w:rsidRPr="00A94262" w:rsidRDefault="00572D40">
          <w:pPr>
            <w:rPr>
              <w:rFonts w:ascii="Arial" w:hAnsi="Arial" w:cs="Arial"/>
              <w:sz w:val="24"/>
              <w:szCs w:val="24"/>
            </w:rPr>
          </w:pPr>
          <w:r w:rsidRPr="00A94262">
            <w:rPr>
              <w:rFonts w:ascii="Arial" w:hAnsi="Arial" w:cs="Arial"/>
              <w:noProof/>
              <w:sz w:val="24"/>
              <w:szCs w:val="24"/>
            </w:rPr>
            <mc:AlternateContent>
              <mc:Choice Requires="wpg">
                <w:drawing>
                  <wp:anchor distT="0" distB="0" distL="114300" distR="114300" simplePos="0" relativeHeight="251659264" behindDoc="1" locked="0" layoutInCell="1" allowOverlap="1" wp14:anchorId="1F181A94" wp14:editId="7AC0733C">
                    <wp:simplePos x="0" y="0"/>
                    <wp:positionH relativeFrom="page">
                      <wp:align>center</wp:align>
                    </wp:positionH>
                    <wp:positionV relativeFrom="page">
                      <wp:align>center</wp:align>
                    </wp:positionV>
                    <wp:extent cx="6852920" cy="9142730"/>
                    <wp:effectExtent l="0" t="0" r="2540" b="133985"/>
                    <wp:wrapNone/>
                    <wp:docPr id="119" name="Grupo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ángulo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ángulo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A80E4AF" w14:textId="670D30B8" w:rsidR="00572D40" w:rsidRDefault="00572D40">
                                      <w:pPr>
                                        <w:pStyle w:val="Sinespaciado"/>
                                        <w:ind w:left="1" w:hanging="3"/>
                                        <w:rPr>
                                          <w:color w:val="FFFFFF" w:themeColor="background1"/>
                                          <w:sz w:val="32"/>
                                          <w:szCs w:val="32"/>
                                        </w:rPr>
                                      </w:pPr>
                                      <w:r>
                                        <w:rPr>
                                          <w:color w:val="FFFFFF" w:themeColor="background1"/>
                                          <w:sz w:val="32"/>
                                          <w:szCs w:val="32"/>
                                        </w:rPr>
                                        <w:t>DINAVISA</w:t>
                                      </w:r>
                                    </w:p>
                                  </w:sdtContent>
                                </w:sdt>
                                <w:p w14:paraId="47F48FD2" w14:textId="58F94EEE" w:rsidR="00572D40" w:rsidRDefault="0099192A">
                                  <w:pPr>
                                    <w:pStyle w:val="Sinespaciado"/>
                                    <w:ind w:left="0" w:hanging="2"/>
                                    <w:rPr>
                                      <w:caps/>
                                      <w:color w:val="FFFFFF" w:themeColor="background1"/>
                                      <w:lang w:val="es-ES"/>
                                    </w:rPr>
                                  </w:pPr>
                                  <w:sdt>
                                    <w:sdtPr>
                                      <w:rPr>
                                        <w:caps/>
                                        <w:color w:val="FFFFFF" w:themeColor="background1"/>
                                      </w:rPr>
                                      <w:alias w:val="Compañía"/>
                                      <w:tag w:val=""/>
                                      <w:id w:val="922067218"/>
                                      <w:dataBinding w:prefixMappings="xmlns:ns0='http://schemas.openxmlformats.org/officeDocument/2006/extended-properties' " w:xpath="/ns0:Properties[1]/ns0:Company[1]" w:storeItemID="{6668398D-A668-4E3E-A5EB-62B293D839F1}"/>
                                      <w:text/>
                                    </w:sdtPr>
                                    <w:sdtEndPr/>
                                    <w:sdtContent>
                                      <w:r w:rsidR="005056FB">
                                        <w:rPr>
                                          <w:caps/>
                                          <w:color w:val="FFFFFF" w:themeColor="background1"/>
                                        </w:rPr>
                                        <w:t>DIRECCI</w:t>
                                      </w:r>
                                      <w:r w:rsidR="00A94262">
                                        <w:rPr>
                                          <w:caps/>
                                          <w:color w:val="FFFFFF" w:themeColor="background1"/>
                                        </w:rPr>
                                        <w:t>Ó</w:t>
                                      </w:r>
                                      <w:r w:rsidR="005056FB">
                                        <w:rPr>
                                          <w:caps/>
                                          <w:color w:val="FFFFFF" w:themeColor="background1"/>
                                        </w:rPr>
                                        <w:t>N GENERAL DE REGULACI</w:t>
                                      </w:r>
                                      <w:r w:rsidR="00A94262">
                                        <w:rPr>
                                          <w:caps/>
                                          <w:color w:val="FFFFFF" w:themeColor="background1"/>
                                        </w:rPr>
                                        <w:t>Ó</w:t>
                                      </w:r>
                                      <w:r w:rsidR="005056FB">
                                        <w:rPr>
                                          <w:caps/>
                                          <w:color w:val="FFFFFF" w:themeColor="background1"/>
                                        </w:rPr>
                                        <w:t>N DE ALIMENTOS Y PRODUCTOS AFINES</w:t>
                                      </w:r>
                                    </w:sdtContent>
                                  </w:sdt>
                                  <w:r w:rsidR="00572D40">
                                    <w:rPr>
                                      <w:caps/>
                                      <w:color w:val="FFFFFF" w:themeColor="background1"/>
                                      <w:lang w:val="es-ES"/>
                                    </w:rPr>
                                    <w:t xml:space="preserve"> </w:t>
                                  </w:r>
                                </w:p>
                                <w:p w14:paraId="5DD1DCEC" w14:textId="4D3CBB48" w:rsidR="00572D40" w:rsidRDefault="0099192A">
                                  <w:pPr>
                                    <w:pStyle w:val="Sinespaciado"/>
                                    <w:ind w:left="0" w:hanging="2"/>
                                    <w:rPr>
                                      <w:caps/>
                                      <w:color w:val="FFFFFF" w:themeColor="background1"/>
                                    </w:rPr>
                                  </w:pPr>
                                  <w:sdt>
                                    <w:sdtPr>
                                      <w:rPr>
                                        <w:caps/>
                                        <w:color w:val="FFFFFF" w:themeColor="background1"/>
                                      </w:rPr>
                                      <w:alias w:val="Dirección"/>
                                      <w:tag w:val=""/>
                                      <w:id w:val="2113163453"/>
                                      <w:dataBinding w:prefixMappings="xmlns:ns0='http://schemas.microsoft.com/office/2006/coverPageProps' " w:xpath="/ns0:CoverPageProperties[1]/ns0:CompanyAddress[1]" w:storeItemID="{55AF091B-3C7A-41E3-B477-F2FDAA23CFDA}"/>
                                      <w:text/>
                                    </w:sdtPr>
                                    <w:sdtEndPr/>
                                    <w:sdtContent>
                                      <w:r w:rsidR="00572D40">
                                        <w:rPr>
                                          <w:caps/>
                                          <w:color w:val="FFFFFF" w:themeColor="background1"/>
                                        </w:rPr>
                                        <w:t>ASUNCI</w:t>
                                      </w:r>
                                      <w:r w:rsidR="00A94262">
                                        <w:rPr>
                                          <w:caps/>
                                          <w:color w:val="FFFFFF" w:themeColor="background1"/>
                                        </w:rPr>
                                        <w:t>Ó</w:t>
                                      </w:r>
                                      <w:r w:rsidR="00572D40">
                                        <w:rPr>
                                          <w:caps/>
                                          <w:color w:val="FFFFFF" w:themeColor="background1"/>
                                        </w:rPr>
                                        <w:t>N 2025</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Cuadro de texto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olor w:val="548DD4" w:themeColor="text2" w:themeTint="99"/>
                                      <w:sz w:val="56"/>
                                      <w:szCs w:val="56"/>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7153149" w14:textId="133E8A2C" w:rsidR="00572D40" w:rsidRPr="00572D40" w:rsidRDefault="00572D40" w:rsidP="00572D40">
                                      <w:pPr>
                                        <w:pStyle w:val="Sinespaciado"/>
                                        <w:pBdr>
                                          <w:bottom w:val="single" w:sz="6" w:space="4" w:color="7F7F7F" w:themeColor="text1" w:themeTint="80"/>
                                        </w:pBdr>
                                        <w:ind w:left="4" w:hanging="6"/>
                                        <w:jc w:val="center"/>
                                        <w:rPr>
                                          <w:rFonts w:asciiTheme="majorHAnsi" w:eastAsiaTheme="majorEastAsia" w:hAnsiTheme="majorHAnsi" w:cstheme="majorBidi"/>
                                          <w:b/>
                                          <w:color w:val="548DD4" w:themeColor="text2" w:themeTint="99"/>
                                          <w:sz w:val="56"/>
                                          <w:szCs w:val="56"/>
                                        </w:rPr>
                                      </w:pPr>
                                      <w:r w:rsidRPr="00572D40">
                                        <w:rPr>
                                          <w:rFonts w:asciiTheme="majorHAnsi" w:eastAsiaTheme="majorEastAsia" w:hAnsiTheme="majorHAnsi" w:cstheme="majorBidi"/>
                                          <w:b/>
                                          <w:color w:val="548DD4" w:themeColor="text2" w:themeTint="99"/>
                                          <w:sz w:val="56"/>
                                          <w:szCs w:val="56"/>
                                        </w:rPr>
                                        <w:t>PLAN DE CONTROL SANITARIO DE AGUA POTABLE EN ESTABLECIMIENTOS ALIMENTARIOS</w:t>
                                      </w:r>
                                    </w:p>
                                  </w:sdtContent>
                                </w:sdt>
                                <w:sdt>
                                  <w:sdtPr>
                                    <w:rPr>
                                      <w:caps/>
                                      <w:color w:val="1F497D" w:themeColor="text2"/>
                                      <w:sz w:val="36"/>
                                      <w:szCs w:val="36"/>
                                    </w:rPr>
                                    <w:alias w:val="Subtítulo"/>
                                    <w:tag w:val=""/>
                                    <w:id w:val="157346227"/>
                                    <w:showingPlcHdr/>
                                    <w:dataBinding w:prefixMappings="xmlns:ns0='http://purl.org/dc/elements/1.1/' xmlns:ns1='http://schemas.openxmlformats.org/package/2006/metadata/core-properties' " w:xpath="/ns1:coreProperties[1]/ns0:subject[1]" w:storeItemID="{6C3C8BC8-F283-45AE-878A-BAB7291924A1}"/>
                                    <w:text/>
                                  </w:sdtPr>
                                  <w:sdtEndPr/>
                                  <w:sdtContent>
                                    <w:p w14:paraId="63109868" w14:textId="3ED40576" w:rsidR="00572D40" w:rsidRDefault="00572D40">
                                      <w:pPr>
                                        <w:pStyle w:val="Sinespaciado"/>
                                        <w:spacing w:before="240"/>
                                        <w:ind w:left="2" w:hanging="4"/>
                                        <w:rPr>
                                          <w:caps/>
                                          <w:color w:val="1F497D" w:themeColor="text2"/>
                                          <w:sz w:val="36"/>
                                          <w:szCs w:val="36"/>
                                        </w:rPr>
                                      </w:pPr>
                                      <w:r>
                                        <w:rPr>
                                          <w:caps/>
                                          <w:color w:val="1F497D" w:themeColor="text2"/>
                                          <w:sz w:val="36"/>
                                          <w:szCs w:val="36"/>
                                        </w:rPr>
                                        <w:t xml:space="preserve">     </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F181A94" id="Grupo 119" o:spid="_x0000_s1026" style="position:absolute;margin-left:0;margin-top:0;width:539.6pt;height:719.9pt;z-index:-25165721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">
                    <v:rect id="Rectángulo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" fillcolor="#4f81bd [3204]" stroked="f" strokeweight="2pt"/>
                    <v:rect id="Rectángulo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" fillcolor="#c0504d [3205]" stroked="f" strokeweight="2pt">
                      <v:textbox inset="36pt,14.4pt,36pt,36pt">
                        <w:txbxContent>
                          <w:sdt>
                            <w:sdtPr>
                              <w:rPr>
                                <w:color w:val="FFFFFF" w:themeColor="background1"/>
                                <w:sz w:val="32"/>
                                <w:szCs w:val="32"/>
                              </w:rPr>
                              <w:alias w:val="Aut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1A80E4AF" w14:textId="670D30B8" w:rsidR="00572D40" w:rsidRDefault="00572D40">
                                <w:pPr>
                                  <w:pStyle w:val="Sinespaciado"/>
                                  <w:ind w:left="1" w:hanging="3"/>
                                  <w:rPr>
                                    <w:color w:val="FFFFFF" w:themeColor="background1"/>
                                    <w:sz w:val="32"/>
                                    <w:szCs w:val="32"/>
                                  </w:rPr>
                                </w:pPr>
                                <w:r>
                                  <w:rPr>
                                    <w:color w:val="FFFFFF" w:themeColor="background1"/>
                                    <w:sz w:val="32"/>
                                    <w:szCs w:val="32"/>
                                  </w:rPr>
                                  <w:t>DINAVISA</w:t>
                                </w:r>
                              </w:p>
                            </w:sdtContent>
                          </w:sdt>
                          <w:p w14:paraId="47F48FD2" w14:textId="58F94EEE" w:rsidR="00572D40" w:rsidRDefault="0099192A">
                            <w:pPr>
                              <w:pStyle w:val="Sinespaciado"/>
                              <w:ind w:left="0" w:hanging="2"/>
                              <w:rPr>
                                <w:caps/>
                                <w:color w:val="FFFFFF" w:themeColor="background1"/>
                                <w:lang w:val="es-ES"/>
                              </w:rPr>
                            </w:pPr>
                            <w:sdt>
                              <w:sdtPr>
                                <w:rPr>
                                  <w:caps/>
                                  <w:color w:val="FFFFFF" w:themeColor="background1"/>
                                </w:rPr>
                                <w:alias w:val="Compañía"/>
                                <w:tag w:val=""/>
                                <w:id w:val="922067218"/>
                                <w:dataBinding w:prefixMappings="xmlns:ns0='http://schemas.openxmlformats.org/officeDocument/2006/extended-properties' " w:xpath="/ns0:Properties[1]/ns0:Company[1]" w:storeItemID="{6668398D-A668-4E3E-A5EB-62B293D839F1}"/>
                                <w:text/>
                              </w:sdtPr>
                              <w:sdtEndPr/>
                              <w:sdtContent>
                                <w:r w:rsidR="005056FB">
                                  <w:rPr>
                                    <w:caps/>
                                    <w:color w:val="FFFFFF" w:themeColor="background1"/>
                                  </w:rPr>
                                  <w:t>DIRECCI</w:t>
                                </w:r>
                                <w:r w:rsidR="00A94262">
                                  <w:rPr>
                                    <w:caps/>
                                    <w:color w:val="FFFFFF" w:themeColor="background1"/>
                                  </w:rPr>
                                  <w:t>Ó</w:t>
                                </w:r>
                                <w:r w:rsidR="005056FB">
                                  <w:rPr>
                                    <w:caps/>
                                    <w:color w:val="FFFFFF" w:themeColor="background1"/>
                                  </w:rPr>
                                  <w:t>N GENERAL DE REGULACI</w:t>
                                </w:r>
                                <w:r w:rsidR="00A94262">
                                  <w:rPr>
                                    <w:caps/>
                                    <w:color w:val="FFFFFF" w:themeColor="background1"/>
                                  </w:rPr>
                                  <w:t>Ó</w:t>
                                </w:r>
                                <w:r w:rsidR="005056FB">
                                  <w:rPr>
                                    <w:caps/>
                                    <w:color w:val="FFFFFF" w:themeColor="background1"/>
                                  </w:rPr>
                                  <w:t>N DE ALIMENTOS Y PRODUCTOS AFINES</w:t>
                                </w:r>
                              </w:sdtContent>
                            </w:sdt>
                            <w:r w:rsidR="00572D40">
                              <w:rPr>
                                <w:caps/>
                                <w:color w:val="FFFFFF" w:themeColor="background1"/>
                                <w:lang w:val="es-ES"/>
                              </w:rPr>
                              <w:t xml:space="preserve"> </w:t>
                            </w:r>
                          </w:p>
                          <w:p w14:paraId="5DD1DCEC" w14:textId="4D3CBB48" w:rsidR="00572D40" w:rsidRDefault="0099192A">
                            <w:pPr>
                              <w:pStyle w:val="Sinespaciado"/>
                              <w:ind w:left="0" w:hanging="2"/>
                              <w:rPr>
                                <w:caps/>
                                <w:color w:val="FFFFFF" w:themeColor="background1"/>
                              </w:rPr>
                            </w:pPr>
                            <w:sdt>
                              <w:sdtPr>
                                <w:rPr>
                                  <w:caps/>
                                  <w:color w:val="FFFFFF" w:themeColor="background1"/>
                                </w:rPr>
                                <w:alias w:val="Dirección"/>
                                <w:tag w:val=""/>
                                <w:id w:val="2113163453"/>
                                <w:dataBinding w:prefixMappings="xmlns:ns0='http://schemas.microsoft.com/office/2006/coverPageProps' " w:xpath="/ns0:CoverPageProperties[1]/ns0:CompanyAddress[1]" w:storeItemID="{55AF091B-3C7A-41E3-B477-F2FDAA23CFDA}"/>
                                <w:text/>
                              </w:sdtPr>
                              <w:sdtEndPr/>
                              <w:sdtContent>
                                <w:r w:rsidR="00572D40">
                                  <w:rPr>
                                    <w:caps/>
                                    <w:color w:val="FFFFFF" w:themeColor="background1"/>
                                  </w:rPr>
                                  <w:t>ASUNCI</w:t>
                                </w:r>
                                <w:r w:rsidR="00A94262">
                                  <w:rPr>
                                    <w:caps/>
                                    <w:color w:val="FFFFFF" w:themeColor="background1"/>
                                  </w:rPr>
                                  <w:t>Ó</w:t>
                                </w:r>
                                <w:r w:rsidR="00572D40">
                                  <w:rPr>
                                    <w:caps/>
                                    <w:color w:val="FFFFFF" w:themeColor="background1"/>
                                  </w:rPr>
                                  <w:t>N 2025</w:t>
                                </w:r>
                              </w:sdtContent>
                            </w:sdt>
                          </w:p>
                        </w:txbxContent>
                      </v:textbox>
                    </v:rect>
                    <v:shapetype id="_x0000_t202" coordsize="21600,21600" o:spt="202" path="m,l,21600r21600,l21600,xe">
                      <v:stroke joinstyle="miter"/>
                      <v:path gradientshapeok="t" o:connecttype="rect"/>
                    </v:shapetype>
                    <v:shape id="Cuadro de texto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b/>
                                <w:color w:val="548DD4" w:themeColor="text2" w:themeTint="99"/>
                                <w:sz w:val="56"/>
                                <w:szCs w:val="56"/>
                              </w:rPr>
                              <w:alias w:val="Título"/>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7153149" w14:textId="133E8A2C" w:rsidR="00572D40" w:rsidRPr="00572D40" w:rsidRDefault="00572D40" w:rsidP="00572D40">
                                <w:pPr>
                                  <w:pStyle w:val="Sinespaciado"/>
                                  <w:pBdr>
                                    <w:bottom w:val="single" w:sz="6" w:space="4" w:color="7F7F7F" w:themeColor="text1" w:themeTint="80"/>
                                  </w:pBdr>
                                  <w:ind w:left="4" w:hanging="6"/>
                                  <w:jc w:val="center"/>
                                  <w:rPr>
                                    <w:rFonts w:asciiTheme="majorHAnsi" w:eastAsiaTheme="majorEastAsia" w:hAnsiTheme="majorHAnsi" w:cstheme="majorBidi"/>
                                    <w:b/>
                                    <w:color w:val="548DD4" w:themeColor="text2" w:themeTint="99"/>
                                    <w:sz w:val="56"/>
                                    <w:szCs w:val="56"/>
                                  </w:rPr>
                                </w:pPr>
                                <w:r w:rsidRPr="00572D40">
                                  <w:rPr>
                                    <w:rFonts w:asciiTheme="majorHAnsi" w:eastAsiaTheme="majorEastAsia" w:hAnsiTheme="majorHAnsi" w:cstheme="majorBidi"/>
                                    <w:b/>
                                    <w:color w:val="548DD4" w:themeColor="text2" w:themeTint="99"/>
                                    <w:sz w:val="56"/>
                                    <w:szCs w:val="56"/>
                                  </w:rPr>
                                  <w:t>PLAN DE CONTROL SANITARIO DE AGUA POTABLE EN ESTABLECIMIENTOS ALIMENTARIOS</w:t>
                                </w:r>
                              </w:p>
                            </w:sdtContent>
                          </w:sdt>
                          <w:sdt>
                            <w:sdtPr>
                              <w:rPr>
                                <w:caps/>
                                <w:color w:val="1F497D" w:themeColor="text2"/>
                                <w:sz w:val="36"/>
                                <w:szCs w:val="36"/>
                              </w:rPr>
                              <w:alias w:val="Subtítulo"/>
                              <w:tag w:val=""/>
                              <w:id w:val="157346227"/>
                              <w:showingPlcHdr/>
                              <w:dataBinding w:prefixMappings="xmlns:ns0='http://purl.org/dc/elements/1.1/' xmlns:ns1='http://schemas.openxmlformats.org/package/2006/metadata/core-properties' " w:xpath="/ns1:coreProperties[1]/ns0:subject[1]" w:storeItemID="{6C3C8BC8-F283-45AE-878A-BAB7291924A1}"/>
                              <w:text/>
                            </w:sdtPr>
                            <w:sdtEndPr/>
                            <w:sdtContent>
                              <w:p w14:paraId="63109868" w14:textId="3ED40576" w:rsidR="00572D40" w:rsidRDefault="00572D40">
                                <w:pPr>
                                  <w:pStyle w:val="Sinespaciado"/>
                                  <w:spacing w:before="240"/>
                                  <w:ind w:left="2" w:hanging="4"/>
                                  <w:rPr>
                                    <w:caps/>
                                    <w:color w:val="1F497D" w:themeColor="text2"/>
                                    <w:sz w:val="36"/>
                                    <w:szCs w:val="36"/>
                                  </w:rPr>
                                </w:pPr>
                                <w:r>
                                  <w:rPr>
                                    <w:caps/>
                                    <w:color w:val="1F497D" w:themeColor="text2"/>
                                    <w:sz w:val="36"/>
                                    <w:szCs w:val="36"/>
                                  </w:rPr>
                                  <w:t xml:space="preserve">     </w:t>
                                </w:r>
                              </w:p>
                            </w:sdtContent>
                          </w:sdt>
                        </w:txbxContent>
                      </v:textbox>
                    </v:shape>
                    <w10:wrap anchorx="page" anchory="page"/>
                  </v:group>
                </w:pict>
              </mc:Fallback>
            </mc:AlternateContent>
          </w:r>
        </w:p>
        <w:p w14:paraId="4B236DA2" w14:textId="222E10C8" w:rsidR="00572D40" w:rsidRPr="00A94262" w:rsidRDefault="00572D40">
          <w:pPr>
            <w:rPr>
              <w:rFonts w:ascii="Arial" w:eastAsia="Arial" w:hAnsi="Arial" w:cs="Arial"/>
              <w:color w:val="2F5496"/>
              <w:sz w:val="24"/>
              <w:szCs w:val="24"/>
            </w:rPr>
          </w:pPr>
          <w:r w:rsidRPr="00A94262">
            <w:rPr>
              <w:rFonts w:ascii="Arial" w:eastAsia="Arial" w:hAnsi="Arial" w:cs="Arial"/>
              <w:color w:val="2F5496"/>
              <w:sz w:val="24"/>
              <w:szCs w:val="24"/>
            </w:rPr>
            <w:br w:type="page"/>
          </w:r>
        </w:p>
      </w:sdtContent>
    </w:sdt>
    <w:p w14:paraId="5B6DA444" w14:textId="77777777" w:rsidR="005022D3" w:rsidRPr="00A94262" w:rsidRDefault="005022D3">
      <w:pPr>
        <w:keepNext/>
        <w:keepLines/>
        <w:pBdr>
          <w:top w:val="nil"/>
          <w:left w:val="nil"/>
          <w:bottom w:val="nil"/>
          <w:right w:val="nil"/>
          <w:between w:val="nil"/>
        </w:pBdr>
        <w:spacing w:before="240" w:after="0"/>
        <w:rPr>
          <w:rFonts w:ascii="Arial" w:eastAsia="Arial" w:hAnsi="Arial" w:cs="Arial"/>
          <w:color w:val="2F5496"/>
          <w:sz w:val="24"/>
          <w:szCs w:val="24"/>
        </w:rPr>
      </w:pPr>
    </w:p>
    <w:sdt>
      <w:sdtPr>
        <w:rPr>
          <w:rFonts w:ascii="Arial" w:eastAsia="Calibri" w:hAnsi="Arial" w:cs="Arial"/>
          <w:color w:val="auto"/>
          <w:position w:val="0"/>
          <w:sz w:val="24"/>
          <w:szCs w:val="24"/>
          <w:lang w:val="es-ES"/>
        </w:rPr>
        <w:id w:val="511193582"/>
        <w:docPartObj>
          <w:docPartGallery w:val="Table of Contents"/>
          <w:docPartUnique/>
        </w:docPartObj>
      </w:sdtPr>
      <w:sdtEndPr>
        <w:rPr>
          <w:b/>
          <w:bCs/>
        </w:rPr>
      </w:sdtEndPr>
      <w:sdtContent>
        <w:p w14:paraId="1B5DD89A" w14:textId="28FD0F2F" w:rsidR="00572D40" w:rsidRPr="00A94262" w:rsidRDefault="00572D40">
          <w:pPr>
            <w:pStyle w:val="TtuloTDC"/>
            <w:ind w:left="0" w:hanging="2"/>
            <w:rPr>
              <w:rFonts w:ascii="Arial" w:hAnsi="Arial" w:cs="Arial"/>
              <w:sz w:val="24"/>
              <w:szCs w:val="24"/>
            </w:rPr>
          </w:pPr>
          <w:r w:rsidRPr="00A94262">
            <w:rPr>
              <w:rFonts w:ascii="Arial" w:hAnsi="Arial" w:cs="Arial"/>
              <w:sz w:val="24"/>
              <w:szCs w:val="24"/>
              <w:lang w:val="es-ES"/>
            </w:rPr>
            <w:t>Contenido</w:t>
          </w:r>
        </w:p>
        <w:p w14:paraId="66E7DADC" w14:textId="184FB33D" w:rsidR="00572D40" w:rsidRPr="00A94262" w:rsidRDefault="00572D40">
          <w:pPr>
            <w:pStyle w:val="TDC2"/>
            <w:tabs>
              <w:tab w:val="right" w:leader="dot" w:pos="8494"/>
            </w:tabs>
            <w:ind w:left="0" w:hanging="2"/>
            <w:rPr>
              <w:rFonts w:ascii="Arial" w:eastAsiaTheme="minorEastAsia" w:hAnsi="Arial" w:cs="Arial"/>
              <w:noProof/>
              <w:position w:val="0"/>
              <w:sz w:val="24"/>
              <w:szCs w:val="24"/>
              <w:lang w:eastAsia="es-PY"/>
            </w:rPr>
          </w:pPr>
          <w:r w:rsidRPr="00A94262">
            <w:rPr>
              <w:rFonts w:ascii="Arial" w:hAnsi="Arial" w:cs="Arial"/>
              <w:sz w:val="24"/>
              <w:szCs w:val="24"/>
            </w:rPr>
            <w:fldChar w:fldCharType="begin"/>
          </w:r>
          <w:r w:rsidRPr="00A94262">
            <w:rPr>
              <w:rFonts w:ascii="Arial" w:hAnsi="Arial" w:cs="Arial"/>
              <w:sz w:val="24"/>
              <w:szCs w:val="24"/>
            </w:rPr>
            <w:instrText xml:space="preserve"> TOC \o "1-3" \h \z \u </w:instrText>
          </w:r>
          <w:r w:rsidRPr="00A94262">
            <w:rPr>
              <w:rFonts w:ascii="Arial" w:hAnsi="Arial" w:cs="Arial"/>
              <w:sz w:val="24"/>
              <w:szCs w:val="24"/>
            </w:rPr>
            <w:fldChar w:fldCharType="separate"/>
          </w:r>
          <w:hyperlink w:anchor="_Toc211418442" w:history="1">
            <w:r w:rsidRPr="00A94262">
              <w:rPr>
                <w:rStyle w:val="Hipervnculo"/>
                <w:rFonts w:ascii="Arial" w:eastAsia="Arial" w:hAnsi="Arial" w:cs="Arial"/>
                <w:noProof/>
                <w:sz w:val="24"/>
                <w:szCs w:val="24"/>
                <w:highlight w:val="white"/>
              </w:rPr>
              <w:t>1. Introducción</w:t>
            </w:r>
            <w:r w:rsidRPr="00A94262">
              <w:rPr>
                <w:rFonts w:ascii="Arial" w:hAnsi="Arial" w:cs="Arial"/>
                <w:noProof/>
                <w:webHidden/>
                <w:sz w:val="24"/>
                <w:szCs w:val="24"/>
              </w:rPr>
              <w:tab/>
            </w:r>
            <w:r w:rsidRPr="00A94262">
              <w:rPr>
                <w:rFonts w:ascii="Arial" w:hAnsi="Arial" w:cs="Arial"/>
                <w:noProof/>
                <w:webHidden/>
                <w:sz w:val="24"/>
                <w:szCs w:val="24"/>
              </w:rPr>
              <w:fldChar w:fldCharType="begin"/>
            </w:r>
            <w:r w:rsidRPr="00A94262">
              <w:rPr>
                <w:rFonts w:ascii="Arial" w:hAnsi="Arial" w:cs="Arial"/>
                <w:noProof/>
                <w:webHidden/>
                <w:sz w:val="24"/>
                <w:szCs w:val="24"/>
              </w:rPr>
              <w:instrText xml:space="preserve"> PAGEREF _Toc211418442 \h </w:instrText>
            </w:r>
            <w:r w:rsidRPr="00A94262">
              <w:rPr>
                <w:rFonts w:ascii="Arial" w:hAnsi="Arial" w:cs="Arial"/>
                <w:noProof/>
                <w:webHidden/>
                <w:sz w:val="24"/>
                <w:szCs w:val="24"/>
              </w:rPr>
            </w:r>
            <w:r w:rsidRPr="00A94262">
              <w:rPr>
                <w:rFonts w:ascii="Arial" w:hAnsi="Arial" w:cs="Arial"/>
                <w:noProof/>
                <w:webHidden/>
                <w:sz w:val="24"/>
                <w:szCs w:val="24"/>
              </w:rPr>
              <w:fldChar w:fldCharType="separate"/>
            </w:r>
            <w:r w:rsidRPr="00A94262">
              <w:rPr>
                <w:rFonts w:ascii="Arial" w:hAnsi="Arial" w:cs="Arial"/>
                <w:noProof/>
                <w:webHidden/>
                <w:sz w:val="24"/>
                <w:szCs w:val="24"/>
              </w:rPr>
              <w:t>2</w:t>
            </w:r>
            <w:r w:rsidRPr="00A94262">
              <w:rPr>
                <w:rFonts w:ascii="Arial" w:hAnsi="Arial" w:cs="Arial"/>
                <w:noProof/>
                <w:webHidden/>
                <w:sz w:val="24"/>
                <w:szCs w:val="24"/>
              </w:rPr>
              <w:fldChar w:fldCharType="end"/>
            </w:r>
          </w:hyperlink>
        </w:p>
        <w:p w14:paraId="67C420FB" w14:textId="482C9BCB" w:rsidR="00572D40" w:rsidRPr="00A94262" w:rsidRDefault="0099192A">
          <w:pPr>
            <w:pStyle w:val="TDC2"/>
            <w:tabs>
              <w:tab w:val="right" w:leader="dot" w:pos="8494"/>
            </w:tabs>
            <w:ind w:left="0" w:hanging="2"/>
            <w:rPr>
              <w:rFonts w:ascii="Arial" w:eastAsiaTheme="minorEastAsia" w:hAnsi="Arial" w:cs="Arial"/>
              <w:noProof/>
              <w:position w:val="0"/>
              <w:sz w:val="24"/>
              <w:szCs w:val="24"/>
              <w:lang w:eastAsia="es-PY"/>
            </w:rPr>
          </w:pPr>
          <w:hyperlink w:anchor="_Toc211418443" w:history="1">
            <w:r w:rsidR="00572D40" w:rsidRPr="00A94262">
              <w:rPr>
                <w:rStyle w:val="Hipervnculo"/>
                <w:rFonts w:ascii="Arial" w:eastAsia="Arial" w:hAnsi="Arial" w:cs="Arial"/>
                <w:noProof/>
                <w:sz w:val="24"/>
                <w:szCs w:val="24"/>
                <w:highlight w:val="white"/>
              </w:rPr>
              <w:t>2. Objetivo General</w:t>
            </w:r>
            <w:r w:rsidR="00572D40" w:rsidRPr="00A94262">
              <w:rPr>
                <w:rFonts w:ascii="Arial" w:hAnsi="Arial" w:cs="Arial"/>
                <w:noProof/>
                <w:webHidden/>
                <w:sz w:val="24"/>
                <w:szCs w:val="24"/>
              </w:rPr>
              <w:tab/>
            </w:r>
            <w:r w:rsidR="00572D40" w:rsidRPr="00A94262">
              <w:rPr>
                <w:rFonts w:ascii="Arial" w:hAnsi="Arial" w:cs="Arial"/>
                <w:noProof/>
                <w:webHidden/>
                <w:sz w:val="24"/>
                <w:szCs w:val="24"/>
              </w:rPr>
              <w:fldChar w:fldCharType="begin"/>
            </w:r>
            <w:r w:rsidR="00572D40" w:rsidRPr="00A94262">
              <w:rPr>
                <w:rFonts w:ascii="Arial" w:hAnsi="Arial" w:cs="Arial"/>
                <w:noProof/>
                <w:webHidden/>
                <w:sz w:val="24"/>
                <w:szCs w:val="24"/>
              </w:rPr>
              <w:instrText xml:space="preserve"> PAGEREF _Toc211418443 \h </w:instrText>
            </w:r>
            <w:r w:rsidR="00572D40" w:rsidRPr="00A94262">
              <w:rPr>
                <w:rFonts w:ascii="Arial" w:hAnsi="Arial" w:cs="Arial"/>
                <w:noProof/>
                <w:webHidden/>
                <w:sz w:val="24"/>
                <w:szCs w:val="24"/>
              </w:rPr>
            </w:r>
            <w:r w:rsidR="00572D40" w:rsidRPr="00A94262">
              <w:rPr>
                <w:rFonts w:ascii="Arial" w:hAnsi="Arial" w:cs="Arial"/>
                <w:noProof/>
                <w:webHidden/>
                <w:sz w:val="24"/>
                <w:szCs w:val="24"/>
              </w:rPr>
              <w:fldChar w:fldCharType="separate"/>
            </w:r>
            <w:r w:rsidR="00572D40" w:rsidRPr="00A94262">
              <w:rPr>
                <w:rFonts w:ascii="Arial" w:hAnsi="Arial" w:cs="Arial"/>
                <w:noProof/>
                <w:webHidden/>
                <w:sz w:val="24"/>
                <w:szCs w:val="24"/>
              </w:rPr>
              <w:t>2</w:t>
            </w:r>
            <w:r w:rsidR="00572D40" w:rsidRPr="00A94262">
              <w:rPr>
                <w:rFonts w:ascii="Arial" w:hAnsi="Arial" w:cs="Arial"/>
                <w:noProof/>
                <w:webHidden/>
                <w:sz w:val="24"/>
                <w:szCs w:val="24"/>
              </w:rPr>
              <w:fldChar w:fldCharType="end"/>
            </w:r>
          </w:hyperlink>
        </w:p>
        <w:p w14:paraId="6A322F13" w14:textId="358674F3" w:rsidR="00572D40" w:rsidRPr="00A94262" w:rsidRDefault="0099192A">
          <w:pPr>
            <w:pStyle w:val="TDC2"/>
            <w:tabs>
              <w:tab w:val="right" w:leader="dot" w:pos="8494"/>
            </w:tabs>
            <w:ind w:left="0" w:hanging="2"/>
            <w:rPr>
              <w:rFonts w:ascii="Arial" w:eastAsiaTheme="minorEastAsia" w:hAnsi="Arial" w:cs="Arial"/>
              <w:noProof/>
              <w:position w:val="0"/>
              <w:sz w:val="24"/>
              <w:szCs w:val="24"/>
              <w:lang w:eastAsia="es-PY"/>
            </w:rPr>
          </w:pPr>
          <w:hyperlink w:anchor="_Toc211418444" w:history="1">
            <w:r w:rsidR="00572D40" w:rsidRPr="00A94262">
              <w:rPr>
                <w:rStyle w:val="Hipervnculo"/>
                <w:rFonts w:ascii="Arial" w:eastAsia="Arial" w:hAnsi="Arial" w:cs="Arial"/>
                <w:noProof/>
                <w:sz w:val="24"/>
                <w:szCs w:val="24"/>
                <w:highlight w:val="white"/>
              </w:rPr>
              <w:t>3. Objetivos específicos</w:t>
            </w:r>
            <w:r w:rsidR="00572D40" w:rsidRPr="00A94262">
              <w:rPr>
                <w:rFonts w:ascii="Arial" w:hAnsi="Arial" w:cs="Arial"/>
                <w:noProof/>
                <w:webHidden/>
                <w:sz w:val="24"/>
                <w:szCs w:val="24"/>
              </w:rPr>
              <w:tab/>
            </w:r>
            <w:r w:rsidR="00572D40" w:rsidRPr="00A94262">
              <w:rPr>
                <w:rFonts w:ascii="Arial" w:hAnsi="Arial" w:cs="Arial"/>
                <w:noProof/>
                <w:webHidden/>
                <w:sz w:val="24"/>
                <w:szCs w:val="24"/>
              </w:rPr>
              <w:fldChar w:fldCharType="begin"/>
            </w:r>
            <w:r w:rsidR="00572D40" w:rsidRPr="00A94262">
              <w:rPr>
                <w:rFonts w:ascii="Arial" w:hAnsi="Arial" w:cs="Arial"/>
                <w:noProof/>
                <w:webHidden/>
                <w:sz w:val="24"/>
                <w:szCs w:val="24"/>
              </w:rPr>
              <w:instrText xml:space="preserve"> PAGEREF _Toc211418444 \h </w:instrText>
            </w:r>
            <w:r w:rsidR="00572D40" w:rsidRPr="00A94262">
              <w:rPr>
                <w:rFonts w:ascii="Arial" w:hAnsi="Arial" w:cs="Arial"/>
                <w:noProof/>
                <w:webHidden/>
                <w:sz w:val="24"/>
                <w:szCs w:val="24"/>
              </w:rPr>
            </w:r>
            <w:r w:rsidR="00572D40" w:rsidRPr="00A94262">
              <w:rPr>
                <w:rFonts w:ascii="Arial" w:hAnsi="Arial" w:cs="Arial"/>
                <w:noProof/>
                <w:webHidden/>
                <w:sz w:val="24"/>
                <w:szCs w:val="24"/>
              </w:rPr>
              <w:fldChar w:fldCharType="separate"/>
            </w:r>
            <w:r w:rsidR="00572D40" w:rsidRPr="00A94262">
              <w:rPr>
                <w:rFonts w:ascii="Arial" w:hAnsi="Arial" w:cs="Arial"/>
                <w:noProof/>
                <w:webHidden/>
                <w:sz w:val="24"/>
                <w:szCs w:val="24"/>
              </w:rPr>
              <w:t>2</w:t>
            </w:r>
            <w:r w:rsidR="00572D40" w:rsidRPr="00A94262">
              <w:rPr>
                <w:rFonts w:ascii="Arial" w:hAnsi="Arial" w:cs="Arial"/>
                <w:noProof/>
                <w:webHidden/>
                <w:sz w:val="24"/>
                <w:szCs w:val="24"/>
              </w:rPr>
              <w:fldChar w:fldCharType="end"/>
            </w:r>
          </w:hyperlink>
        </w:p>
        <w:p w14:paraId="2244C957" w14:textId="42429431" w:rsidR="00572D40" w:rsidRPr="00A94262" w:rsidRDefault="0099192A">
          <w:pPr>
            <w:pStyle w:val="TDC2"/>
            <w:tabs>
              <w:tab w:val="right" w:leader="dot" w:pos="8494"/>
            </w:tabs>
            <w:ind w:left="0" w:hanging="2"/>
            <w:rPr>
              <w:rFonts w:ascii="Arial" w:eastAsiaTheme="minorEastAsia" w:hAnsi="Arial" w:cs="Arial"/>
              <w:noProof/>
              <w:position w:val="0"/>
              <w:sz w:val="24"/>
              <w:szCs w:val="24"/>
              <w:lang w:eastAsia="es-PY"/>
            </w:rPr>
          </w:pPr>
          <w:hyperlink w:anchor="_Toc211418445" w:history="1">
            <w:r w:rsidR="00572D40" w:rsidRPr="00A94262">
              <w:rPr>
                <w:rStyle w:val="Hipervnculo"/>
                <w:rFonts w:ascii="Arial" w:eastAsia="Arial" w:hAnsi="Arial" w:cs="Arial"/>
                <w:noProof/>
                <w:sz w:val="24"/>
                <w:szCs w:val="24"/>
                <w:highlight w:val="white"/>
              </w:rPr>
              <w:t>4. Alcance</w:t>
            </w:r>
            <w:r w:rsidR="00572D40" w:rsidRPr="00A94262">
              <w:rPr>
                <w:rFonts w:ascii="Arial" w:hAnsi="Arial" w:cs="Arial"/>
                <w:noProof/>
                <w:webHidden/>
                <w:sz w:val="24"/>
                <w:szCs w:val="24"/>
              </w:rPr>
              <w:tab/>
            </w:r>
            <w:r w:rsidR="00572D40" w:rsidRPr="00A94262">
              <w:rPr>
                <w:rFonts w:ascii="Arial" w:hAnsi="Arial" w:cs="Arial"/>
                <w:noProof/>
                <w:webHidden/>
                <w:sz w:val="24"/>
                <w:szCs w:val="24"/>
              </w:rPr>
              <w:fldChar w:fldCharType="begin"/>
            </w:r>
            <w:r w:rsidR="00572D40" w:rsidRPr="00A94262">
              <w:rPr>
                <w:rFonts w:ascii="Arial" w:hAnsi="Arial" w:cs="Arial"/>
                <w:noProof/>
                <w:webHidden/>
                <w:sz w:val="24"/>
                <w:szCs w:val="24"/>
              </w:rPr>
              <w:instrText xml:space="preserve"> PAGEREF _Toc211418445 \h </w:instrText>
            </w:r>
            <w:r w:rsidR="00572D40" w:rsidRPr="00A94262">
              <w:rPr>
                <w:rFonts w:ascii="Arial" w:hAnsi="Arial" w:cs="Arial"/>
                <w:noProof/>
                <w:webHidden/>
                <w:sz w:val="24"/>
                <w:szCs w:val="24"/>
              </w:rPr>
            </w:r>
            <w:r w:rsidR="00572D40" w:rsidRPr="00A94262">
              <w:rPr>
                <w:rFonts w:ascii="Arial" w:hAnsi="Arial" w:cs="Arial"/>
                <w:noProof/>
                <w:webHidden/>
                <w:sz w:val="24"/>
                <w:szCs w:val="24"/>
              </w:rPr>
              <w:fldChar w:fldCharType="separate"/>
            </w:r>
            <w:r w:rsidR="00572D40" w:rsidRPr="00A94262">
              <w:rPr>
                <w:rFonts w:ascii="Arial" w:hAnsi="Arial" w:cs="Arial"/>
                <w:noProof/>
                <w:webHidden/>
                <w:sz w:val="24"/>
                <w:szCs w:val="24"/>
              </w:rPr>
              <w:t>3</w:t>
            </w:r>
            <w:r w:rsidR="00572D40" w:rsidRPr="00A94262">
              <w:rPr>
                <w:rFonts w:ascii="Arial" w:hAnsi="Arial" w:cs="Arial"/>
                <w:noProof/>
                <w:webHidden/>
                <w:sz w:val="24"/>
                <w:szCs w:val="24"/>
              </w:rPr>
              <w:fldChar w:fldCharType="end"/>
            </w:r>
          </w:hyperlink>
        </w:p>
        <w:p w14:paraId="43ECD57D" w14:textId="47F453F7" w:rsidR="00572D40" w:rsidRPr="00A94262" w:rsidRDefault="0099192A">
          <w:pPr>
            <w:pStyle w:val="TDC2"/>
            <w:tabs>
              <w:tab w:val="right" w:leader="dot" w:pos="8494"/>
            </w:tabs>
            <w:ind w:left="0" w:hanging="2"/>
            <w:rPr>
              <w:rFonts w:ascii="Arial" w:eastAsiaTheme="minorEastAsia" w:hAnsi="Arial" w:cs="Arial"/>
              <w:noProof/>
              <w:position w:val="0"/>
              <w:sz w:val="24"/>
              <w:szCs w:val="24"/>
              <w:lang w:eastAsia="es-PY"/>
            </w:rPr>
          </w:pPr>
          <w:hyperlink w:anchor="_Toc211418446" w:history="1">
            <w:r w:rsidR="00572D40" w:rsidRPr="00A94262">
              <w:rPr>
                <w:rStyle w:val="Hipervnculo"/>
                <w:rFonts w:ascii="Arial" w:eastAsia="Arial" w:hAnsi="Arial" w:cs="Arial"/>
                <w:noProof/>
                <w:sz w:val="24"/>
                <w:szCs w:val="24"/>
                <w:highlight w:val="white"/>
              </w:rPr>
              <w:t>5. Criterios técnicos</w:t>
            </w:r>
            <w:r w:rsidR="00572D40" w:rsidRPr="00A94262">
              <w:rPr>
                <w:rFonts w:ascii="Arial" w:hAnsi="Arial" w:cs="Arial"/>
                <w:noProof/>
                <w:webHidden/>
                <w:sz w:val="24"/>
                <w:szCs w:val="24"/>
              </w:rPr>
              <w:tab/>
            </w:r>
            <w:r w:rsidR="00572D40" w:rsidRPr="00A94262">
              <w:rPr>
                <w:rFonts w:ascii="Arial" w:hAnsi="Arial" w:cs="Arial"/>
                <w:noProof/>
                <w:webHidden/>
                <w:sz w:val="24"/>
                <w:szCs w:val="24"/>
              </w:rPr>
              <w:fldChar w:fldCharType="begin"/>
            </w:r>
            <w:r w:rsidR="00572D40" w:rsidRPr="00A94262">
              <w:rPr>
                <w:rFonts w:ascii="Arial" w:hAnsi="Arial" w:cs="Arial"/>
                <w:noProof/>
                <w:webHidden/>
                <w:sz w:val="24"/>
                <w:szCs w:val="24"/>
              </w:rPr>
              <w:instrText xml:space="preserve"> PAGEREF _Toc211418446 \h </w:instrText>
            </w:r>
            <w:r w:rsidR="00572D40" w:rsidRPr="00A94262">
              <w:rPr>
                <w:rFonts w:ascii="Arial" w:hAnsi="Arial" w:cs="Arial"/>
                <w:noProof/>
                <w:webHidden/>
                <w:sz w:val="24"/>
                <w:szCs w:val="24"/>
              </w:rPr>
            </w:r>
            <w:r w:rsidR="00572D40" w:rsidRPr="00A94262">
              <w:rPr>
                <w:rFonts w:ascii="Arial" w:hAnsi="Arial" w:cs="Arial"/>
                <w:noProof/>
                <w:webHidden/>
                <w:sz w:val="24"/>
                <w:szCs w:val="24"/>
              </w:rPr>
              <w:fldChar w:fldCharType="separate"/>
            </w:r>
            <w:r w:rsidR="00572D40" w:rsidRPr="00A94262">
              <w:rPr>
                <w:rFonts w:ascii="Arial" w:hAnsi="Arial" w:cs="Arial"/>
                <w:noProof/>
                <w:webHidden/>
                <w:sz w:val="24"/>
                <w:szCs w:val="24"/>
              </w:rPr>
              <w:t>3</w:t>
            </w:r>
            <w:r w:rsidR="00572D40" w:rsidRPr="00A94262">
              <w:rPr>
                <w:rFonts w:ascii="Arial" w:hAnsi="Arial" w:cs="Arial"/>
                <w:noProof/>
                <w:webHidden/>
                <w:sz w:val="24"/>
                <w:szCs w:val="24"/>
              </w:rPr>
              <w:fldChar w:fldCharType="end"/>
            </w:r>
          </w:hyperlink>
        </w:p>
        <w:p w14:paraId="6FC6EFCE" w14:textId="20A906DD" w:rsidR="00572D40" w:rsidRPr="00A94262" w:rsidRDefault="0099192A">
          <w:pPr>
            <w:pStyle w:val="TDC2"/>
            <w:tabs>
              <w:tab w:val="right" w:leader="dot" w:pos="8494"/>
            </w:tabs>
            <w:ind w:left="0" w:hanging="2"/>
            <w:rPr>
              <w:rFonts w:ascii="Arial" w:eastAsiaTheme="minorEastAsia" w:hAnsi="Arial" w:cs="Arial"/>
              <w:noProof/>
              <w:position w:val="0"/>
              <w:sz w:val="24"/>
              <w:szCs w:val="24"/>
              <w:lang w:eastAsia="es-PY"/>
            </w:rPr>
          </w:pPr>
          <w:hyperlink w:anchor="_Toc211418447" w:history="1">
            <w:r w:rsidR="00572D40" w:rsidRPr="00A94262">
              <w:rPr>
                <w:rStyle w:val="Hipervnculo"/>
                <w:rFonts w:ascii="Arial" w:eastAsia="Arial" w:hAnsi="Arial" w:cs="Arial"/>
                <w:noProof/>
                <w:sz w:val="24"/>
                <w:szCs w:val="24"/>
              </w:rPr>
              <w:t>5.1 Enfoque</w:t>
            </w:r>
            <w:r w:rsidR="00572D40" w:rsidRPr="00A94262">
              <w:rPr>
                <w:rFonts w:ascii="Arial" w:hAnsi="Arial" w:cs="Arial"/>
                <w:noProof/>
                <w:webHidden/>
                <w:sz w:val="24"/>
                <w:szCs w:val="24"/>
              </w:rPr>
              <w:tab/>
            </w:r>
            <w:r w:rsidR="00572D40" w:rsidRPr="00A94262">
              <w:rPr>
                <w:rFonts w:ascii="Arial" w:hAnsi="Arial" w:cs="Arial"/>
                <w:noProof/>
                <w:webHidden/>
                <w:sz w:val="24"/>
                <w:szCs w:val="24"/>
              </w:rPr>
              <w:fldChar w:fldCharType="begin"/>
            </w:r>
            <w:r w:rsidR="00572D40" w:rsidRPr="00A94262">
              <w:rPr>
                <w:rFonts w:ascii="Arial" w:hAnsi="Arial" w:cs="Arial"/>
                <w:noProof/>
                <w:webHidden/>
                <w:sz w:val="24"/>
                <w:szCs w:val="24"/>
              </w:rPr>
              <w:instrText xml:space="preserve"> PAGEREF _Toc211418447 \h </w:instrText>
            </w:r>
            <w:r w:rsidR="00572D40" w:rsidRPr="00A94262">
              <w:rPr>
                <w:rFonts w:ascii="Arial" w:hAnsi="Arial" w:cs="Arial"/>
                <w:noProof/>
                <w:webHidden/>
                <w:sz w:val="24"/>
                <w:szCs w:val="24"/>
              </w:rPr>
            </w:r>
            <w:r w:rsidR="00572D40" w:rsidRPr="00A94262">
              <w:rPr>
                <w:rFonts w:ascii="Arial" w:hAnsi="Arial" w:cs="Arial"/>
                <w:noProof/>
                <w:webHidden/>
                <w:sz w:val="24"/>
                <w:szCs w:val="24"/>
              </w:rPr>
              <w:fldChar w:fldCharType="separate"/>
            </w:r>
            <w:r w:rsidR="00572D40" w:rsidRPr="00A94262">
              <w:rPr>
                <w:rFonts w:ascii="Arial" w:hAnsi="Arial" w:cs="Arial"/>
                <w:noProof/>
                <w:webHidden/>
                <w:sz w:val="24"/>
                <w:szCs w:val="24"/>
              </w:rPr>
              <w:t>3</w:t>
            </w:r>
            <w:r w:rsidR="00572D40" w:rsidRPr="00A94262">
              <w:rPr>
                <w:rFonts w:ascii="Arial" w:hAnsi="Arial" w:cs="Arial"/>
                <w:noProof/>
                <w:webHidden/>
                <w:sz w:val="24"/>
                <w:szCs w:val="24"/>
              </w:rPr>
              <w:fldChar w:fldCharType="end"/>
            </w:r>
          </w:hyperlink>
        </w:p>
        <w:p w14:paraId="3DEA920B" w14:textId="65843A23" w:rsidR="00572D40" w:rsidRPr="00A94262" w:rsidRDefault="0099192A">
          <w:pPr>
            <w:pStyle w:val="TDC2"/>
            <w:tabs>
              <w:tab w:val="right" w:leader="dot" w:pos="8494"/>
            </w:tabs>
            <w:ind w:left="0" w:hanging="2"/>
            <w:rPr>
              <w:rFonts w:ascii="Arial" w:eastAsiaTheme="minorEastAsia" w:hAnsi="Arial" w:cs="Arial"/>
              <w:noProof/>
              <w:position w:val="0"/>
              <w:sz w:val="24"/>
              <w:szCs w:val="24"/>
              <w:lang w:eastAsia="es-PY"/>
            </w:rPr>
          </w:pPr>
          <w:hyperlink w:anchor="_Toc211418448" w:history="1">
            <w:r w:rsidR="00572D40" w:rsidRPr="00A94262">
              <w:rPr>
                <w:rStyle w:val="Hipervnculo"/>
                <w:rFonts w:ascii="Arial" w:eastAsia="Arial" w:hAnsi="Arial" w:cs="Arial"/>
                <w:noProof/>
                <w:sz w:val="24"/>
                <w:szCs w:val="24"/>
              </w:rPr>
              <w:t>5.2 Técnicas para el monitoreo</w:t>
            </w:r>
            <w:r w:rsidR="00572D40" w:rsidRPr="00A94262">
              <w:rPr>
                <w:rFonts w:ascii="Arial" w:hAnsi="Arial" w:cs="Arial"/>
                <w:noProof/>
                <w:webHidden/>
                <w:sz w:val="24"/>
                <w:szCs w:val="24"/>
              </w:rPr>
              <w:tab/>
            </w:r>
            <w:r w:rsidR="00572D40" w:rsidRPr="00A94262">
              <w:rPr>
                <w:rFonts w:ascii="Arial" w:hAnsi="Arial" w:cs="Arial"/>
                <w:noProof/>
                <w:webHidden/>
                <w:sz w:val="24"/>
                <w:szCs w:val="24"/>
              </w:rPr>
              <w:fldChar w:fldCharType="begin"/>
            </w:r>
            <w:r w:rsidR="00572D40" w:rsidRPr="00A94262">
              <w:rPr>
                <w:rFonts w:ascii="Arial" w:hAnsi="Arial" w:cs="Arial"/>
                <w:noProof/>
                <w:webHidden/>
                <w:sz w:val="24"/>
                <w:szCs w:val="24"/>
              </w:rPr>
              <w:instrText xml:space="preserve"> PAGEREF _Toc211418448 \h </w:instrText>
            </w:r>
            <w:r w:rsidR="00572D40" w:rsidRPr="00A94262">
              <w:rPr>
                <w:rFonts w:ascii="Arial" w:hAnsi="Arial" w:cs="Arial"/>
                <w:noProof/>
                <w:webHidden/>
                <w:sz w:val="24"/>
                <w:szCs w:val="24"/>
              </w:rPr>
            </w:r>
            <w:r w:rsidR="00572D40" w:rsidRPr="00A94262">
              <w:rPr>
                <w:rFonts w:ascii="Arial" w:hAnsi="Arial" w:cs="Arial"/>
                <w:noProof/>
                <w:webHidden/>
                <w:sz w:val="24"/>
                <w:szCs w:val="24"/>
              </w:rPr>
              <w:fldChar w:fldCharType="separate"/>
            </w:r>
            <w:r w:rsidR="00572D40" w:rsidRPr="00A94262">
              <w:rPr>
                <w:rFonts w:ascii="Arial" w:hAnsi="Arial" w:cs="Arial"/>
                <w:noProof/>
                <w:webHidden/>
                <w:sz w:val="24"/>
                <w:szCs w:val="24"/>
              </w:rPr>
              <w:t>3</w:t>
            </w:r>
            <w:r w:rsidR="00572D40" w:rsidRPr="00A94262">
              <w:rPr>
                <w:rFonts w:ascii="Arial" w:hAnsi="Arial" w:cs="Arial"/>
                <w:noProof/>
                <w:webHidden/>
                <w:sz w:val="24"/>
                <w:szCs w:val="24"/>
              </w:rPr>
              <w:fldChar w:fldCharType="end"/>
            </w:r>
          </w:hyperlink>
        </w:p>
        <w:p w14:paraId="6AF19286" w14:textId="5EF643CE" w:rsidR="00572D40" w:rsidRPr="00A94262" w:rsidRDefault="0099192A">
          <w:pPr>
            <w:pStyle w:val="TDC2"/>
            <w:tabs>
              <w:tab w:val="right" w:leader="dot" w:pos="8494"/>
            </w:tabs>
            <w:ind w:left="0" w:hanging="2"/>
            <w:rPr>
              <w:rFonts w:ascii="Arial" w:eastAsiaTheme="minorEastAsia" w:hAnsi="Arial" w:cs="Arial"/>
              <w:noProof/>
              <w:position w:val="0"/>
              <w:sz w:val="24"/>
              <w:szCs w:val="24"/>
              <w:lang w:eastAsia="es-PY"/>
            </w:rPr>
          </w:pPr>
          <w:hyperlink w:anchor="_Toc211418449" w:history="1">
            <w:r w:rsidR="00572D40" w:rsidRPr="00A94262">
              <w:rPr>
                <w:rStyle w:val="Hipervnculo"/>
                <w:rFonts w:ascii="Arial" w:eastAsia="Arial" w:hAnsi="Arial" w:cs="Arial"/>
                <w:noProof/>
                <w:sz w:val="24"/>
                <w:szCs w:val="24"/>
              </w:rPr>
              <w:t>5.3 Extracción de muestras y ensayos</w:t>
            </w:r>
            <w:r w:rsidR="00572D40" w:rsidRPr="00A94262">
              <w:rPr>
                <w:rFonts w:ascii="Arial" w:hAnsi="Arial" w:cs="Arial"/>
                <w:noProof/>
                <w:webHidden/>
                <w:sz w:val="24"/>
                <w:szCs w:val="24"/>
              </w:rPr>
              <w:tab/>
            </w:r>
            <w:r w:rsidR="00572D40" w:rsidRPr="00A94262">
              <w:rPr>
                <w:rFonts w:ascii="Arial" w:hAnsi="Arial" w:cs="Arial"/>
                <w:noProof/>
                <w:webHidden/>
                <w:sz w:val="24"/>
                <w:szCs w:val="24"/>
              </w:rPr>
              <w:fldChar w:fldCharType="begin"/>
            </w:r>
            <w:r w:rsidR="00572D40" w:rsidRPr="00A94262">
              <w:rPr>
                <w:rFonts w:ascii="Arial" w:hAnsi="Arial" w:cs="Arial"/>
                <w:noProof/>
                <w:webHidden/>
                <w:sz w:val="24"/>
                <w:szCs w:val="24"/>
              </w:rPr>
              <w:instrText xml:space="preserve"> PAGEREF _Toc211418449 \h </w:instrText>
            </w:r>
            <w:r w:rsidR="00572D40" w:rsidRPr="00A94262">
              <w:rPr>
                <w:rFonts w:ascii="Arial" w:hAnsi="Arial" w:cs="Arial"/>
                <w:noProof/>
                <w:webHidden/>
                <w:sz w:val="24"/>
                <w:szCs w:val="24"/>
              </w:rPr>
            </w:r>
            <w:r w:rsidR="00572D40" w:rsidRPr="00A94262">
              <w:rPr>
                <w:rFonts w:ascii="Arial" w:hAnsi="Arial" w:cs="Arial"/>
                <w:noProof/>
                <w:webHidden/>
                <w:sz w:val="24"/>
                <w:szCs w:val="24"/>
              </w:rPr>
              <w:fldChar w:fldCharType="separate"/>
            </w:r>
            <w:r w:rsidR="00572D40" w:rsidRPr="00A94262">
              <w:rPr>
                <w:rFonts w:ascii="Arial" w:hAnsi="Arial" w:cs="Arial"/>
                <w:noProof/>
                <w:webHidden/>
                <w:sz w:val="24"/>
                <w:szCs w:val="24"/>
              </w:rPr>
              <w:t>6</w:t>
            </w:r>
            <w:r w:rsidR="00572D40" w:rsidRPr="00A94262">
              <w:rPr>
                <w:rFonts w:ascii="Arial" w:hAnsi="Arial" w:cs="Arial"/>
                <w:noProof/>
                <w:webHidden/>
                <w:sz w:val="24"/>
                <w:szCs w:val="24"/>
              </w:rPr>
              <w:fldChar w:fldCharType="end"/>
            </w:r>
          </w:hyperlink>
        </w:p>
        <w:p w14:paraId="508F1969" w14:textId="2250249B" w:rsidR="00572D40" w:rsidRPr="00A94262" w:rsidRDefault="0099192A">
          <w:pPr>
            <w:pStyle w:val="TDC2"/>
            <w:tabs>
              <w:tab w:val="right" w:leader="dot" w:pos="8494"/>
            </w:tabs>
            <w:ind w:left="0" w:hanging="2"/>
            <w:rPr>
              <w:rFonts w:ascii="Arial" w:eastAsiaTheme="minorEastAsia" w:hAnsi="Arial" w:cs="Arial"/>
              <w:noProof/>
              <w:position w:val="0"/>
              <w:sz w:val="24"/>
              <w:szCs w:val="24"/>
              <w:lang w:eastAsia="es-PY"/>
            </w:rPr>
          </w:pPr>
          <w:hyperlink w:anchor="_Toc211418450" w:history="1">
            <w:r w:rsidR="00572D40" w:rsidRPr="00A94262">
              <w:rPr>
                <w:rStyle w:val="Hipervnculo"/>
                <w:rFonts w:ascii="Arial" w:eastAsia="Arial" w:hAnsi="Arial" w:cs="Arial"/>
                <w:noProof/>
                <w:sz w:val="24"/>
                <w:szCs w:val="24"/>
              </w:rPr>
              <w:t>5.4 Fotografías</w:t>
            </w:r>
            <w:r w:rsidR="00572D40" w:rsidRPr="00A94262">
              <w:rPr>
                <w:rFonts w:ascii="Arial" w:hAnsi="Arial" w:cs="Arial"/>
                <w:noProof/>
                <w:webHidden/>
                <w:sz w:val="24"/>
                <w:szCs w:val="24"/>
              </w:rPr>
              <w:tab/>
            </w:r>
            <w:r w:rsidR="00572D40" w:rsidRPr="00A94262">
              <w:rPr>
                <w:rFonts w:ascii="Arial" w:hAnsi="Arial" w:cs="Arial"/>
                <w:noProof/>
                <w:webHidden/>
                <w:sz w:val="24"/>
                <w:szCs w:val="24"/>
              </w:rPr>
              <w:fldChar w:fldCharType="begin"/>
            </w:r>
            <w:r w:rsidR="00572D40" w:rsidRPr="00A94262">
              <w:rPr>
                <w:rFonts w:ascii="Arial" w:hAnsi="Arial" w:cs="Arial"/>
                <w:noProof/>
                <w:webHidden/>
                <w:sz w:val="24"/>
                <w:szCs w:val="24"/>
              </w:rPr>
              <w:instrText xml:space="preserve"> PAGEREF _Toc211418450 \h </w:instrText>
            </w:r>
            <w:r w:rsidR="00572D40" w:rsidRPr="00A94262">
              <w:rPr>
                <w:rFonts w:ascii="Arial" w:hAnsi="Arial" w:cs="Arial"/>
                <w:noProof/>
                <w:webHidden/>
                <w:sz w:val="24"/>
                <w:szCs w:val="24"/>
              </w:rPr>
            </w:r>
            <w:r w:rsidR="00572D40" w:rsidRPr="00A94262">
              <w:rPr>
                <w:rFonts w:ascii="Arial" w:hAnsi="Arial" w:cs="Arial"/>
                <w:noProof/>
                <w:webHidden/>
                <w:sz w:val="24"/>
                <w:szCs w:val="24"/>
              </w:rPr>
              <w:fldChar w:fldCharType="separate"/>
            </w:r>
            <w:r w:rsidR="00572D40" w:rsidRPr="00A94262">
              <w:rPr>
                <w:rFonts w:ascii="Arial" w:hAnsi="Arial" w:cs="Arial"/>
                <w:noProof/>
                <w:webHidden/>
                <w:sz w:val="24"/>
                <w:szCs w:val="24"/>
              </w:rPr>
              <w:t>6</w:t>
            </w:r>
            <w:r w:rsidR="00572D40" w:rsidRPr="00A94262">
              <w:rPr>
                <w:rFonts w:ascii="Arial" w:hAnsi="Arial" w:cs="Arial"/>
                <w:noProof/>
                <w:webHidden/>
                <w:sz w:val="24"/>
                <w:szCs w:val="24"/>
              </w:rPr>
              <w:fldChar w:fldCharType="end"/>
            </w:r>
          </w:hyperlink>
        </w:p>
        <w:p w14:paraId="1CCEBF5E" w14:textId="4E594E31" w:rsidR="00572D40" w:rsidRPr="00A94262" w:rsidRDefault="0099192A">
          <w:pPr>
            <w:pStyle w:val="TDC2"/>
            <w:tabs>
              <w:tab w:val="right" w:leader="dot" w:pos="8494"/>
            </w:tabs>
            <w:ind w:left="0" w:hanging="2"/>
            <w:rPr>
              <w:rFonts w:ascii="Arial" w:eastAsiaTheme="minorEastAsia" w:hAnsi="Arial" w:cs="Arial"/>
              <w:noProof/>
              <w:position w:val="0"/>
              <w:sz w:val="24"/>
              <w:szCs w:val="24"/>
              <w:lang w:eastAsia="es-PY"/>
            </w:rPr>
          </w:pPr>
          <w:hyperlink w:anchor="_Toc211418451" w:history="1">
            <w:r w:rsidR="00572D40" w:rsidRPr="00A94262">
              <w:rPr>
                <w:rStyle w:val="Hipervnculo"/>
                <w:rFonts w:ascii="Arial" w:eastAsia="Arial" w:hAnsi="Arial" w:cs="Arial"/>
                <w:noProof/>
                <w:sz w:val="24"/>
                <w:szCs w:val="24"/>
              </w:rPr>
              <w:t>5.5. Manejo de no conformidades</w:t>
            </w:r>
            <w:r w:rsidR="00572D40" w:rsidRPr="00A94262">
              <w:rPr>
                <w:rFonts w:ascii="Arial" w:hAnsi="Arial" w:cs="Arial"/>
                <w:noProof/>
                <w:webHidden/>
                <w:sz w:val="24"/>
                <w:szCs w:val="24"/>
              </w:rPr>
              <w:tab/>
            </w:r>
            <w:r w:rsidR="00572D40" w:rsidRPr="00A94262">
              <w:rPr>
                <w:rFonts w:ascii="Arial" w:hAnsi="Arial" w:cs="Arial"/>
                <w:noProof/>
                <w:webHidden/>
                <w:sz w:val="24"/>
                <w:szCs w:val="24"/>
              </w:rPr>
              <w:fldChar w:fldCharType="begin"/>
            </w:r>
            <w:r w:rsidR="00572D40" w:rsidRPr="00A94262">
              <w:rPr>
                <w:rFonts w:ascii="Arial" w:hAnsi="Arial" w:cs="Arial"/>
                <w:noProof/>
                <w:webHidden/>
                <w:sz w:val="24"/>
                <w:szCs w:val="24"/>
              </w:rPr>
              <w:instrText xml:space="preserve"> PAGEREF _Toc211418451 \h </w:instrText>
            </w:r>
            <w:r w:rsidR="00572D40" w:rsidRPr="00A94262">
              <w:rPr>
                <w:rFonts w:ascii="Arial" w:hAnsi="Arial" w:cs="Arial"/>
                <w:noProof/>
                <w:webHidden/>
                <w:sz w:val="24"/>
                <w:szCs w:val="24"/>
              </w:rPr>
            </w:r>
            <w:r w:rsidR="00572D40" w:rsidRPr="00A94262">
              <w:rPr>
                <w:rFonts w:ascii="Arial" w:hAnsi="Arial" w:cs="Arial"/>
                <w:noProof/>
                <w:webHidden/>
                <w:sz w:val="24"/>
                <w:szCs w:val="24"/>
              </w:rPr>
              <w:fldChar w:fldCharType="separate"/>
            </w:r>
            <w:r w:rsidR="00572D40" w:rsidRPr="00A94262">
              <w:rPr>
                <w:rFonts w:ascii="Arial" w:hAnsi="Arial" w:cs="Arial"/>
                <w:noProof/>
                <w:webHidden/>
                <w:sz w:val="24"/>
                <w:szCs w:val="24"/>
              </w:rPr>
              <w:t>6</w:t>
            </w:r>
            <w:r w:rsidR="00572D40" w:rsidRPr="00A94262">
              <w:rPr>
                <w:rFonts w:ascii="Arial" w:hAnsi="Arial" w:cs="Arial"/>
                <w:noProof/>
                <w:webHidden/>
                <w:sz w:val="24"/>
                <w:szCs w:val="24"/>
              </w:rPr>
              <w:fldChar w:fldCharType="end"/>
            </w:r>
          </w:hyperlink>
        </w:p>
        <w:p w14:paraId="4290340B" w14:textId="2BF9DB77" w:rsidR="00572D40" w:rsidRPr="00A94262" w:rsidRDefault="0099192A">
          <w:pPr>
            <w:pStyle w:val="TDC2"/>
            <w:tabs>
              <w:tab w:val="right" w:leader="dot" w:pos="8494"/>
            </w:tabs>
            <w:ind w:left="0" w:hanging="2"/>
            <w:rPr>
              <w:rFonts w:ascii="Arial" w:eastAsiaTheme="minorEastAsia" w:hAnsi="Arial" w:cs="Arial"/>
              <w:noProof/>
              <w:position w:val="0"/>
              <w:sz w:val="24"/>
              <w:szCs w:val="24"/>
              <w:lang w:eastAsia="es-PY"/>
            </w:rPr>
          </w:pPr>
          <w:hyperlink w:anchor="_Toc211418452" w:history="1">
            <w:r w:rsidR="00572D40" w:rsidRPr="00A94262">
              <w:rPr>
                <w:rStyle w:val="Hipervnculo"/>
                <w:rFonts w:ascii="Arial" w:eastAsia="Arial" w:hAnsi="Arial" w:cs="Arial"/>
                <w:noProof/>
                <w:sz w:val="24"/>
                <w:szCs w:val="24"/>
              </w:rPr>
              <w:t>5.6 Monitoreos de seguimiento</w:t>
            </w:r>
            <w:r w:rsidR="00572D40" w:rsidRPr="00A94262">
              <w:rPr>
                <w:rFonts w:ascii="Arial" w:hAnsi="Arial" w:cs="Arial"/>
                <w:noProof/>
                <w:webHidden/>
                <w:sz w:val="24"/>
                <w:szCs w:val="24"/>
              </w:rPr>
              <w:tab/>
            </w:r>
            <w:r w:rsidR="00572D40" w:rsidRPr="00A94262">
              <w:rPr>
                <w:rFonts w:ascii="Arial" w:hAnsi="Arial" w:cs="Arial"/>
                <w:noProof/>
                <w:webHidden/>
                <w:sz w:val="24"/>
                <w:szCs w:val="24"/>
              </w:rPr>
              <w:fldChar w:fldCharType="begin"/>
            </w:r>
            <w:r w:rsidR="00572D40" w:rsidRPr="00A94262">
              <w:rPr>
                <w:rFonts w:ascii="Arial" w:hAnsi="Arial" w:cs="Arial"/>
                <w:noProof/>
                <w:webHidden/>
                <w:sz w:val="24"/>
                <w:szCs w:val="24"/>
              </w:rPr>
              <w:instrText xml:space="preserve"> PAGEREF _Toc211418452 \h </w:instrText>
            </w:r>
            <w:r w:rsidR="00572D40" w:rsidRPr="00A94262">
              <w:rPr>
                <w:rFonts w:ascii="Arial" w:hAnsi="Arial" w:cs="Arial"/>
                <w:noProof/>
                <w:webHidden/>
                <w:sz w:val="24"/>
                <w:szCs w:val="24"/>
              </w:rPr>
            </w:r>
            <w:r w:rsidR="00572D40" w:rsidRPr="00A94262">
              <w:rPr>
                <w:rFonts w:ascii="Arial" w:hAnsi="Arial" w:cs="Arial"/>
                <w:noProof/>
                <w:webHidden/>
                <w:sz w:val="24"/>
                <w:szCs w:val="24"/>
              </w:rPr>
              <w:fldChar w:fldCharType="separate"/>
            </w:r>
            <w:r w:rsidR="00572D40" w:rsidRPr="00A94262">
              <w:rPr>
                <w:rFonts w:ascii="Arial" w:hAnsi="Arial" w:cs="Arial"/>
                <w:noProof/>
                <w:webHidden/>
                <w:sz w:val="24"/>
                <w:szCs w:val="24"/>
              </w:rPr>
              <w:t>7</w:t>
            </w:r>
            <w:r w:rsidR="00572D40" w:rsidRPr="00A94262">
              <w:rPr>
                <w:rFonts w:ascii="Arial" w:hAnsi="Arial" w:cs="Arial"/>
                <w:noProof/>
                <w:webHidden/>
                <w:sz w:val="24"/>
                <w:szCs w:val="24"/>
              </w:rPr>
              <w:fldChar w:fldCharType="end"/>
            </w:r>
          </w:hyperlink>
        </w:p>
        <w:p w14:paraId="31295AFF" w14:textId="70858D3C" w:rsidR="00572D40" w:rsidRPr="00A94262" w:rsidRDefault="0099192A">
          <w:pPr>
            <w:pStyle w:val="TDC1"/>
            <w:tabs>
              <w:tab w:val="right" w:leader="dot" w:pos="8494"/>
            </w:tabs>
            <w:ind w:left="0" w:hanging="2"/>
            <w:rPr>
              <w:rFonts w:ascii="Arial" w:eastAsiaTheme="minorEastAsia" w:hAnsi="Arial" w:cs="Arial"/>
              <w:noProof/>
              <w:position w:val="0"/>
              <w:sz w:val="24"/>
              <w:szCs w:val="24"/>
              <w:lang w:eastAsia="es-PY"/>
            </w:rPr>
          </w:pPr>
          <w:hyperlink w:anchor="_Toc211418453" w:history="1">
            <w:r w:rsidR="00572D40" w:rsidRPr="00A94262">
              <w:rPr>
                <w:rStyle w:val="Hipervnculo"/>
                <w:rFonts w:ascii="Arial" w:eastAsia="Arial" w:hAnsi="Arial" w:cs="Arial"/>
                <w:noProof/>
                <w:sz w:val="24"/>
                <w:szCs w:val="24"/>
              </w:rPr>
              <w:t>6. Listado de laboratorios de referencia autorizados por la DINAVISA</w:t>
            </w:r>
            <w:r w:rsidR="00572D40" w:rsidRPr="00A94262">
              <w:rPr>
                <w:rFonts w:ascii="Arial" w:hAnsi="Arial" w:cs="Arial"/>
                <w:noProof/>
                <w:webHidden/>
                <w:sz w:val="24"/>
                <w:szCs w:val="24"/>
              </w:rPr>
              <w:tab/>
            </w:r>
            <w:r w:rsidR="00572D40" w:rsidRPr="00A94262">
              <w:rPr>
                <w:rFonts w:ascii="Arial" w:hAnsi="Arial" w:cs="Arial"/>
                <w:noProof/>
                <w:webHidden/>
                <w:sz w:val="24"/>
                <w:szCs w:val="24"/>
              </w:rPr>
              <w:fldChar w:fldCharType="begin"/>
            </w:r>
            <w:r w:rsidR="00572D40" w:rsidRPr="00A94262">
              <w:rPr>
                <w:rFonts w:ascii="Arial" w:hAnsi="Arial" w:cs="Arial"/>
                <w:noProof/>
                <w:webHidden/>
                <w:sz w:val="24"/>
                <w:szCs w:val="24"/>
              </w:rPr>
              <w:instrText xml:space="preserve"> PAGEREF _Toc211418453 \h </w:instrText>
            </w:r>
            <w:r w:rsidR="00572D40" w:rsidRPr="00A94262">
              <w:rPr>
                <w:rFonts w:ascii="Arial" w:hAnsi="Arial" w:cs="Arial"/>
                <w:noProof/>
                <w:webHidden/>
                <w:sz w:val="24"/>
                <w:szCs w:val="24"/>
              </w:rPr>
            </w:r>
            <w:r w:rsidR="00572D40" w:rsidRPr="00A94262">
              <w:rPr>
                <w:rFonts w:ascii="Arial" w:hAnsi="Arial" w:cs="Arial"/>
                <w:noProof/>
                <w:webHidden/>
                <w:sz w:val="24"/>
                <w:szCs w:val="24"/>
              </w:rPr>
              <w:fldChar w:fldCharType="separate"/>
            </w:r>
            <w:r w:rsidR="00572D40" w:rsidRPr="00A94262">
              <w:rPr>
                <w:rFonts w:ascii="Arial" w:hAnsi="Arial" w:cs="Arial"/>
                <w:noProof/>
                <w:webHidden/>
                <w:sz w:val="24"/>
                <w:szCs w:val="24"/>
              </w:rPr>
              <w:t>7</w:t>
            </w:r>
            <w:r w:rsidR="00572D40" w:rsidRPr="00A94262">
              <w:rPr>
                <w:rFonts w:ascii="Arial" w:hAnsi="Arial" w:cs="Arial"/>
                <w:noProof/>
                <w:webHidden/>
                <w:sz w:val="24"/>
                <w:szCs w:val="24"/>
              </w:rPr>
              <w:fldChar w:fldCharType="end"/>
            </w:r>
          </w:hyperlink>
        </w:p>
        <w:p w14:paraId="7A4B5333" w14:textId="379EEC9B" w:rsidR="00572D40" w:rsidRPr="00A94262" w:rsidRDefault="00572D40">
          <w:pPr>
            <w:rPr>
              <w:rFonts w:ascii="Arial" w:hAnsi="Arial" w:cs="Arial"/>
              <w:sz w:val="24"/>
              <w:szCs w:val="24"/>
            </w:rPr>
          </w:pPr>
          <w:r w:rsidRPr="00A94262">
            <w:rPr>
              <w:rFonts w:ascii="Arial" w:hAnsi="Arial" w:cs="Arial"/>
              <w:b/>
              <w:bCs/>
              <w:sz w:val="24"/>
              <w:szCs w:val="24"/>
              <w:lang w:val="es-ES"/>
            </w:rPr>
            <w:fldChar w:fldCharType="end"/>
          </w:r>
        </w:p>
      </w:sdtContent>
    </w:sdt>
    <w:p w14:paraId="4B236DB1" w14:textId="77777777" w:rsidR="005022D3" w:rsidRPr="00A94262" w:rsidRDefault="005022D3">
      <w:pPr>
        <w:rPr>
          <w:rFonts w:ascii="Arial" w:eastAsia="Arial" w:hAnsi="Arial" w:cs="Arial"/>
          <w:sz w:val="24"/>
          <w:szCs w:val="24"/>
        </w:rPr>
      </w:pPr>
    </w:p>
    <w:p w14:paraId="4B236DB2" w14:textId="77777777" w:rsidR="005022D3" w:rsidRPr="00A94262" w:rsidRDefault="005022D3">
      <w:pPr>
        <w:keepNext/>
        <w:pBdr>
          <w:top w:val="nil"/>
          <w:left w:val="nil"/>
          <w:bottom w:val="nil"/>
          <w:right w:val="nil"/>
          <w:between w:val="nil"/>
        </w:pBdr>
        <w:spacing w:before="240" w:after="60"/>
        <w:rPr>
          <w:rFonts w:ascii="Arial" w:eastAsia="Arial" w:hAnsi="Arial" w:cs="Arial"/>
          <w:b/>
          <w:color w:val="000000"/>
          <w:sz w:val="24"/>
          <w:szCs w:val="24"/>
        </w:rPr>
      </w:pPr>
    </w:p>
    <w:p w14:paraId="4B236DB3" w14:textId="77777777" w:rsidR="005022D3" w:rsidRPr="00A94262" w:rsidRDefault="005022D3">
      <w:pPr>
        <w:rPr>
          <w:rFonts w:ascii="Arial" w:eastAsia="Arial" w:hAnsi="Arial" w:cs="Arial"/>
          <w:sz w:val="24"/>
          <w:szCs w:val="24"/>
        </w:rPr>
      </w:pPr>
    </w:p>
    <w:p w14:paraId="4B236DB4" w14:textId="77777777" w:rsidR="005022D3" w:rsidRPr="00A94262" w:rsidRDefault="005022D3">
      <w:pPr>
        <w:rPr>
          <w:rFonts w:ascii="Arial" w:eastAsia="Arial" w:hAnsi="Arial" w:cs="Arial"/>
          <w:sz w:val="24"/>
          <w:szCs w:val="24"/>
        </w:rPr>
      </w:pPr>
    </w:p>
    <w:p w14:paraId="4B236DB5" w14:textId="77777777" w:rsidR="005022D3" w:rsidRPr="00A94262" w:rsidRDefault="005022D3">
      <w:pPr>
        <w:rPr>
          <w:rFonts w:ascii="Arial" w:eastAsia="Arial" w:hAnsi="Arial" w:cs="Arial"/>
          <w:sz w:val="24"/>
          <w:szCs w:val="24"/>
        </w:rPr>
      </w:pPr>
    </w:p>
    <w:p w14:paraId="4B236DB6" w14:textId="77777777" w:rsidR="005022D3" w:rsidRPr="00A94262" w:rsidRDefault="005022D3">
      <w:pPr>
        <w:rPr>
          <w:rFonts w:ascii="Arial" w:eastAsia="Arial" w:hAnsi="Arial" w:cs="Arial"/>
          <w:sz w:val="24"/>
          <w:szCs w:val="24"/>
        </w:rPr>
      </w:pPr>
    </w:p>
    <w:p w14:paraId="4B236DB7" w14:textId="77777777" w:rsidR="005022D3" w:rsidRPr="00A94262" w:rsidRDefault="005022D3">
      <w:pPr>
        <w:rPr>
          <w:rFonts w:ascii="Arial" w:eastAsia="Arial" w:hAnsi="Arial" w:cs="Arial"/>
          <w:sz w:val="24"/>
          <w:szCs w:val="24"/>
        </w:rPr>
      </w:pPr>
    </w:p>
    <w:p w14:paraId="4B236DB8" w14:textId="77777777" w:rsidR="005022D3" w:rsidRPr="00A94262" w:rsidRDefault="005022D3">
      <w:pPr>
        <w:rPr>
          <w:rFonts w:ascii="Arial" w:eastAsia="Arial" w:hAnsi="Arial" w:cs="Arial"/>
          <w:sz w:val="24"/>
          <w:szCs w:val="24"/>
        </w:rPr>
      </w:pPr>
    </w:p>
    <w:p w14:paraId="4B236DB9" w14:textId="0E623BFE" w:rsidR="005022D3" w:rsidRPr="00A94262" w:rsidRDefault="005022D3">
      <w:pPr>
        <w:rPr>
          <w:rFonts w:ascii="Arial" w:eastAsia="Arial" w:hAnsi="Arial" w:cs="Arial"/>
          <w:sz w:val="24"/>
          <w:szCs w:val="24"/>
        </w:rPr>
      </w:pPr>
    </w:p>
    <w:p w14:paraId="69A44986" w14:textId="6CE776FD" w:rsidR="004C73A3" w:rsidRPr="00A94262" w:rsidRDefault="004C73A3">
      <w:pPr>
        <w:rPr>
          <w:rFonts w:ascii="Arial" w:eastAsia="Arial" w:hAnsi="Arial" w:cs="Arial"/>
          <w:sz w:val="24"/>
          <w:szCs w:val="24"/>
        </w:rPr>
      </w:pPr>
    </w:p>
    <w:p w14:paraId="4B236DBA" w14:textId="2DE988CE" w:rsidR="005022D3" w:rsidRPr="00A94262" w:rsidRDefault="005022D3">
      <w:pPr>
        <w:rPr>
          <w:rFonts w:ascii="Arial" w:eastAsia="Arial" w:hAnsi="Arial" w:cs="Arial"/>
          <w:sz w:val="24"/>
          <w:szCs w:val="24"/>
        </w:rPr>
      </w:pPr>
    </w:p>
    <w:p w14:paraId="733223E5" w14:textId="6597F8F5" w:rsidR="00A94262" w:rsidRPr="00A94262" w:rsidRDefault="00A94262">
      <w:pPr>
        <w:rPr>
          <w:rFonts w:ascii="Arial" w:eastAsia="Arial" w:hAnsi="Arial" w:cs="Arial"/>
          <w:sz w:val="24"/>
          <w:szCs w:val="24"/>
        </w:rPr>
      </w:pPr>
    </w:p>
    <w:p w14:paraId="1236B715" w14:textId="581A5F91" w:rsidR="00A94262" w:rsidRPr="00A94262" w:rsidRDefault="00A94262">
      <w:pPr>
        <w:rPr>
          <w:rFonts w:ascii="Arial" w:eastAsia="Arial" w:hAnsi="Arial" w:cs="Arial"/>
          <w:sz w:val="24"/>
          <w:szCs w:val="24"/>
        </w:rPr>
      </w:pPr>
    </w:p>
    <w:p w14:paraId="06D12DB3" w14:textId="21D2CE59" w:rsidR="00A94262" w:rsidRPr="00A94262" w:rsidRDefault="00A94262">
      <w:pPr>
        <w:rPr>
          <w:rFonts w:ascii="Arial" w:eastAsia="Arial" w:hAnsi="Arial" w:cs="Arial"/>
          <w:sz w:val="24"/>
          <w:szCs w:val="24"/>
        </w:rPr>
      </w:pPr>
    </w:p>
    <w:p w14:paraId="2F3F853F" w14:textId="39B7D5EB" w:rsidR="00A94262" w:rsidRPr="00A94262" w:rsidRDefault="00A94262" w:rsidP="00A94262">
      <w:pPr>
        <w:pStyle w:val="Prrafodelista"/>
        <w:keepNext/>
        <w:numPr>
          <w:ilvl w:val="0"/>
          <w:numId w:val="4"/>
        </w:numPr>
        <w:pBdr>
          <w:top w:val="nil"/>
          <w:left w:val="nil"/>
          <w:bottom w:val="nil"/>
          <w:right w:val="nil"/>
          <w:between w:val="nil"/>
        </w:pBdr>
        <w:spacing w:after="0"/>
        <w:jc w:val="both"/>
        <w:rPr>
          <w:rFonts w:ascii="Arial" w:eastAsia="Arial" w:hAnsi="Arial" w:cs="Arial"/>
          <w:b/>
          <w:sz w:val="24"/>
          <w:szCs w:val="24"/>
        </w:rPr>
      </w:pPr>
      <w:r w:rsidRPr="00A94262">
        <w:rPr>
          <w:rFonts w:ascii="Arial" w:eastAsia="Arial" w:hAnsi="Arial" w:cs="Arial"/>
          <w:b/>
          <w:sz w:val="24"/>
          <w:szCs w:val="24"/>
        </w:rPr>
        <w:t>Introducción</w:t>
      </w:r>
      <w:r w:rsidRPr="00A94262">
        <w:rPr>
          <w:rFonts w:ascii="Arial" w:eastAsia="Arial" w:hAnsi="Arial" w:cs="Arial"/>
          <w:b/>
          <w:sz w:val="24"/>
          <w:szCs w:val="24"/>
        </w:rPr>
        <w:t>.</w:t>
      </w:r>
    </w:p>
    <w:p w14:paraId="3CEF0C4E" w14:textId="77777777" w:rsidR="00A94262" w:rsidRPr="00A94262" w:rsidRDefault="00A94262" w:rsidP="00A94262">
      <w:pPr>
        <w:pStyle w:val="Prrafodelista"/>
        <w:keepNext/>
        <w:pBdr>
          <w:top w:val="nil"/>
          <w:left w:val="nil"/>
          <w:bottom w:val="nil"/>
          <w:right w:val="nil"/>
          <w:between w:val="nil"/>
        </w:pBdr>
        <w:spacing w:after="0"/>
        <w:jc w:val="both"/>
        <w:rPr>
          <w:rFonts w:ascii="Arial" w:eastAsia="Arial" w:hAnsi="Arial" w:cs="Arial"/>
          <w:sz w:val="24"/>
          <w:szCs w:val="24"/>
        </w:rPr>
      </w:pPr>
    </w:p>
    <w:p w14:paraId="32E79AD4"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 xml:space="preserve">El acceso a agua potable de calidad es un derecho humano fundamental y un factor determinante para la salud y el bienestar de las personas. El presente Plan de Control Sanitario del Agua Potable busca garantizar que el agua utilizada en los establecimientos alimentarios cumpla con los requisitos establecidos en la reglamentación vigente y sea segura para el consumo humano. </w:t>
      </w:r>
    </w:p>
    <w:p w14:paraId="7A2B81CA"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721F2D39"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A través de un sistema de gestión integral, se busca prevenir enfermedades transmitidas por el agua, proteger la salud pública y promover el desarrollo sostenible. Cabe mencionar que las enfermedades transmitidas por alimentos (ETA) constituyen una importante causa que afecta la salud en la población y se generan por el consumo de alimentos incluyendo el uso de agua contaminada.</w:t>
      </w:r>
    </w:p>
    <w:p w14:paraId="3116D3E0"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53CB0F11"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La causa principal, se relaciona con la inadecuada manipulación de los alimentos, ya sea, por déficit durante el proceso de producción, almacenamiento, distribución o consumo de los alimentos, así como el uso de materias primas no aptas para su consumo.</w:t>
      </w:r>
    </w:p>
    <w:p w14:paraId="300DDF16"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1F3415A7"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 xml:space="preserve">El agua es sin duda una de las materias primas más utilizadas en la industria alimentaria y, dado que en muchos de los procesos puede entrar en contacto con los alimentos, debemos controlar su uso y éste debe ser específico para cada establecimiento, de acuerdo con las necesidades higiénicas, los procesos de producción, el tipo de alimento y los peligros relacionados. El agua utilizada en la industria alimentaria, en los procesos de fabricación, tratamiento, conservación y comercialización de alimentos, o la utilizada para la limpieza de superficies, equipos y materiales que puedan estar en contacto con los alimentos, debe cumplir con los requisitos mínimos de inocuidad y aptitud. </w:t>
      </w:r>
    </w:p>
    <w:p w14:paraId="2C2F6629"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316EF91B"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La inocuidad y calidad de los alimentos son imprescindibles para la salud pública y el desarrollo económico. Este plan abarca el control de los procesos, desde la captación del agua hasta el suministro final al usuario, incluyendo el monitoreo continuo de la calidad del agua y la implementación de medidas correctivas en caso de detectar alguna desviación de los parámetros establecidos.</w:t>
      </w:r>
    </w:p>
    <w:p w14:paraId="4830FD99" w14:textId="77777777" w:rsid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09573BDB" w14:textId="3F4B560D" w:rsidR="00A94262" w:rsidRPr="00A94262" w:rsidRDefault="00A94262" w:rsidP="00A94262">
      <w:pPr>
        <w:pStyle w:val="Prrafodelista"/>
        <w:keepNext/>
        <w:numPr>
          <w:ilvl w:val="0"/>
          <w:numId w:val="4"/>
        </w:numPr>
        <w:pBdr>
          <w:top w:val="nil"/>
          <w:left w:val="nil"/>
          <w:bottom w:val="nil"/>
          <w:right w:val="nil"/>
          <w:between w:val="nil"/>
        </w:pBdr>
        <w:spacing w:after="0"/>
        <w:jc w:val="both"/>
        <w:rPr>
          <w:rFonts w:ascii="Arial" w:eastAsia="Arial" w:hAnsi="Arial" w:cs="Arial"/>
          <w:b/>
          <w:sz w:val="24"/>
          <w:szCs w:val="24"/>
        </w:rPr>
      </w:pPr>
      <w:r w:rsidRPr="00A94262">
        <w:rPr>
          <w:rFonts w:ascii="Arial" w:eastAsia="Arial" w:hAnsi="Arial" w:cs="Arial"/>
          <w:b/>
          <w:sz w:val="24"/>
          <w:szCs w:val="24"/>
        </w:rPr>
        <w:t>Objetivo General</w:t>
      </w:r>
    </w:p>
    <w:p w14:paraId="729FF920" w14:textId="5C877D20" w:rsid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Establecer un sistema de gestión integral de la calidad del agua que permita garantizar la seguridad y salubridad del suministro, a través de la prevención y</w:t>
      </w:r>
      <w:r>
        <w:rPr>
          <w:rFonts w:ascii="Arial" w:eastAsia="Arial" w:hAnsi="Arial" w:cs="Arial"/>
          <w:sz w:val="24"/>
          <w:szCs w:val="24"/>
        </w:rPr>
        <w:t xml:space="preserve"> </w:t>
      </w:r>
      <w:r w:rsidRPr="00A94262">
        <w:rPr>
          <w:rFonts w:ascii="Arial" w:eastAsia="Arial" w:hAnsi="Arial" w:cs="Arial"/>
          <w:sz w:val="24"/>
          <w:szCs w:val="24"/>
        </w:rPr>
        <w:t xml:space="preserve">detección de riesgos, desarrollando opciones efectivas de gestión de riesgos que aseguren el uso de agua potable y la disponibilidad de alimentos inocuos. </w:t>
      </w:r>
    </w:p>
    <w:p w14:paraId="64FC98DA"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7E254625" w14:textId="07494582" w:rsidR="00A94262" w:rsidRPr="00A94262" w:rsidRDefault="00A94262" w:rsidP="00A94262">
      <w:pPr>
        <w:pStyle w:val="Prrafodelista"/>
        <w:keepNext/>
        <w:numPr>
          <w:ilvl w:val="0"/>
          <w:numId w:val="4"/>
        </w:numPr>
        <w:pBdr>
          <w:top w:val="nil"/>
          <w:left w:val="nil"/>
          <w:bottom w:val="nil"/>
          <w:right w:val="nil"/>
          <w:between w:val="nil"/>
        </w:pBdr>
        <w:spacing w:after="0"/>
        <w:jc w:val="both"/>
        <w:rPr>
          <w:rFonts w:ascii="Arial" w:eastAsia="Arial" w:hAnsi="Arial" w:cs="Arial"/>
          <w:b/>
          <w:sz w:val="24"/>
          <w:szCs w:val="24"/>
        </w:rPr>
      </w:pPr>
      <w:r w:rsidRPr="00A94262">
        <w:rPr>
          <w:rFonts w:ascii="Arial" w:eastAsia="Arial" w:hAnsi="Arial" w:cs="Arial"/>
          <w:b/>
          <w:sz w:val="24"/>
          <w:szCs w:val="24"/>
        </w:rPr>
        <w:t>Objetivos específicos</w:t>
      </w:r>
    </w:p>
    <w:p w14:paraId="7700EDA7"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Segoe UI Emoji" w:eastAsia="Arial" w:hAnsi="Segoe UI Emoji" w:cs="Segoe UI Emoji"/>
          <w:sz w:val="24"/>
          <w:szCs w:val="24"/>
        </w:rPr>
        <w:t>✔</w:t>
      </w:r>
      <w:r w:rsidRPr="00A94262">
        <w:rPr>
          <w:rFonts w:ascii="Arial" w:eastAsia="Arial" w:hAnsi="Arial" w:cs="Arial"/>
          <w:sz w:val="24"/>
          <w:szCs w:val="24"/>
        </w:rPr>
        <w:tab/>
        <w:t>Supervisar el uso de agua potable en los establecimientos alimentarios, a través del monitoreo basado en la evaluación de riesgos.</w:t>
      </w:r>
    </w:p>
    <w:p w14:paraId="79AA1561"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0D0311DE"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Segoe UI Emoji" w:eastAsia="Arial" w:hAnsi="Segoe UI Emoji" w:cs="Segoe UI Emoji"/>
          <w:sz w:val="24"/>
          <w:szCs w:val="24"/>
        </w:rPr>
        <w:t>✔</w:t>
      </w:r>
      <w:r w:rsidRPr="00A94262">
        <w:rPr>
          <w:rFonts w:ascii="Arial" w:eastAsia="Arial" w:hAnsi="Arial" w:cs="Arial"/>
          <w:sz w:val="24"/>
          <w:szCs w:val="24"/>
        </w:rPr>
        <w:tab/>
        <w:t>Establecer un programa de acciones que garantice que el agua utilizada en el procesamiento de alimentos, cumpla con las normativas vigentes, a través de un proceso de monitoreo adecuado.</w:t>
      </w:r>
    </w:p>
    <w:p w14:paraId="49D12D37"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78C08054"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Segoe UI Emoji" w:eastAsia="Arial" w:hAnsi="Segoe UI Emoji" w:cs="Segoe UI Emoji"/>
          <w:sz w:val="24"/>
          <w:szCs w:val="24"/>
        </w:rPr>
        <w:t>✔</w:t>
      </w:r>
      <w:r w:rsidRPr="00A94262">
        <w:rPr>
          <w:rFonts w:ascii="Arial" w:eastAsia="Arial" w:hAnsi="Arial" w:cs="Arial"/>
          <w:sz w:val="24"/>
          <w:szCs w:val="24"/>
        </w:rPr>
        <w:tab/>
        <w:t>Asegurar que los establecimientos alimentarios realicen sus actividades en condiciones generales adecuadas y cumpliendo con las normativas sanitarias.</w:t>
      </w:r>
    </w:p>
    <w:p w14:paraId="0C07FF32"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29D5CB33"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Segoe UI Emoji" w:eastAsia="Arial" w:hAnsi="Segoe UI Emoji" w:cs="Segoe UI Emoji"/>
          <w:sz w:val="24"/>
          <w:szCs w:val="24"/>
        </w:rPr>
        <w:t>✔</w:t>
      </w:r>
      <w:r w:rsidRPr="00A94262">
        <w:rPr>
          <w:rFonts w:ascii="Arial" w:eastAsia="Arial" w:hAnsi="Arial" w:cs="Arial"/>
          <w:sz w:val="24"/>
          <w:szCs w:val="24"/>
        </w:rPr>
        <w:tab/>
        <w:t>Establecer criterios para resolver las no conformidades identificadas en los resultados de los laboratorios, mediante la implementación de medidas correctivas y su posterior verificación.</w:t>
      </w:r>
    </w:p>
    <w:p w14:paraId="09E1398C"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2069776B"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Segoe UI Emoji" w:eastAsia="Arial" w:hAnsi="Segoe UI Emoji" w:cs="Segoe UI Emoji"/>
          <w:sz w:val="24"/>
          <w:szCs w:val="24"/>
        </w:rPr>
        <w:t>✔</w:t>
      </w:r>
      <w:r w:rsidRPr="00A94262">
        <w:rPr>
          <w:rFonts w:ascii="Arial" w:eastAsia="Arial" w:hAnsi="Arial" w:cs="Arial"/>
          <w:sz w:val="24"/>
          <w:szCs w:val="24"/>
        </w:rPr>
        <w:tab/>
        <w:t>Promover la colaboración entre las instituciones oficiales y el sector privado.</w:t>
      </w:r>
    </w:p>
    <w:p w14:paraId="06A37F65" w14:textId="77777777" w:rsid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09170942" w14:textId="44350135" w:rsidR="00A94262" w:rsidRPr="00A94262" w:rsidRDefault="00A94262" w:rsidP="00A94262">
      <w:pPr>
        <w:pStyle w:val="Prrafodelista"/>
        <w:keepNext/>
        <w:numPr>
          <w:ilvl w:val="0"/>
          <w:numId w:val="4"/>
        </w:numPr>
        <w:pBdr>
          <w:top w:val="nil"/>
          <w:left w:val="nil"/>
          <w:bottom w:val="nil"/>
          <w:right w:val="nil"/>
          <w:between w:val="nil"/>
        </w:pBdr>
        <w:spacing w:after="0"/>
        <w:jc w:val="both"/>
        <w:rPr>
          <w:rFonts w:ascii="Arial" w:eastAsia="Arial" w:hAnsi="Arial" w:cs="Arial"/>
          <w:b/>
          <w:sz w:val="24"/>
          <w:szCs w:val="24"/>
        </w:rPr>
      </w:pPr>
      <w:r w:rsidRPr="00A94262">
        <w:rPr>
          <w:rFonts w:ascii="Arial" w:eastAsia="Arial" w:hAnsi="Arial" w:cs="Arial"/>
          <w:b/>
          <w:sz w:val="24"/>
          <w:szCs w:val="24"/>
        </w:rPr>
        <w:t>Alcance</w:t>
      </w:r>
    </w:p>
    <w:p w14:paraId="53CAE418"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Aplica a todos los sistemas y procesos relacionados con el agua utilizada por los establecimientos alimentarios de competencia de la DINAVISA, que utilicen el agua para:</w:t>
      </w:r>
    </w:p>
    <w:p w14:paraId="299D529F"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137778CD"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 xml:space="preserve">a) Consumo humano directo. </w:t>
      </w:r>
    </w:p>
    <w:p w14:paraId="69621E8C"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b) Preparación de alimentos y bebidas, incluyendo ingredientes, lavado de equipos y utensilios, enjuague, entre otros.</w:t>
      </w:r>
    </w:p>
    <w:p w14:paraId="743AC509"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c) Procesamiento de alimentos, desde la recepción de materias primas hasta el envasado y almacenamiento del producto terminado.</w:t>
      </w:r>
    </w:p>
    <w:p w14:paraId="0DA5E4DB"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d) Fuente de captación propia de los establecimientos alimentarios, incluyendo la potabilización, almacenamiento, distribución y consumo</w:t>
      </w:r>
    </w:p>
    <w:p w14:paraId="73DEEC20" w14:textId="77777777" w:rsid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30495F54" w14:textId="61D1079A" w:rsidR="00A94262" w:rsidRPr="00A94262" w:rsidRDefault="00A94262" w:rsidP="00A94262">
      <w:pPr>
        <w:pStyle w:val="Prrafodelista"/>
        <w:keepNext/>
        <w:numPr>
          <w:ilvl w:val="0"/>
          <w:numId w:val="4"/>
        </w:numPr>
        <w:pBdr>
          <w:top w:val="nil"/>
          <w:left w:val="nil"/>
          <w:bottom w:val="nil"/>
          <w:right w:val="nil"/>
          <w:between w:val="nil"/>
        </w:pBdr>
        <w:spacing w:after="0"/>
        <w:jc w:val="both"/>
        <w:rPr>
          <w:rFonts w:ascii="Arial" w:eastAsia="Arial" w:hAnsi="Arial" w:cs="Arial"/>
          <w:b/>
          <w:sz w:val="24"/>
          <w:szCs w:val="24"/>
        </w:rPr>
      </w:pPr>
      <w:r w:rsidRPr="00A94262">
        <w:rPr>
          <w:rFonts w:ascii="Arial" w:eastAsia="Arial" w:hAnsi="Arial" w:cs="Arial"/>
          <w:b/>
          <w:sz w:val="24"/>
          <w:szCs w:val="24"/>
        </w:rPr>
        <w:t>Criterios técnicos</w:t>
      </w:r>
    </w:p>
    <w:p w14:paraId="2675B443" w14:textId="77777777" w:rsid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09DAF515" w14:textId="2B1D84A0" w:rsidR="00A94262" w:rsidRPr="00A94262" w:rsidRDefault="00A94262" w:rsidP="00A94262">
      <w:pPr>
        <w:keepNext/>
        <w:pBdr>
          <w:top w:val="nil"/>
          <w:left w:val="nil"/>
          <w:bottom w:val="nil"/>
          <w:right w:val="nil"/>
          <w:between w:val="nil"/>
        </w:pBdr>
        <w:spacing w:after="0"/>
        <w:jc w:val="both"/>
        <w:rPr>
          <w:rFonts w:ascii="Arial" w:eastAsia="Arial" w:hAnsi="Arial" w:cs="Arial"/>
          <w:b/>
          <w:sz w:val="24"/>
          <w:szCs w:val="24"/>
        </w:rPr>
      </w:pPr>
      <w:r w:rsidRPr="00A94262">
        <w:rPr>
          <w:rFonts w:ascii="Arial" w:eastAsia="Arial" w:hAnsi="Arial" w:cs="Arial"/>
          <w:b/>
          <w:sz w:val="24"/>
          <w:szCs w:val="24"/>
        </w:rPr>
        <w:t>5.1 Enfoque</w:t>
      </w:r>
    </w:p>
    <w:p w14:paraId="2FF8D8C2"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Para llevar a cabo el monitoreo, es fundamental identificar el tipo de establecimiento alimentario a ser monitoreado, así como los factores de riesgos asociados a los procesos y alimentos que allí se elaboran. Este enfoque permite una evaluación más efectiva y centrada en las áreas críticas que pueden afectar la inocuidad, la calidad y la conformidad del uso de agua potable.</w:t>
      </w:r>
    </w:p>
    <w:p w14:paraId="78A051CE"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396F490B"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El monitoreo, en este contexto, es una herramienta para prevenir riesgos y asegurar que los consumidores tengan acceso a alimentos seguros y de calidad.</w:t>
      </w:r>
    </w:p>
    <w:p w14:paraId="36E21F90" w14:textId="77777777" w:rsidR="00A94262" w:rsidRDefault="00A94262" w:rsidP="00A94262">
      <w:pPr>
        <w:keepNext/>
        <w:pBdr>
          <w:top w:val="nil"/>
          <w:left w:val="nil"/>
          <w:bottom w:val="nil"/>
          <w:right w:val="nil"/>
          <w:between w:val="nil"/>
        </w:pBdr>
        <w:spacing w:after="0"/>
        <w:jc w:val="both"/>
        <w:rPr>
          <w:rFonts w:ascii="Arial" w:eastAsia="Arial" w:hAnsi="Arial" w:cs="Arial"/>
          <w:b/>
          <w:sz w:val="24"/>
          <w:szCs w:val="24"/>
        </w:rPr>
      </w:pPr>
    </w:p>
    <w:p w14:paraId="7D51F28D" w14:textId="0C91226B" w:rsidR="00A94262" w:rsidRPr="00A94262" w:rsidRDefault="00A94262" w:rsidP="00A94262">
      <w:pPr>
        <w:keepNext/>
        <w:pBdr>
          <w:top w:val="nil"/>
          <w:left w:val="nil"/>
          <w:bottom w:val="nil"/>
          <w:right w:val="nil"/>
          <w:between w:val="nil"/>
        </w:pBdr>
        <w:spacing w:after="0"/>
        <w:jc w:val="both"/>
        <w:rPr>
          <w:rFonts w:ascii="Arial" w:eastAsia="Arial" w:hAnsi="Arial" w:cs="Arial"/>
          <w:b/>
          <w:sz w:val="24"/>
          <w:szCs w:val="24"/>
        </w:rPr>
      </w:pPr>
      <w:r w:rsidRPr="00A94262">
        <w:rPr>
          <w:rFonts w:ascii="Arial" w:eastAsia="Arial" w:hAnsi="Arial" w:cs="Arial"/>
          <w:b/>
          <w:sz w:val="24"/>
          <w:szCs w:val="24"/>
        </w:rPr>
        <w:t>5.2 Técnicas para el monitoreo</w:t>
      </w:r>
    </w:p>
    <w:p w14:paraId="4BD2F6F8"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Los controles en el marco del Plan de Control Sanitario de Agua Potable en establecimientos alimentarios se enfocarán en:</w:t>
      </w:r>
    </w:p>
    <w:p w14:paraId="775969B9"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3C39D20C"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a)</w:t>
      </w:r>
      <w:r w:rsidRPr="00A94262">
        <w:rPr>
          <w:rFonts w:ascii="Arial" w:eastAsia="Arial" w:hAnsi="Arial" w:cs="Arial"/>
          <w:sz w:val="24"/>
          <w:szCs w:val="24"/>
        </w:rPr>
        <w:tab/>
        <w:t>La fuente de suministro del agua: red pública, captación propia (subterránea o superficial), entre otros en el marco de la competencia de la DINAVISA.</w:t>
      </w:r>
    </w:p>
    <w:p w14:paraId="113BE94F"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b)</w:t>
      </w:r>
      <w:r w:rsidRPr="00A94262">
        <w:rPr>
          <w:rFonts w:ascii="Arial" w:eastAsia="Arial" w:hAnsi="Arial" w:cs="Arial"/>
          <w:sz w:val="24"/>
          <w:szCs w:val="24"/>
        </w:rPr>
        <w:tab/>
        <w:t>Las instalaciones de distribución, y almacenamiento del agua del establecimiento alimentario (depósitos, conducciones, bombas, tanques de agua, entre otros).</w:t>
      </w:r>
    </w:p>
    <w:p w14:paraId="42723219"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c)</w:t>
      </w:r>
      <w:r w:rsidRPr="00A94262">
        <w:rPr>
          <w:rFonts w:ascii="Arial" w:eastAsia="Arial" w:hAnsi="Arial" w:cs="Arial"/>
          <w:sz w:val="24"/>
          <w:szCs w:val="24"/>
        </w:rPr>
        <w:tab/>
        <w:t>Los tipos de tratamientos que se realizan en el establecimiento alimentario (cloración, ozonización, filtración, descalcificación, entre otros), incluyendo el método y los equipos, así como sustancias utilizadas, dosificación u otra información complementaria que sea requerida al momento del control.</w:t>
      </w:r>
    </w:p>
    <w:p w14:paraId="31F8BDFA"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d)</w:t>
      </w:r>
      <w:r w:rsidRPr="00A94262">
        <w:rPr>
          <w:rFonts w:ascii="Arial" w:eastAsia="Arial" w:hAnsi="Arial" w:cs="Arial"/>
          <w:sz w:val="24"/>
          <w:szCs w:val="24"/>
        </w:rPr>
        <w:tab/>
        <w:t xml:space="preserve">Las operaciones de mantenimiento y limpieza de las instalaciones y los equipos de tratamiento. </w:t>
      </w:r>
    </w:p>
    <w:p w14:paraId="2E9CF1F1"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e)</w:t>
      </w:r>
      <w:r w:rsidRPr="00A94262">
        <w:rPr>
          <w:rFonts w:ascii="Arial" w:eastAsia="Arial" w:hAnsi="Arial" w:cs="Arial"/>
          <w:sz w:val="24"/>
          <w:szCs w:val="24"/>
        </w:rPr>
        <w:tab/>
        <w:t xml:space="preserve">Las actividades de control interno que permita identificar el uso de agua potable. </w:t>
      </w:r>
    </w:p>
    <w:p w14:paraId="55FA8763"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f)</w:t>
      </w:r>
      <w:r w:rsidRPr="00A94262">
        <w:rPr>
          <w:rFonts w:ascii="Arial" w:eastAsia="Arial" w:hAnsi="Arial" w:cs="Arial"/>
          <w:sz w:val="24"/>
          <w:szCs w:val="24"/>
        </w:rPr>
        <w:tab/>
        <w:t xml:space="preserve">Registros de control (análisis de potabilidad). </w:t>
      </w:r>
    </w:p>
    <w:p w14:paraId="0728BCD5"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g)</w:t>
      </w:r>
      <w:r w:rsidRPr="00A94262">
        <w:rPr>
          <w:rFonts w:ascii="Arial" w:eastAsia="Arial" w:hAnsi="Arial" w:cs="Arial"/>
          <w:sz w:val="24"/>
          <w:szCs w:val="24"/>
        </w:rPr>
        <w:tab/>
        <w:t>Toda información que la DINAVISA considere relevante.</w:t>
      </w:r>
    </w:p>
    <w:p w14:paraId="40E0DF04"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0DD879AB"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El inspector planificará el monitoreo de manera más eficaz, enfocándose en las áreas de mayor riesgo y asegurando una evaluación exhaustiva, a través de la observancia de los procesos y procedimientos que se utilizan en el establecimiento alimentario, prestando especial atención a aquellos que puedan incidir negativamente en el uso de agua no potable, debiéndose verificar:</w:t>
      </w:r>
    </w:p>
    <w:p w14:paraId="44C04719"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1F7469D8"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a)</w:t>
      </w:r>
      <w:r w:rsidRPr="00A94262">
        <w:rPr>
          <w:rFonts w:ascii="Arial" w:eastAsia="Arial" w:hAnsi="Arial" w:cs="Arial"/>
          <w:sz w:val="24"/>
          <w:szCs w:val="24"/>
        </w:rPr>
        <w:tab/>
        <w:t>Abastecimiento del agua: el establecimiento deberá disponer de abundante abastecimiento de agua potable (red pública, perforación y/u otros) con un apropiado sistema de distribución y protección adecuada contra la contaminación. En caso de tratarse de una perforación, se debe conocer sobre la profundidad de la misma y el estado de conservación. Asimismo, la empresa determinará las operaciones convenientes para el tratamiento del agua subterránea y los controles necesarios a ser llevados a cabo para uso de agua potable (Ej.: desinfecciones periódicas, utilización de filtro, etc.)</w:t>
      </w:r>
    </w:p>
    <w:p w14:paraId="500D3C30"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p>
    <w:p w14:paraId="26CAEA89"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b)</w:t>
      </w:r>
      <w:r w:rsidRPr="00A94262">
        <w:rPr>
          <w:rFonts w:ascii="Arial" w:eastAsia="Arial" w:hAnsi="Arial" w:cs="Arial"/>
          <w:sz w:val="24"/>
          <w:szCs w:val="24"/>
        </w:rPr>
        <w:tab/>
        <w:t xml:space="preserve">Reservorio de agua: en caso que el establecimiento alimentario cuente con tanque reservorio para el almacenamiento de agua y su posterior distribución, el mismo deberá ser de material apropiado, liso, que no produzcan ni emitan sustancias tóxicas, no impregnen a los alimentos y bebidas con olores o sabores desagradables o extraños. El material deberá ser resistente a la corrosión, capaz de soportar repetidas operaciones de limpieza y desinfección y no absorbentes. El mismo deberá encontrarse en buen estado de conservación y mantenimiento y estar protegido adecuadamente de modo a evitar la contaminación. </w:t>
      </w:r>
    </w:p>
    <w:p w14:paraId="51944F3A"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p>
    <w:p w14:paraId="41B04C85"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c)</w:t>
      </w:r>
      <w:r w:rsidRPr="00A94262">
        <w:rPr>
          <w:rFonts w:ascii="Arial" w:eastAsia="Arial" w:hAnsi="Arial" w:cs="Arial"/>
          <w:sz w:val="24"/>
          <w:szCs w:val="24"/>
        </w:rPr>
        <w:tab/>
        <w:t>Diseño higiénico de equipos y herramientas que entran en contacto directo con el agua, para su distribución: los equipos utilizados que forman parte de la distribución deben estar diseñados de manera que permitan una fácil y completa limpieza y desinfección de las superficies que entran en contacto con el agua.</w:t>
      </w:r>
    </w:p>
    <w:p w14:paraId="23746C1A"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p>
    <w:p w14:paraId="4463D67F"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d)</w:t>
      </w:r>
      <w:r w:rsidRPr="00A94262">
        <w:rPr>
          <w:rFonts w:ascii="Arial" w:eastAsia="Arial" w:hAnsi="Arial" w:cs="Arial"/>
          <w:sz w:val="24"/>
          <w:szCs w:val="24"/>
        </w:rPr>
        <w:tab/>
        <w:t xml:space="preserve">Equipos y herramientas para el tratamiento y purificación del agua: es fundamental contar con equipos específicos para el tratamiento y purificación del agua utilizada en los procesos. La empresa determinará, en función de su actividad y del riesgo asociado al producto elaborado, los tratamientos necesarios para garantizar el uso de agua potable. En el caso de establecimientos alimentarios dedicados a la producción de agua y bebidas envasadas como producto final, la empresa deberá indefectiblemente contar con sistemas de tratamientos adecuados para la purificación del agua, tales como filtrado, cloración, ozonización y ósmosis inversa, entre otros que considere pertinente. </w:t>
      </w:r>
    </w:p>
    <w:p w14:paraId="452890B1"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p>
    <w:p w14:paraId="4043A5E0"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e)</w:t>
      </w:r>
      <w:r w:rsidRPr="00A94262">
        <w:rPr>
          <w:rFonts w:ascii="Arial" w:eastAsia="Arial" w:hAnsi="Arial" w:cs="Arial"/>
          <w:sz w:val="24"/>
          <w:szCs w:val="24"/>
        </w:rPr>
        <w:tab/>
        <w:t xml:space="preserve">Programa de mantenimiento preventivo: es fundamental implementar un programa de mantenimiento preventivo que garantice el correcto funcionamiento y cuidado de los equipos involucrados en el almacenamiento y distribución del agua. Esto incluye tanto para los tanques reservorios como para los otros sistemas de distribución del agua, así como para los equipos y herramientas utilizadas para el tratamiento y purificación del agua, cuando corresponda. </w:t>
      </w:r>
    </w:p>
    <w:p w14:paraId="7E3F5877"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p>
    <w:p w14:paraId="5F31C21E"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f)</w:t>
      </w:r>
      <w:r w:rsidRPr="00A94262">
        <w:rPr>
          <w:rFonts w:ascii="Arial" w:eastAsia="Arial" w:hAnsi="Arial" w:cs="Arial"/>
          <w:sz w:val="24"/>
          <w:szCs w:val="24"/>
        </w:rPr>
        <w:tab/>
        <w:t>Uso del agua: se deberá proporcionar información detallada sobre todos los usos que se les da al agua, con el objetivo de verificar en cuáles fases del proceso de fabricación se utiliza, si es utilizado en la limpieza de superficies, equipos y materiales que puedan estar en contacto con los alimentos, o si es un componente esencial de la composición final del producto alimentario. En caso de que el agua se utilice como ingrediente, ya sea en forma de agua, hielo o vapor, debe ser potable.</w:t>
      </w:r>
    </w:p>
    <w:p w14:paraId="12F0E087"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p>
    <w:p w14:paraId="3DE25689"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g)</w:t>
      </w:r>
      <w:r w:rsidRPr="00A94262">
        <w:rPr>
          <w:rFonts w:ascii="Arial" w:eastAsia="Arial" w:hAnsi="Arial" w:cs="Arial"/>
          <w:sz w:val="24"/>
          <w:szCs w:val="24"/>
        </w:rPr>
        <w:tab/>
        <w:t>Uso de agua no potable para propósito no alimenticio: el agua no potable destinada a la producción de vapor (ejemplo: calderas), refrigeración, combate de incendios y otros usos similares que no estén relacionados con alimentos, deberá transportarse a través de tuberías completamente independientes y, preferiblemente, identificadas. Además, no debe existir ninguna conexión con las tuberías que transportan agua potable. Asimismo, esta agua no podrá ser utilizada para el lavado de superficies que entren en contacto con alimentos ni como parte del proceso de elaboración.</w:t>
      </w:r>
    </w:p>
    <w:p w14:paraId="2F1EA827"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p>
    <w:p w14:paraId="4625A69A"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h)</w:t>
      </w:r>
      <w:r w:rsidRPr="00A94262">
        <w:rPr>
          <w:rFonts w:ascii="Arial" w:eastAsia="Arial" w:hAnsi="Arial" w:cs="Arial"/>
          <w:sz w:val="24"/>
          <w:szCs w:val="24"/>
        </w:rPr>
        <w:tab/>
        <w:t>Capacitación en BPM: se debe contar con documentación que respalde la capacitación del personal en Buenas Prácticas de Manipulación. Asimismo, los temas tratados deben estar claramente especificados, incluyendo, entre otros, el uso adecuado del agua, prevención de contaminación cruzada, lavado de manos, higiene del personal, etc.</w:t>
      </w:r>
    </w:p>
    <w:p w14:paraId="2D7531E5"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p>
    <w:p w14:paraId="0407F0C4"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i)</w:t>
      </w:r>
      <w:r w:rsidRPr="00A94262">
        <w:rPr>
          <w:rFonts w:ascii="Arial" w:eastAsia="Arial" w:hAnsi="Arial" w:cs="Arial"/>
          <w:sz w:val="24"/>
          <w:szCs w:val="24"/>
        </w:rPr>
        <w:tab/>
        <w:t>Análisis de potabilidad de agua: el análisis que respalda la potabilidad del agua debe ser realizado por laboratorios de referencia autorizados por la DINAVISA, disponibles para su verificación. La periodicidad de dichos análisis será establecida por la DINAVISA, en función del nivel de riesgo del establecimiento y del uso del agua. Los establecimientos también podrán presentar una propuesta de frecuencia de análisis, basada en una evaluación de riesgo documentada, para su consideración y aprobación por parte de esta Autoridad. El análisis de potabilidad, deberá confirmar el cumplimiento de los parámetros de acuerdo con la normativa paraguaya vigente para agua potable, específicamente los parámetros microbiológicos y fisicoquímicos (AEROBIOS MESÓFILOS, COLIFORMES TOTALES, COLIFORMES FECALES, ESCHERICHIA COLI, PSEUDOMONAS AERUGINOSA, NITRATOS, NITRITOS, MATERIA ORGÁNICA, PH, otra determinación q</w:t>
      </w:r>
      <w:bookmarkStart w:id="0" w:name="_GoBack"/>
      <w:bookmarkEnd w:id="0"/>
      <w:r w:rsidRPr="00A94262">
        <w:rPr>
          <w:rFonts w:ascii="Arial" w:eastAsia="Arial" w:hAnsi="Arial" w:cs="Arial"/>
          <w:sz w:val="24"/>
          <w:szCs w:val="24"/>
        </w:rPr>
        <w:t xml:space="preserve">ue la DINAVISA lo considere pertinentes conforme hallazgos). La empresa deberá contar con el documento original o una fotocopia autenticada por escribanía al momento del monitoreo. </w:t>
      </w:r>
    </w:p>
    <w:p w14:paraId="3FAC491F" w14:textId="77777777" w:rsidR="00A94262" w:rsidRPr="00A94262" w:rsidRDefault="00A94262" w:rsidP="00A94262">
      <w:pPr>
        <w:keepNext/>
        <w:pBdr>
          <w:top w:val="nil"/>
          <w:left w:val="nil"/>
          <w:bottom w:val="nil"/>
          <w:right w:val="nil"/>
          <w:between w:val="nil"/>
        </w:pBdr>
        <w:spacing w:after="0"/>
        <w:ind w:left="1560"/>
        <w:jc w:val="both"/>
        <w:rPr>
          <w:rFonts w:ascii="Arial" w:eastAsia="Arial" w:hAnsi="Arial" w:cs="Arial"/>
          <w:sz w:val="24"/>
          <w:szCs w:val="24"/>
        </w:rPr>
      </w:pPr>
      <w:r w:rsidRPr="00A94262">
        <w:rPr>
          <w:rFonts w:ascii="Arial" w:eastAsia="Arial" w:hAnsi="Arial" w:cs="Arial"/>
          <w:sz w:val="24"/>
          <w:szCs w:val="24"/>
        </w:rPr>
        <w:t xml:space="preserve">Referencias: NP 24 001 80 Norma Paraguaya de Agua Potable o sus actualizaciones. </w:t>
      </w:r>
    </w:p>
    <w:p w14:paraId="4E97FF96" w14:textId="77777777" w:rsidR="00A94262" w:rsidRDefault="00A94262" w:rsidP="00A94262">
      <w:pPr>
        <w:keepNext/>
        <w:pBdr>
          <w:top w:val="nil"/>
          <w:left w:val="nil"/>
          <w:bottom w:val="nil"/>
          <w:right w:val="nil"/>
          <w:between w:val="nil"/>
        </w:pBdr>
        <w:spacing w:after="0"/>
        <w:jc w:val="both"/>
        <w:rPr>
          <w:rFonts w:ascii="Arial" w:eastAsia="Arial" w:hAnsi="Arial" w:cs="Arial"/>
          <w:b/>
          <w:sz w:val="24"/>
          <w:szCs w:val="24"/>
        </w:rPr>
      </w:pPr>
    </w:p>
    <w:p w14:paraId="4F7E13C3" w14:textId="3B660692" w:rsidR="00A94262" w:rsidRPr="00A94262" w:rsidRDefault="00A94262" w:rsidP="00A94262">
      <w:pPr>
        <w:keepNext/>
        <w:pBdr>
          <w:top w:val="nil"/>
          <w:left w:val="nil"/>
          <w:bottom w:val="nil"/>
          <w:right w:val="nil"/>
          <w:between w:val="nil"/>
        </w:pBdr>
        <w:spacing w:after="0"/>
        <w:jc w:val="both"/>
        <w:rPr>
          <w:rFonts w:ascii="Arial" w:eastAsia="Arial" w:hAnsi="Arial" w:cs="Arial"/>
          <w:b/>
          <w:sz w:val="24"/>
          <w:szCs w:val="24"/>
        </w:rPr>
      </w:pPr>
      <w:r w:rsidRPr="00A94262">
        <w:rPr>
          <w:rFonts w:ascii="Arial" w:eastAsia="Arial" w:hAnsi="Arial" w:cs="Arial"/>
          <w:b/>
          <w:sz w:val="24"/>
          <w:szCs w:val="24"/>
        </w:rPr>
        <w:t>5.3 Extracción de muestras y ensayos</w:t>
      </w:r>
      <w:r>
        <w:rPr>
          <w:rFonts w:ascii="Arial" w:eastAsia="Arial" w:hAnsi="Arial" w:cs="Arial"/>
          <w:b/>
          <w:sz w:val="24"/>
          <w:szCs w:val="24"/>
        </w:rPr>
        <w:t>.</w:t>
      </w:r>
    </w:p>
    <w:p w14:paraId="32C8F017"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Cuando se sospecha la presencia de enfermedades transmitidas por el agua o alimento procesado, y durante el monitoreo rutinario, el inspector sanitario podrá extraer muestras de agua. Esta decisión se tomará según el criterio técnico de la autoridad sanitaria, la DINAVISA, aplicando un enfoque basado en el riesgo. Las muestras pueden ser recolectadas en puntos específicos o en diferentes etapas del proceso, y posteriormente serán enviadas al laboratorio de referencia para los ensayos pertinentes.</w:t>
      </w:r>
    </w:p>
    <w:p w14:paraId="61AF6A6F"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21931A7D"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La recolección de muestras se llevará a cabo utilizando técnicas asépticas, garantizando que el tiempo de transporte, la temperatura y las condiciones de traslado al laboratorio no afecten la calidad de las muestras. Los ensayos se realizan siguiendo métodos normalizados.</w:t>
      </w:r>
    </w:p>
    <w:p w14:paraId="6285AF1C" w14:textId="77777777" w:rsidR="00A94262" w:rsidRDefault="00A94262" w:rsidP="00A94262">
      <w:pPr>
        <w:keepNext/>
        <w:pBdr>
          <w:top w:val="nil"/>
          <w:left w:val="nil"/>
          <w:bottom w:val="nil"/>
          <w:right w:val="nil"/>
          <w:between w:val="nil"/>
        </w:pBdr>
        <w:spacing w:after="0"/>
        <w:jc w:val="both"/>
        <w:rPr>
          <w:rFonts w:ascii="Arial" w:eastAsia="Arial" w:hAnsi="Arial" w:cs="Arial"/>
          <w:b/>
          <w:sz w:val="24"/>
          <w:szCs w:val="24"/>
        </w:rPr>
      </w:pPr>
    </w:p>
    <w:p w14:paraId="236BF20C" w14:textId="64D78714" w:rsidR="00A94262" w:rsidRPr="00A94262" w:rsidRDefault="00A94262" w:rsidP="00A94262">
      <w:pPr>
        <w:keepNext/>
        <w:pBdr>
          <w:top w:val="nil"/>
          <w:left w:val="nil"/>
          <w:bottom w:val="nil"/>
          <w:right w:val="nil"/>
          <w:between w:val="nil"/>
        </w:pBdr>
        <w:spacing w:after="0"/>
        <w:jc w:val="both"/>
        <w:rPr>
          <w:rFonts w:ascii="Arial" w:eastAsia="Arial" w:hAnsi="Arial" w:cs="Arial"/>
          <w:b/>
          <w:sz w:val="24"/>
          <w:szCs w:val="24"/>
        </w:rPr>
      </w:pPr>
      <w:r w:rsidRPr="00A94262">
        <w:rPr>
          <w:rFonts w:ascii="Arial" w:eastAsia="Arial" w:hAnsi="Arial" w:cs="Arial"/>
          <w:b/>
          <w:sz w:val="24"/>
          <w:szCs w:val="24"/>
        </w:rPr>
        <w:t>5.4 Fotografías</w:t>
      </w:r>
      <w:r>
        <w:rPr>
          <w:rFonts w:ascii="Arial" w:eastAsia="Arial" w:hAnsi="Arial" w:cs="Arial"/>
          <w:b/>
          <w:sz w:val="24"/>
          <w:szCs w:val="24"/>
        </w:rPr>
        <w:t>.</w:t>
      </w:r>
    </w:p>
    <w:p w14:paraId="7F317884"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 xml:space="preserve">El inspector sanitario tiene la facultad de realizar tomas fotográficas como parte de su labor de monitoreo. Estas fotografías pueden servir como evidencia para documentar las condiciones sanitarias de un establecimiento alimentario, así como cualquier incumplimiento de normativas que se haya encontrado durante la inspección. Estas imágenes serán utilizadas de manera ética y respetando la privacidad de las personas y protección de datos. </w:t>
      </w:r>
    </w:p>
    <w:p w14:paraId="27E96F11"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4156B69E" w14:textId="485AF78C" w:rsidR="00A94262" w:rsidRPr="00A94262" w:rsidRDefault="00A94262" w:rsidP="00A94262">
      <w:pPr>
        <w:keepNext/>
        <w:pBdr>
          <w:top w:val="nil"/>
          <w:left w:val="nil"/>
          <w:bottom w:val="nil"/>
          <w:right w:val="nil"/>
          <w:between w:val="nil"/>
        </w:pBdr>
        <w:spacing w:after="0"/>
        <w:jc w:val="both"/>
        <w:rPr>
          <w:rFonts w:ascii="Arial" w:eastAsia="Arial" w:hAnsi="Arial" w:cs="Arial"/>
          <w:b/>
          <w:sz w:val="24"/>
          <w:szCs w:val="24"/>
        </w:rPr>
      </w:pPr>
      <w:r w:rsidRPr="00A94262">
        <w:rPr>
          <w:rFonts w:ascii="Arial" w:eastAsia="Arial" w:hAnsi="Arial" w:cs="Arial"/>
          <w:b/>
          <w:sz w:val="24"/>
          <w:szCs w:val="24"/>
        </w:rPr>
        <w:t>5.5. Manejo de no conformidades</w:t>
      </w:r>
      <w:r>
        <w:rPr>
          <w:rFonts w:ascii="Arial" w:eastAsia="Arial" w:hAnsi="Arial" w:cs="Arial"/>
          <w:b/>
          <w:sz w:val="24"/>
          <w:szCs w:val="24"/>
        </w:rPr>
        <w:t>.</w:t>
      </w:r>
    </w:p>
    <w:p w14:paraId="36A8A444"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 xml:space="preserve">Si no se cumplen las exigencias establecidas, pero dicha situación no representa un riesgo directo para la inocuidad del producto ni para la salud del consumidor, se solicitará al Director Técnico, o en su defecto, al responsable del establecimiento alimentario, que presente un plan de acciones correctivas. </w:t>
      </w:r>
    </w:p>
    <w:p w14:paraId="7EB28882"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222BF231"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Este plan deberá incluir las adecuaciones necesarias para cumplir con la normativa sanitaria vigente. En los casos de que las no conformidades sean de tal gravedad que podrían tener consecuencias serias en la inocuidad del alimento, la empresa deberá implementar de manera inmediata, las medidas correctivas correspondientes y evidenciar el cumplimiento de las mismas. En tales circunstancias, puede ser necesario que, al momento del monitoreo, los alimentos procesados por la empresa queden en cuarentena.</w:t>
      </w:r>
    </w:p>
    <w:p w14:paraId="0AF70B29"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4273D0B4" w14:textId="4381099F" w:rsidR="00A94262" w:rsidRPr="00A94262" w:rsidRDefault="00A94262" w:rsidP="00A94262">
      <w:pPr>
        <w:keepNext/>
        <w:pBdr>
          <w:top w:val="nil"/>
          <w:left w:val="nil"/>
          <w:bottom w:val="nil"/>
          <w:right w:val="nil"/>
          <w:between w:val="nil"/>
        </w:pBdr>
        <w:spacing w:after="0"/>
        <w:jc w:val="both"/>
        <w:rPr>
          <w:rFonts w:ascii="Arial" w:eastAsia="Arial" w:hAnsi="Arial" w:cs="Arial"/>
          <w:b/>
          <w:sz w:val="24"/>
          <w:szCs w:val="24"/>
        </w:rPr>
      </w:pPr>
      <w:r w:rsidRPr="00A94262">
        <w:rPr>
          <w:rFonts w:ascii="Arial" w:eastAsia="Arial" w:hAnsi="Arial" w:cs="Arial"/>
          <w:b/>
          <w:sz w:val="24"/>
          <w:szCs w:val="24"/>
        </w:rPr>
        <w:t>5.6 Monitoreos de seguimiento</w:t>
      </w:r>
      <w:r>
        <w:rPr>
          <w:rFonts w:ascii="Arial" w:eastAsia="Arial" w:hAnsi="Arial" w:cs="Arial"/>
          <w:b/>
          <w:sz w:val="24"/>
          <w:szCs w:val="24"/>
        </w:rPr>
        <w:t>.</w:t>
      </w:r>
    </w:p>
    <w:p w14:paraId="701A54B1"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Al finalizar el monitoreo, si se requieren correcciones y ajustes, se debe dar seguimiento conforme a los plazos establecidos para su implementación. Asimismo, se podrá programar una visita al establecimiento alimentario, sin notificación previa para verificar que las correcciones y mejoras necesarias se hayan realizado.</w:t>
      </w:r>
    </w:p>
    <w:p w14:paraId="19ADFF8B" w14:textId="77777777" w:rsid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3D2FF932" w14:textId="64E515C5" w:rsidR="00A94262" w:rsidRPr="00A94262" w:rsidRDefault="00A94262" w:rsidP="00A94262">
      <w:pPr>
        <w:pStyle w:val="Prrafodelista"/>
        <w:keepNext/>
        <w:numPr>
          <w:ilvl w:val="0"/>
          <w:numId w:val="4"/>
        </w:numPr>
        <w:pBdr>
          <w:top w:val="nil"/>
          <w:left w:val="nil"/>
          <w:bottom w:val="nil"/>
          <w:right w:val="nil"/>
          <w:between w:val="nil"/>
        </w:pBdr>
        <w:spacing w:after="0"/>
        <w:jc w:val="both"/>
        <w:rPr>
          <w:rFonts w:ascii="Arial" w:eastAsia="Arial" w:hAnsi="Arial" w:cs="Arial"/>
          <w:b/>
          <w:sz w:val="24"/>
          <w:szCs w:val="24"/>
        </w:rPr>
      </w:pPr>
      <w:r w:rsidRPr="00A94262">
        <w:rPr>
          <w:rFonts w:ascii="Arial" w:eastAsia="Arial" w:hAnsi="Arial" w:cs="Arial"/>
          <w:b/>
          <w:sz w:val="24"/>
          <w:szCs w:val="24"/>
        </w:rPr>
        <w:t>Listado de laboratorios de referencia autorizados por la DINAVISA</w:t>
      </w:r>
      <w:r>
        <w:rPr>
          <w:rFonts w:ascii="Arial" w:eastAsia="Arial" w:hAnsi="Arial" w:cs="Arial"/>
          <w:b/>
          <w:sz w:val="24"/>
          <w:szCs w:val="24"/>
        </w:rPr>
        <w:t>.</w:t>
      </w:r>
    </w:p>
    <w:p w14:paraId="7477C668"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p>
    <w:p w14:paraId="32037C6B" w14:textId="77777777" w:rsidR="00A94262" w:rsidRPr="00A94262" w:rsidRDefault="00A94262" w:rsidP="00A94262">
      <w:pPr>
        <w:keepNext/>
        <w:pBdr>
          <w:top w:val="nil"/>
          <w:left w:val="nil"/>
          <w:bottom w:val="nil"/>
          <w:right w:val="nil"/>
          <w:between w:val="nil"/>
        </w:pBdr>
        <w:spacing w:after="0"/>
        <w:jc w:val="both"/>
        <w:rPr>
          <w:rFonts w:ascii="Arial" w:eastAsia="Arial" w:hAnsi="Arial" w:cs="Arial"/>
          <w:sz w:val="24"/>
          <w:szCs w:val="24"/>
        </w:rPr>
      </w:pPr>
      <w:r w:rsidRPr="00A94262">
        <w:rPr>
          <w:rFonts w:ascii="Arial" w:eastAsia="Arial" w:hAnsi="Arial" w:cs="Arial"/>
          <w:sz w:val="24"/>
          <w:szCs w:val="24"/>
        </w:rPr>
        <w:t xml:space="preserve">La DINAVISA comunicará oportunamente los laboratorios de referencia. </w:t>
      </w:r>
    </w:p>
    <w:p w14:paraId="4AC8D96E" w14:textId="77777777" w:rsidR="00A94262" w:rsidRPr="00A94262" w:rsidRDefault="00A94262" w:rsidP="00A94262">
      <w:pPr>
        <w:keepNext/>
        <w:pBdr>
          <w:top w:val="nil"/>
          <w:left w:val="nil"/>
          <w:bottom w:val="nil"/>
          <w:right w:val="nil"/>
          <w:between w:val="nil"/>
        </w:pBdr>
        <w:spacing w:after="0"/>
        <w:jc w:val="center"/>
        <w:rPr>
          <w:rFonts w:ascii="Arial" w:eastAsia="Arial" w:hAnsi="Arial" w:cs="Arial"/>
          <w:sz w:val="24"/>
          <w:szCs w:val="24"/>
        </w:rPr>
      </w:pPr>
    </w:p>
    <w:p w14:paraId="164A3285" w14:textId="77777777" w:rsidR="00A94262" w:rsidRPr="00A94262" w:rsidRDefault="00A94262" w:rsidP="00A94262">
      <w:pPr>
        <w:keepNext/>
        <w:pBdr>
          <w:top w:val="nil"/>
          <w:left w:val="nil"/>
          <w:bottom w:val="nil"/>
          <w:right w:val="nil"/>
          <w:between w:val="nil"/>
        </w:pBdr>
        <w:spacing w:after="0"/>
        <w:jc w:val="center"/>
        <w:rPr>
          <w:rFonts w:ascii="Arial" w:eastAsia="Arial" w:hAnsi="Arial" w:cs="Arial"/>
          <w:sz w:val="24"/>
          <w:szCs w:val="24"/>
        </w:rPr>
      </w:pPr>
    </w:p>
    <w:p w14:paraId="4B236E1B" w14:textId="77777777" w:rsidR="005022D3" w:rsidRPr="00A94262" w:rsidRDefault="005022D3">
      <w:pPr>
        <w:keepNext/>
        <w:pBdr>
          <w:top w:val="nil"/>
          <w:left w:val="nil"/>
          <w:bottom w:val="nil"/>
          <w:right w:val="nil"/>
          <w:between w:val="nil"/>
        </w:pBdr>
        <w:spacing w:after="0"/>
        <w:jc w:val="center"/>
        <w:rPr>
          <w:rFonts w:ascii="Arial" w:eastAsia="Arial" w:hAnsi="Arial" w:cs="Arial"/>
          <w:sz w:val="24"/>
          <w:szCs w:val="24"/>
        </w:rPr>
      </w:pPr>
    </w:p>
    <w:sectPr w:rsidR="005022D3" w:rsidRPr="00A94262" w:rsidSect="00A94262">
      <w:headerReference w:type="even" r:id="rId9"/>
      <w:headerReference w:type="default" r:id="rId10"/>
      <w:footerReference w:type="even" r:id="rId11"/>
      <w:footerReference w:type="default" r:id="rId12"/>
      <w:headerReference w:type="first" r:id="rId13"/>
      <w:footerReference w:type="first" r:id="rId14"/>
      <w:pgSz w:w="12240" w:h="18720" w:code="14"/>
      <w:pgMar w:top="1417" w:right="1701" w:bottom="3261" w:left="1701" w:header="708" w:footer="825"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7A20C" w14:textId="77777777" w:rsidR="0099192A" w:rsidRDefault="0099192A">
      <w:pPr>
        <w:spacing w:after="0" w:line="240" w:lineRule="auto"/>
      </w:pPr>
      <w:r>
        <w:separator/>
      </w:r>
    </w:p>
  </w:endnote>
  <w:endnote w:type="continuationSeparator" w:id="0">
    <w:p w14:paraId="3BD46716" w14:textId="77777777" w:rsidR="0099192A" w:rsidRDefault="00991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18FE" w14:textId="77777777" w:rsidR="00572D40" w:rsidRDefault="00572D40">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36E24" w14:textId="77777777" w:rsidR="005022D3" w:rsidRDefault="00971DF9">
    <w:pPr>
      <w:spacing w:after="0" w:line="240" w:lineRule="auto"/>
      <w:ind w:hanging="2"/>
      <w:jc w:val="both"/>
      <w:rPr>
        <w:rFonts w:ascii="Arial" w:eastAsia="Arial" w:hAnsi="Arial" w:cs="Arial"/>
        <w:sz w:val="14"/>
        <w:szCs w:val="14"/>
      </w:rPr>
    </w:pPr>
    <w:r>
      <w:rPr>
        <w:rFonts w:ascii="Arial" w:eastAsia="Arial" w:hAnsi="Arial" w:cs="Arial"/>
        <w:b/>
        <w:sz w:val="14"/>
        <w:szCs w:val="14"/>
      </w:rPr>
      <w:t>Misión</w:t>
    </w:r>
    <w:r>
      <w:rPr>
        <w:rFonts w:ascii="Arial" w:eastAsia="Arial" w:hAnsi="Arial" w:cs="Arial"/>
        <w:sz w:val="14"/>
        <w:szCs w:val="14"/>
      </w:rPr>
      <w:t>: Regular, vigilar y fiscalizar productos de aplicación en medicina y otros asignados por ley, para garantizar la calidad, seguridad y eficacia de los mismos en beneficio de las personas, respondiendo a los desafíos de la innovación y promoviendo el desarrollo, a través de acciones coordinadas e integradas, sostenidas en normas técnicas.</w:t>
    </w:r>
  </w:p>
  <w:p w14:paraId="4B236E25" w14:textId="77777777" w:rsidR="005022D3" w:rsidRDefault="00971DF9">
    <w:pPr>
      <w:spacing w:after="0" w:line="240" w:lineRule="auto"/>
      <w:ind w:hanging="2"/>
      <w:jc w:val="both"/>
      <w:rPr>
        <w:rFonts w:ascii="Arial" w:eastAsia="Arial" w:hAnsi="Arial" w:cs="Arial"/>
        <w:sz w:val="14"/>
        <w:szCs w:val="14"/>
      </w:rPr>
    </w:pPr>
    <w:r>
      <w:rPr>
        <w:rFonts w:ascii="Arial" w:eastAsia="Arial" w:hAnsi="Arial" w:cs="Arial"/>
        <w:b/>
        <w:sz w:val="14"/>
        <w:szCs w:val="14"/>
      </w:rPr>
      <w:t xml:space="preserve">Visión: </w:t>
    </w:r>
    <w:r>
      <w:rPr>
        <w:rFonts w:ascii="Arial" w:eastAsia="Arial" w:hAnsi="Arial" w:cs="Arial"/>
        <w:sz w:val="14"/>
        <w:szCs w:val="14"/>
      </w:rPr>
      <w:t>Ser una institución reguladora y fiscalizadora de Referencia Nacional e Internacional reconocida por su capacidad técnica, credibilidad y compromiso con la protección de la salud de la población y el desarrollo nacional.</w:t>
    </w:r>
  </w:p>
  <w:p w14:paraId="4B236E26" w14:textId="77777777" w:rsidR="005022D3" w:rsidRDefault="005022D3">
    <w:pPr>
      <w:spacing w:after="0" w:line="240" w:lineRule="auto"/>
      <w:ind w:hanging="2"/>
      <w:jc w:val="both"/>
      <w:rPr>
        <w:rFonts w:ascii="Arial" w:eastAsia="Arial" w:hAnsi="Arial" w:cs="Arial"/>
        <w:sz w:val="14"/>
        <w:szCs w:val="14"/>
      </w:rPr>
    </w:pPr>
  </w:p>
  <w:p w14:paraId="4B236E27" w14:textId="77777777" w:rsidR="005022D3" w:rsidRDefault="00971DF9">
    <w:pPr>
      <w:spacing w:after="0" w:line="240" w:lineRule="auto"/>
      <w:ind w:hanging="2"/>
      <w:jc w:val="center"/>
      <w:rPr>
        <w:rFonts w:ascii="Arial" w:eastAsia="Arial" w:hAnsi="Arial" w:cs="Arial"/>
        <w:sz w:val="14"/>
        <w:szCs w:val="14"/>
      </w:rPr>
    </w:pPr>
    <w:r>
      <w:rPr>
        <w:rFonts w:ascii="Arial" w:eastAsia="Arial" w:hAnsi="Arial" w:cs="Arial"/>
        <w:b/>
        <w:sz w:val="14"/>
        <w:szCs w:val="14"/>
      </w:rPr>
      <w:t>Iturbe N°883 e/Manuel Domínguez y Fulgencio R. Moreno</w:t>
    </w:r>
  </w:p>
  <w:p w14:paraId="4B236E28" w14:textId="77777777" w:rsidR="005022D3" w:rsidRDefault="00971DF9">
    <w:pPr>
      <w:spacing w:after="0" w:line="240" w:lineRule="auto"/>
      <w:ind w:hanging="2"/>
      <w:jc w:val="center"/>
      <w:rPr>
        <w:rFonts w:ascii="Arial" w:eastAsia="Arial" w:hAnsi="Arial" w:cs="Arial"/>
        <w:sz w:val="14"/>
        <w:szCs w:val="14"/>
      </w:rPr>
    </w:pPr>
    <w:r>
      <w:rPr>
        <w:rFonts w:ascii="Arial" w:eastAsia="Arial" w:hAnsi="Arial" w:cs="Arial"/>
        <w:b/>
        <w:sz w:val="14"/>
        <w:szCs w:val="14"/>
      </w:rPr>
      <w:t>Asunción, Paraguay.</w:t>
    </w:r>
  </w:p>
  <w:p w14:paraId="4B236E29" w14:textId="77777777" w:rsidR="005022D3" w:rsidRDefault="00971DF9">
    <w:pPr>
      <w:tabs>
        <w:tab w:val="center" w:pos="4252"/>
        <w:tab w:val="right" w:pos="8504"/>
      </w:tabs>
      <w:spacing w:after="0" w:line="240" w:lineRule="auto"/>
      <w:jc w:val="right"/>
      <w:rPr>
        <w:color w:val="000000"/>
      </w:rPr>
    </w:pPr>
    <w:r>
      <w:rPr>
        <w:rFonts w:ascii="Arial" w:eastAsia="Arial" w:hAnsi="Arial" w:cs="Arial"/>
        <w:b/>
        <w:sz w:val="14"/>
        <w:szCs w:val="14"/>
      </w:rPr>
      <w:t xml:space="preserve">Página </w:t>
    </w:r>
    <w:r>
      <w:rPr>
        <w:rFonts w:ascii="Arial" w:eastAsia="Arial" w:hAnsi="Arial" w:cs="Arial"/>
        <w:b/>
        <w:sz w:val="14"/>
        <w:szCs w:val="14"/>
      </w:rPr>
      <w:fldChar w:fldCharType="begin"/>
    </w:r>
    <w:r>
      <w:rPr>
        <w:rFonts w:ascii="Arial" w:eastAsia="Arial" w:hAnsi="Arial" w:cs="Arial"/>
        <w:b/>
        <w:sz w:val="14"/>
        <w:szCs w:val="14"/>
      </w:rPr>
      <w:instrText>PAGE</w:instrText>
    </w:r>
    <w:r>
      <w:rPr>
        <w:rFonts w:ascii="Arial" w:eastAsia="Arial" w:hAnsi="Arial" w:cs="Arial"/>
        <w:b/>
        <w:sz w:val="14"/>
        <w:szCs w:val="14"/>
      </w:rPr>
      <w:fldChar w:fldCharType="separate"/>
    </w:r>
    <w:r w:rsidR="00C61E79">
      <w:rPr>
        <w:rFonts w:ascii="Arial" w:eastAsia="Arial" w:hAnsi="Arial" w:cs="Arial"/>
        <w:b/>
        <w:noProof/>
        <w:sz w:val="14"/>
        <w:szCs w:val="14"/>
      </w:rPr>
      <w:t>1</w:t>
    </w:r>
    <w:r>
      <w:rPr>
        <w:rFonts w:ascii="Arial" w:eastAsia="Arial" w:hAnsi="Arial" w:cs="Arial"/>
        <w:b/>
        <w:sz w:val="14"/>
        <w:szCs w:val="14"/>
      </w:rPr>
      <w:fldChar w:fldCharType="end"/>
    </w:r>
    <w:r>
      <w:rPr>
        <w:rFonts w:ascii="Arial" w:eastAsia="Arial" w:hAnsi="Arial" w:cs="Arial"/>
        <w:b/>
        <w:sz w:val="14"/>
        <w:szCs w:val="14"/>
      </w:rPr>
      <w:t xml:space="preserve"> de </w:t>
    </w:r>
    <w:r>
      <w:rPr>
        <w:rFonts w:ascii="Arial" w:eastAsia="Arial" w:hAnsi="Arial" w:cs="Arial"/>
        <w:b/>
        <w:sz w:val="14"/>
        <w:szCs w:val="14"/>
      </w:rPr>
      <w:fldChar w:fldCharType="begin"/>
    </w:r>
    <w:r>
      <w:rPr>
        <w:rFonts w:ascii="Arial" w:eastAsia="Arial" w:hAnsi="Arial" w:cs="Arial"/>
        <w:b/>
        <w:sz w:val="14"/>
        <w:szCs w:val="14"/>
      </w:rPr>
      <w:instrText>NUMPAGES</w:instrText>
    </w:r>
    <w:r>
      <w:rPr>
        <w:rFonts w:ascii="Arial" w:eastAsia="Arial" w:hAnsi="Arial" w:cs="Arial"/>
        <w:b/>
        <w:sz w:val="14"/>
        <w:szCs w:val="14"/>
      </w:rPr>
      <w:fldChar w:fldCharType="separate"/>
    </w:r>
    <w:r w:rsidR="00C61E79">
      <w:rPr>
        <w:rFonts w:ascii="Arial" w:eastAsia="Arial" w:hAnsi="Arial" w:cs="Arial"/>
        <w:b/>
        <w:noProof/>
        <w:sz w:val="14"/>
        <w:szCs w:val="14"/>
      </w:rPr>
      <w:t>2</w:t>
    </w:r>
    <w:r>
      <w:rPr>
        <w:rFonts w:ascii="Arial" w:eastAsia="Arial" w:hAnsi="Arial" w:cs="Arial"/>
        <w:b/>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582E" w14:textId="77777777" w:rsidR="00572D40" w:rsidRDefault="00572D40">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B5CEF" w14:textId="77777777" w:rsidR="0099192A" w:rsidRDefault="0099192A">
      <w:pPr>
        <w:spacing w:after="0" w:line="240" w:lineRule="auto"/>
      </w:pPr>
      <w:r>
        <w:separator/>
      </w:r>
    </w:p>
  </w:footnote>
  <w:footnote w:type="continuationSeparator" w:id="0">
    <w:p w14:paraId="37D957CD" w14:textId="77777777" w:rsidR="0099192A" w:rsidRDefault="00991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ECB8" w14:textId="336A7D04" w:rsidR="00572D40" w:rsidRDefault="00A94262">
    <w:pPr>
      <w:pStyle w:val="Encabezado"/>
      <w:ind w:left="0" w:hanging="2"/>
    </w:pPr>
    <w:r>
      <w:rPr>
        <w:noProof/>
      </w:rPr>
      <w:pict w14:anchorId="76AF0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4735" o:spid="_x0000_s2050" type="#_x0000_t136" style="position:absolute;margin-left:0;margin-top:0;width:453.1pt;height:169.9pt;rotation:315;z-index:-251655168;mso-position-horizontal:center;mso-position-horizontal-relative:margin;mso-position-vertical:center;mso-position-vertical-relative:margin" o:allowincell="f" fillcolor="#7f7f7f [1612]" stroked="f">
          <v:fill opacity=".5"/>
          <v:textpath style="font-family:&quot;Calibri&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36E22" w14:textId="694FE702" w:rsidR="005022D3" w:rsidRDefault="00A94262">
    <w:pPr>
      <w:pBdr>
        <w:top w:val="nil"/>
        <w:left w:val="nil"/>
        <w:bottom w:val="nil"/>
        <w:right w:val="nil"/>
        <w:between w:val="nil"/>
      </w:pBdr>
      <w:tabs>
        <w:tab w:val="center" w:pos="4252"/>
        <w:tab w:val="right" w:pos="8504"/>
      </w:tabs>
      <w:rPr>
        <w:color w:val="000000"/>
      </w:rPr>
    </w:pPr>
    <w:bookmarkStart w:id="1" w:name="_heading=h.ckejh3uzg11" w:colFirst="0" w:colLast="0"/>
    <w:bookmarkEnd w:id="1"/>
    <w:r>
      <w:rPr>
        <w:noProof/>
      </w:rPr>
      <w:pict w14:anchorId="17FD3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4736" o:spid="_x0000_s2051" type="#_x0000_t136" style="position:absolute;margin-left:0;margin-top:0;width:453.1pt;height:169.9pt;rotation:315;z-index:-251653120;mso-position-horizontal:center;mso-position-horizontal-relative:margin;mso-position-vertical:center;mso-position-vertical-relative:margin" o:allowincell="f" fillcolor="#7f7f7f [1612]" stroked="f">
          <v:fill opacity=".5"/>
          <v:textpath style="font-family:&quot;Calibri&quot;;font-size:1pt" string="BORRADOR"/>
        </v:shape>
      </w:pict>
    </w:r>
    <w:r w:rsidR="00971DF9">
      <w:rPr>
        <w:noProof/>
        <w:color w:val="000000"/>
      </w:rPr>
      <w:drawing>
        <wp:inline distT="0" distB="0" distL="114300" distR="114300" wp14:anchorId="4B236E2B" wp14:editId="4B236E2C">
          <wp:extent cx="5394960" cy="434340"/>
          <wp:effectExtent l="0" t="0" r="0" b="0"/>
          <wp:docPr id="10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94960" cy="434340"/>
                  </a:xfrm>
                  <a:prstGeom prst="rect">
                    <a:avLst/>
                  </a:prstGeom>
                  <a:ln/>
                </pic:spPr>
              </pic:pic>
            </a:graphicData>
          </a:graphic>
        </wp:inline>
      </w:drawing>
    </w:r>
  </w:p>
  <w:p w14:paraId="4B236E23" w14:textId="77777777" w:rsidR="005022D3" w:rsidRDefault="005022D3">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36E2A" w14:textId="698A1EBF" w:rsidR="005022D3" w:rsidRDefault="00A94262">
    <w:pPr>
      <w:pBdr>
        <w:top w:val="nil"/>
        <w:left w:val="nil"/>
        <w:bottom w:val="nil"/>
        <w:right w:val="nil"/>
        <w:between w:val="nil"/>
      </w:pBdr>
      <w:tabs>
        <w:tab w:val="center" w:pos="4252"/>
        <w:tab w:val="right" w:pos="8504"/>
      </w:tabs>
      <w:ind w:firstLine="708"/>
      <w:rPr>
        <w:color w:val="000000"/>
      </w:rPr>
    </w:pPr>
    <w:r>
      <w:rPr>
        <w:noProof/>
      </w:rPr>
      <w:pict w14:anchorId="12809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874734" o:spid="_x0000_s2049" type="#_x0000_t136" style="position:absolute;left:0;text-align:left;margin-left:0;margin-top:0;width:453.1pt;height:169.9pt;rotation:315;z-index:-251657216;mso-position-horizontal:center;mso-position-horizontal-relative:margin;mso-position-vertical:center;mso-position-vertical-relative:margin" o:allowincell="f" fillcolor="#7f7f7f [1612]" stroked="f">
          <v:fill opacity=".5"/>
          <v:textpath style="font-family:&quot;Calibri&quot;;font-size:1pt" string="BORRADOR"/>
        </v:shape>
      </w:pict>
    </w:r>
    <w:r w:rsidR="00971DF9">
      <w:rPr>
        <w:noProof/>
        <w:color w:val="000000"/>
      </w:rPr>
      <w:drawing>
        <wp:inline distT="0" distB="0" distL="114300" distR="114300" wp14:anchorId="4B236E2D" wp14:editId="4B236E2E">
          <wp:extent cx="5394960" cy="434340"/>
          <wp:effectExtent l="0" t="0" r="0" b="0"/>
          <wp:docPr id="10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394960" cy="4343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50F0A"/>
    <w:multiLevelType w:val="hybridMultilevel"/>
    <w:tmpl w:val="02886D9C"/>
    <w:lvl w:ilvl="0" w:tplc="B516AD2C">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 w15:restartNumberingAfterBreak="0">
    <w:nsid w:val="6E713CE4"/>
    <w:multiLevelType w:val="multilevel"/>
    <w:tmpl w:val="49AE2A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789A0E24"/>
    <w:multiLevelType w:val="multilevel"/>
    <w:tmpl w:val="5A9EBD3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7E7A6AF0"/>
    <w:multiLevelType w:val="multilevel"/>
    <w:tmpl w:val="71345C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2D3"/>
    <w:rsid w:val="000353F1"/>
    <w:rsid w:val="004C73A3"/>
    <w:rsid w:val="005022D3"/>
    <w:rsid w:val="005056FB"/>
    <w:rsid w:val="00572D40"/>
    <w:rsid w:val="00971DF9"/>
    <w:rsid w:val="0099192A"/>
    <w:rsid w:val="00A94262"/>
    <w:rsid w:val="00C13980"/>
    <w:rsid w:val="00C61E7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236D86"/>
  <w15:docId w15:val="{FF4454EF-7EED-4078-ABFB-94C75365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PY"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suppressAutoHyphens/>
      <w:spacing w:before="240" w:after="60"/>
      <w:ind w:leftChars="-1" w:left="-1" w:hangingChars="1" w:hanging="1"/>
      <w:textDirection w:val="btLr"/>
      <w:textAlignment w:val="top"/>
      <w:outlineLvl w:val="0"/>
    </w:pPr>
    <w:rPr>
      <w:rFonts w:ascii="Calibri Light" w:eastAsia="Times New Roman" w:hAnsi="Calibri Light" w:cs="Times New Roman"/>
      <w:b/>
      <w:bCs/>
      <w:kern w:val="32"/>
      <w:position w:val="-1"/>
      <w:sz w:val="32"/>
      <w:szCs w:val="32"/>
      <w:lang w:eastAsia="en-US"/>
    </w:rPr>
  </w:style>
  <w:style w:type="paragraph" w:styleId="Ttulo2">
    <w:name w:val="heading 2"/>
    <w:basedOn w:val="Normal"/>
    <w:next w:val="Normal"/>
    <w:uiPriority w:val="9"/>
    <w:unhideWhenUsed/>
    <w:qFormat/>
    <w:pPr>
      <w:keepNext/>
      <w:suppressAutoHyphens/>
      <w:spacing w:before="240" w:after="60"/>
      <w:ind w:leftChars="-1" w:left="-1" w:hangingChars="1" w:hanging="1"/>
      <w:textDirection w:val="btLr"/>
      <w:textAlignment w:val="top"/>
      <w:outlineLvl w:val="1"/>
    </w:pPr>
    <w:rPr>
      <w:rFonts w:ascii="Calibri Light" w:eastAsia="Times New Roman" w:hAnsi="Calibri Light" w:cs="Times New Roman"/>
      <w:b/>
      <w:bCs/>
      <w:i/>
      <w:iCs/>
      <w:position w:val="-1"/>
      <w:sz w:val="28"/>
      <w:szCs w:val="28"/>
      <w:lang w:eastAsia="en-US"/>
    </w:rPr>
  </w:style>
  <w:style w:type="paragraph" w:styleId="Ttulo3">
    <w:name w:val="heading 3"/>
    <w:basedOn w:val="Normal"/>
    <w:next w:val="Normal"/>
    <w:uiPriority w:val="9"/>
    <w:semiHidden/>
    <w:unhideWhenUsed/>
    <w:qFormat/>
    <w:pPr>
      <w:keepNext/>
      <w:suppressAutoHyphens/>
      <w:spacing w:before="240" w:after="60"/>
      <w:ind w:leftChars="-1" w:left="-1" w:hangingChars="1" w:hanging="1"/>
      <w:textDirection w:val="btLr"/>
      <w:textAlignment w:val="top"/>
      <w:outlineLvl w:val="2"/>
    </w:pPr>
    <w:rPr>
      <w:rFonts w:ascii="Calibri Light" w:eastAsia="Times New Roman" w:hAnsi="Calibri Light" w:cs="Times New Roman"/>
      <w:b/>
      <w:bCs/>
      <w:position w:val="-1"/>
      <w:sz w:val="26"/>
      <w:szCs w:val="26"/>
      <w:lang w:eastAsia="en-U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lang w:eastAsia="es-PY"/>
    </w:rPr>
  </w:style>
  <w:style w:type="paragraph" w:styleId="Encabezado">
    <w:name w:val="header"/>
    <w:basedOn w:val="Normal"/>
    <w:qFormat/>
    <w:pPr>
      <w:tabs>
        <w:tab w:val="center" w:pos="4252"/>
        <w:tab w:val="right" w:pos="8504"/>
      </w:tabs>
      <w:suppressAutoHyphens/>
      <w:ind w:leftChars="-1" w:left="-1" w:hangingChars="1" w:hanging="1"/>
      <w:textDirection w:val="btLr"/>
      <w:textAlignment w:val="top"/>
      <w:outlineLvl w:val="0"/>
    </w:pPr>
    <w:rPr>
      <w:position w:val="-1"/>
      <w:lang w:eastAsia="en-US"/>
    </w:rPr>
  </w:style>
  <w:style w:type="character" w:customStyle="1" w:styleId="EncabezadoCar">
    <w:name w:val="Encabezado Car"/>
    <w:rPr>
      <w:w w:val="100"/>
      <w:position w:val="-1"/>
      <w:sz w:val="22"/>
      <w:szCs w:val="22"/>
      <w:effect w:val="none"/>
      <w:vertAlign w:val="baseline"/>
      <w:cs w:val="0"/>
      <w:em w:val="none"/>
      <w:lang w:eastAsia="en-US"/>
    </w:rPr>
  </w:style>
  <w:style w:type="paragraph" w:styleId="Piedepgina">
    <w:name w:val="footer"/>
    <w:basedOn w:val="Normal"/>
    <w:qFormat/>
    <w:pPr>
      <w:tabs>
        <w:tab w:val="center" w:pos="4252"/>
        <w:tab w:val="right" w:pos="8504"/>
      </w:tabs>
      <w:suppressAutoHyphens/>
      <w:ind w:leftChars="-1" w:left="-1" w:hangingChars="1" w:hanging="1"/>
      <w:textDirection w:val="btLr"/>
      <w:textAlignment w:val="top"/>
      <w:outlineLvl w:val="0"/>
    </w:pPr>
    <w:rPr>
      <w:position w:val="-1"/>
      <w:lang w:eastAsia="en-US"/>
    </w:rPr>
  </w:style>
  <w:style w:type="character" w:customStyle="1" w:styleId="PiedepginaCar">
    <w:name w:val="Pie de página Car"/>
    <w:rPr>
      <w:w w:val="100"/>
      <w:position w:val="-1"/>
      <w:sz w:val="22"/>
      <w:szCs w:val="22"/>
      <w:effect w:val="none"/>
      <w:vertAlign w:val="baseline"/>
      <w:cs w:val="0"/>
      <w:em w:val="none"/>
      <w:lang w:eastAsia="en-US"/>
    </w:rPr>
  </w:style>
  <w:style w:type="paragraph" w:styleId="NormalWeb">
    <w:name w:val="Normal (Web)"/>
    <w:basedOn w:val="Normal"/>
    <w:qFormat/>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position w:val="-1"/>
      <w:sz w:val="24"/>
      <w:szCs w:val="24"/>
      <w:lang w:eastAsia="es-PY"/>
    </w:rPr>
  </w:style>
  <w:style w:type="character" w:customStyle="1" w:styleId="Ttulo1Car">
    <w:name w:val="Título 1 Car"/>
    <w:rPr>
      <w:rFonts w:ascii="Calibri Light" w:eastAsia="Times New Roman" w:hAnsi="Calibri Light" w:cs="Times New Roman"/>
      <w:b/>
      <w:bCs/>
      <w:w w:val="100"/>
      <w:kern w:val="32"/>
      <w:position w:val="-1"/>
      <w:sz w:val="32"/>
      <w:szCs w:val="32"/>
      <w:effect w:val="none"/>
      <w:vertAlign w:val="baseline"/>
      <w:cs w:val="0"/>
      <w:em w:val="none"/>
      <w:lang w:val="es-PY" w:eastAsia="en-US"/>
    </w:rPr>
  </w:style>
  <w:style w:type="character" w:customStyle="1" w:styleId="Ttulo2Car">
    <w:name w:val="Título 2 Car"/>
    <w:rPr>
      <w:rFonts w:ascii="Calibri Light" w:eastAsia="Times New Roman" w:hAnsi="Calibri Light" w:cs="Times New Roman"/>
      <w:b/>
      <w:bCs/>
      <w:i/>
      <w:iCs/>
      <w:w w:val="100"/>
      <w:position w:val="-1"/>
      <w:sz w:val="28"/>
      <w:szCs w:val="28"/>
      <w:effect w:val="none"/>
      <w:vertAlign w:val="baseline"/>
      <w:cs w:val="0"/>
      <w:em w:val="none"/>
      <w:lang w:val="es-PY" w:eastAsia="en-US"/>
    </w:rPr>
  </w:style>
  <w:style w:type="paragraph" w:styleId="Sinespaciado">
    <w:name w:val="No Spacing"/>
    <w:uiPriority w:val="1"/>
    <w:qFormat/>
    <w:pPr>
      <w:suppressAutoHyphens/>
      <w:spacing w:line="1" w:lineRule="atLeast"/>
      <w:ind w:leftChars="-1" w:left="-1" w:hangingChars="1" w:hanging="1"/>
      <w:textDirection w:val="btLr"/>
      <w:textAlignment w:val="top"/>
      <w:outlineLvl w:val="0"/>
    </w:pPr>
    <w:rPr>
      <w:position w:val="-1"/>
      <w:lang w:val="es-419"/>
    </w:rPr>
  </w:style>
  <w:style w:type="character" w:customStyle="1" w:styleId="SinespaciadoCar">
    <w:name w:val="Sin espaciado Car"/>
    <w:uiPriority w:val="1"/>
    <w:rPr>
      <w:w w:val="100"/>
      <w:position w:val="-1"/>
      <w:sz w:val="22"/>
      <w:szCs w:val="22"/>
      <w:effect w:val="none"/>
      <w:vertAlign w:val="baseline"/>
      <w:cs w:val="0"/>
      <w:em w:val="none"/>
    </w:rPr>
  </w:style>
  <w:style w:type="paragraph" w:styleId="TtuloTDC">
    <w:name w:val="TOC Heading"/>
    <w:basedOn w:val="Ttulo1"/>
    <w:next w:val="Normal"/>
    <w:uiPriority w:val="39"/>
    <w:qFormat/>
    <w:pPr>
      <w:keepLines/>
      <w:spacing w:after="0"/>
      <w:outlineLvl w:val="9"/>
    </w:pPr>
    <w:rPr>
      <w:b w:val="0"/>
      <w:bCs w:val="0"/>
      <w:color w:val="2F5496"/>
      <w:kern w:val="0"/>
      <w:lang w:val="es-419" w:eastAsia="es-419"/>
    </w:rPr>
  </w:style>
  <w:style w:type="paragraph" w:styleId="TDC1">
    <w:name w:val="toc 1"/>
    <w:basedOn w:val="Normal"/>
    <w:next w:val="Normal"/>
    <w:uiPriority w:val="39"/>
    <w:qFormat/>
    <w:pPr>
      <w:suppressAutoHyphens/>
      <w:ind w:leftChars="-1" w:left="-1" w:hangingChars="1" w:hanging="1"/>
      <w:textDirection w:val="btLr"/>
      <w:textAlignment w:val="top"/>
      <w:outlineLvl w:val="0"/>
    </w:pPr>
    <w:rPr>
      <w:position w:val="-1"/>
      <w:lang w:eastAsia="en-US"/>
    </w:rPr>
  </w:style>
  <w:style w:type="paragraph" w:styleId="TDC2">
    <w:name w:val="toc 2"/>
    <w:basedOn w:val="Normal"/>
    <w:next w:val="Normal"/>
    <w:uiPriority w:val="39"/>
    <w:qFormat/>
    <w:pPr>
      <w:suppressAutoHyphens/>
      <w:ind w:leftChars="-1" w:left="220" w:hangingChars="1" w:hanging="1"/>
      <w:textDirection w:val="btLr"/>
      <w:textAlignment w:val="top"/>
      <w:outlineLvl w:val="0"/>
    </w:pPr>
    <w:rPr>
      <w:position w:val="-1"/>
      <w:lang w:eastAsia="en-US"/>
    </w:rPr>
  </w:style>
  <w:style w:type="character" w:styleId="Hipervnculo">
    <w:name w:val="Hyperlink"/>
    <w:uiPriority w:val="99"/>
    <w:qFormat/>
    <w:rPr>
      <w:color w:val="0563C1"/>
      <w:w w:val="100"/>
      <w:position w:val="-1"/>
      <w:u w:val="single"/>
      <w:effect w:val="none"/>
      <w:vertAlign w:val="baseline"/>
      <w:cs w:val="0"/>
      <w:em w:val="none"/>
    </w:rPr>
  </w:style>
  <w:style w:type="character" w:customStyle="1" w:styleId="Ttulo3Car">
    <w:name w:val="Título 3 Car"/>
    <w:rPr>
      <w:rFonts w:ascii="Calibri Light" w:eastAsia="Times New Roman" w:hAnsi="Calibri Light" w:cs="Times New Roman"/>
      <w:b/>
      <w:bCs/>
      <w:w w:val="100"/>
      <w:position w:val="-1"/>
      <w:sz w:val="26"/>
      <w:szCs w:val="26"/>
      <w:effect w:val="none"/>
      <w:vertAlign w:val="baseline"/>
      <w:cs w:val="0"/>
      <w:em w:val="none"/>
      <w:lang w:val="es-PY" w:eastAsia="en-US"/>
    </w:rPr>
  </w:style>
  <w:style w:type="paragraph" w:styleId="TDC3">
    <w:name w:val="toc 3"/>
    <w:basedOn w:val="Normal"/>
    <w:next w:val="Normal"/>
    <w:qFormat/>
    <w:pPr>
      <w:suppressAutoHyphens/>
      <w:ind w:leftChars="-1" w:left="440" w:hangingChars="1" w:hanging="1"/>
      <w:textDirection w:val="btLr"/>
      <w:textAlignment w:val="top"/>
      <w:outlineLvl w:val="0"/>
    </w:pPr>
    <w:rPr>
      <w:position w:val="-1"/>
      <w:lang w:eastAsia="en-US"/>
    </w:rPr>
  </w:style>
  <w:style w:type="paragraph" w:customStyle="1" w:styleId="Standard">
    <w:name w:val="Standard"/>
    <w:pPr>
      <w:spacing w:line="1" w:lineRule="atLeast"/>
      <w:ind w:leftChars="-1" w:left="-1" w:hangingChars="1" w:hanging="1"/>
      <w:textDirection w:val="btLr"/>
      <w:textAlignment w:val="baseline"/>
      <w:outlineLvl w:val="0"/>
    </w:pPr>
    <w:rPr>
      <w:rFonts w:ascii="Arial" w:eastAsia="Times New Roman" w:hAnsi="Arial" w:cs="Arial"/>
      <w:color w:val="00000A"/>
      <w:kern w:val="1"/>
      <w:position w:val="-1"/>
      <w:sz w:val="24"/>
      <w:szCs w:val="24"/>
      <w:lang w:eastAsia="zh-C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A94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ASUNCIÓN 2025</CompanyAddress>
  <CompanyPhone/>
  <CompanyFax/>
  <CompanyEmail/>
</CoverPage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gxUl4Nfo02CYElTD+J0PRJa+w==">CgMxLjAyDmguOGhzcGcxejBrMzNoMg5oLnQwcWlkZXN1d2theTIOaC5jZjdsOGVwbXI2b3gyDmguMnFvOWl4bjVmMmg4Mg1oLnYyaWluZXc3b2kyMg5oLmh6NXlhYTduNG9qdzIOaC5sbzY3a2g1dnVibHUyDWguY2tlamgzdXpnMTE4AHIhMVpxZ2xkS3UteTFOdnZRWFkteUI2VDJnUnpwQkNHZmRH</go:docsCustomData>
</go:gDocsCustomXmlDataStorag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2286</Words>
  <Characters>12575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PLAN DE CONTROL SANITARIO DE AGUA POTABLE EN ESTABLECIMIENTOS ALIMENTARIOS</vt:lpstr>
    </vt:vector>
  </TitlesOfParts>
  <Company>DIRECCIÓN GENERAL DE REGULACIÓN DE ALIMENTOS Y PRODUCTOS AFINES</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CONTROL SANITARIO DE AGUA POTABLE EN ESTABLECIMIENTOS ALIMENTARIOS</dc:title>
  <dc:creator>DINAVISA</dc:creator>
  <cp:lastModifiedBy>DELL</cp:lastModifiedBy>
  <cp:revision>3</cp:revision>
  <dcterms:created xsi:type="dcterms:W3CDTF">2025-10-15T17:15:00Z</dcterms:created>
  <dcterms:modified xsi:type="dcterms:W3CDTF">2025-10-15T17:28:00Z</dcterms:modified>
</cp:coreProperties>
</file>