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EF75" w14:textId="77777777" w:rsidR="007F148B" w:rsidRDefault="007F148B" w:rsidP="00EA39A8">
      <w:pPr>
        <w:jc w:val="center"/>
        <w:rPr>
          <w:b/>
        </w:rPr>
      </w:pPr>
    </w:p>
    <w:p w14:paraId="2A53E7B2" w14:textId="77777777" w:rsidR="00EA39A8" w:rsidRDefault="00EA39A8" w:rsidP="00EA39A8">
      <w:pPr>
        <w:jc w:val="center"/>
      </w:pPr>
    </w:p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0"/>
      </w:tblGrid>
      <w:tr w:rsidR="00C103D2" w:rsidRPr="00C103D2" w14:paraId="114B16EB" w14:textId="77777777" w:rsidTr="00850E4C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6FEC6A15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850E4C">
        <w:trPr>
          <w:trHeight w:val="445"/>
        </w:trPr>
        <w:tc>
          <w:tcPr>
            <w:tcW w:w="4678" w:type="dxa"/>
            <w:tcBorders>
              <w:right w:val="single" w:sz="4" w:space="0" w:color="auto"/>
            </w:tcBorders>
          </w:tcPr>
          <w:p w14:paraId="08BB0061" w14:textId="753ACDF8" w:rsidR="006F3B06" w:rsidRPr="006B4950" w:rsidRDefault="009E1FE6" w:rsidP="00215E0C">
            <w:pPr>
              <w:pStyle w:val="TableParagraph"/>
              <w:rPr>
                <w:lang w:val="es-PY"/>
              </w:rPr>
            </w:pPr>
            <w:r w:rsidRPr="009E1FE6">
              <w:rPr>
                <w:lang w:val="es"/>
              </w:rPr>
              <w:t>Nombre y DIRECCIÓN de fabricante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850E4C">
        <w:trPr>
          <w:trHeight w:val="280"/>
        </w:trPr>
        <w:tc>
          <w:tcPr>
            <w:tcW w:w="4678" w:type="dxa"/>
            <w:tcBorders>
              <w:right w:val="single" w:sz="4" w:space="0" w:color="auto"/>
            </w:tcBorders>
          </w:tcPr>
          <w:p w14:paraId="47BF4847" w14:textId="77777777" w:rsidR="009E1FE6" w:rsidRPr="009E1FE6" w:rsidRDefault="009E1FE6" w:rsidP="009E1FE6">
            <w:pPr>
              <w:pStyle w:val="TableParagraph"/>
              <w:rPr>
                <w:lang w:val="es"/>
              </w:rPr>
            </w:pPr>
            <w:r w:rsidRPr="009E1FE6">
              <w:rPr>
                <w:lang w:val="es"/>
              </w:rPr>
              <w:t>Lote No. de vacuna</w:t>
            </w:r>
          </w:p>
          <w:p w14:paraId="7583E0B8" w14:textId="1C88ED70" w:rsidR="006F3B06" w:rsidRPr="00100016" w:rsidRDefault="006F3B06" w:rsidP="00215E0C">
            <w:pPr>
              <w:pStyle w:val="TableParagraph"/>
              <w:rPr>
                <w:lang w:val="es-PY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850E4C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DDA580F" w14:textId="21D346B6" w:rsidR="006F3B06" w:rsidRPr="002A53D2" w:rsidRDefault="009E1FE6" w:rsidP="00215E0C">
            <w:pPr>
              <w:pStyle w:val="Textoindependiente"/>
              <w:spacing w:after="0"/>
              <w:rPr>
                <w:lang w:val="es-PY"/>
              </w:rPr>
            </w:pPr>
            <w:r w:rsidRPr="009E1FE6">
              <w:rPr>
                <w:lang w:val="es"/>
              </w:rPr>
              <w:t>Fecha de fabricación del lote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850E4C">
        <w:trPr>
          <w:trHeight w:val="265"/>
        </w:trPr>
        <w:tc>
          <w:tcPr>
            <w:tcW w:w="4678" w:type="dxa"/>
            <w:tcBorders>
              <w:right w:val="single" w:sz="4" w:space="0" w:color="auto"/>
            </w:tcBorders>
          </w:tcPr>
          <w:p w14:paraId="5128D2A4" w14:textId="35AFB813" w:rsidR="006F3B06" w:rsidRPr="002A53D2" w:rsidRDefault="009E1FE6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9E1FE6">
              <w:rPr>
                <w:lang w:val="es"/>
              </w:rPr>
              <w:t>Fecha de caducidad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850E4C">
        <w:trPr>
          <w:trHeight w:val="3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C484DC1" w14:textId="1593E830" w:rsidR="006F3B06" w:rsidRPr="00100016" w:rsidRDefault="009E1FE6" w:rsidP="00215E0C">
            <w:pPr>
              <w:pStyle w:val="TableParagraph"/>
              <w:rPr>
                <w:lang w:val="es-PY"/>
              </w:rPr>
            </w:pPr>
            <w:r w:rsidRPr="009E1FE6">
              <w:rPr>
                <w:lang w:val="es"/>
              </w:rPr>
              <w:t>Volumen total del lote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850E4C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405FCBDD" w14:textId="37E514A6" w:rsidR="006F3B06" w:rsidRPr="002A53D2" w:rsidRDefault="009E1FE6" w:rsidP="009E1FE6">
            <w:pPr>
              <w:pStyle w:val="TableParagraph"/>
              <w:rPr>
                <w:lang w:val="es-PY"/>
              </w:rPr>
            </w:pPr>
            <w:r w:rsidRPr="009E1FE6">
              <w:rPr>
                <w:lang w:val="es"/>
              </w:rPr>
              <w:t>Número de envases y dosis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C00163" w14:paraId="1506B4D0" w14:textId="77777777" w:rsidTr="00850E4C">
        <w:trPr>
          <w:trHeight w:val="45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73F83B45" w14:textId="6BE0CF3E" w:rsidR="00C00163" w:rsidRPr="00C00163" w:rsidRDefault="00C00163" w:rsidP="00C00163">
            <w:pPr>
              <w:pStyle w:val="TableParagraph"/>
              <w:ind w:left="113"/>
              <w:jc w:val="center"/>
              <w:rPr>
                <w:b/>
                <w:bCs/>
                <w:lang w:val="es-PY"/>
              </w:rPr>
            </w:pPr>
            <w:r w:rsidRPr="00C00163">
              <w:rPr>
                <w:b/>
                <w:bCs/>
                <w:lang w:val="es-PY"/>
              </w:rPr>
              <w:t>Control de Materiales de Partida</w:t>
            </w:r>
          </w:p>
        </w:tc>
      </w:tr>
      <w:tr w:rsidR="00AA059F" w:rsidRPr="00C103D2" w14:paraId="4FB1F2EC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8A93797" w14:textId="407B3715" w:rsidR="00AA059F" w:rsidRPr="00215E0C" w:rsidRDefault="009E1FE6" w:rsidP="00215E0C">
            <w:pPr>
              <w:pStyle w:val="Textoindependiente"/>
              <w:spacing w:after="0"/>
              <w:rPr>
                <w:lang w:val="es-PY"/>
              </w:rPr>
            </w:pPr>
            <w:r w:rsidRPr="009E1FE6">
              <w:rPr>
                <w:i/>
                <w:lang w:val="es"/>
              </w:rPr>
              <w:t xml:space="preserve">Célula bancos utilizado </w:t>
            </w:r>
            <w:r w:rsidRPr="009E1FE6">
              <w:rPr>
                <w:lang w:val="es"/>
              </w:rPr>
              <w:t xml:space="preserve">para </w:t>
            </w:r>
            <w:r w:rsidRPr="009E1FE6">
              <w:rPr>
                <w:i/>
                <w:lang w:val="es"/>
              </w:rPr>
              <w:t>Proporcionar cultivos celulares de producción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EC67CE3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AA059F" w:rsidRPr="00C103D2" w14:paraId="0B584257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D599BE9" w14:textId="69A3E82B" w:rsidR="00AA059F" w:rsidRDefault="009E1FE6" w:rsidP="00215E0C">
            <w:pPr>
              <w:pStyle w:val="Textoindependiente"/>
              <w:spacing w:after="0"/>
              <w:rPr>
                <w:lang w:val="es-PY"/>
              </w:rPr>
            </w:pPr>
            <w:r w:rsidRPr="009E1FE6">
              <w:rPr>
                <w:lang w:val="es"/>
              </w:rPr>
              <w:t>Autoridad de los bancos de células que aprobó la semilla celular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1BF1A14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C27218E" w14:textId="3917DD30" w:rsidR="006F3B06" w:rsidRPr="00C103D2" w:rsidRDefault="00675E05" w:rsidP="00215E0C">
            <w:pPr>
              <w:pStyle w:val="Textoindependiente"/>
              <w:spacing w:after="0"/>
              <w:rPr>
                <w:lang w:val="es-PY"/>
              </w:rPr>
            </w:pPr>
            <w:r w:rsidRPr="00675E05">
              <w:rPr>
                <w:lang w:val="es"/>
              </w:rPr>
              <w:t>Características del banco de células</w:t>
            </w:r>
            <w:r>
              <w:rPr>
                <w:lang w:val="es"/>
              </w:rPr>
              <w:t>, medios de cultivo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5374A33" w14:textId="6E73A969" w:rsidR="006F3B06" w:rsidRPr="00C103D2" w:rsidRDefault="00675E05" w:rsidP="00FD1E43">
            <w:pPr>
              <w:pStyle w:val="Textoindependiente"/>
              <w:spacing w:after="0"/>
              <w:rPr>
                <w:lang w:val="es-PY"/>
              </w:rPr>
            </w:pPr>
            <w:r w:rsidRPr="00675E05">
              <w:rPr>
                <w:lang w:val="es"/>
              </w:rPr>
              <w:t>Origen del suero utilizado para cultivos</w:t>
            </w:r>
            <w:r w:rsidR="00B67657">
              <w:rPr>
                <w:lang w:val="es"/>
              </w:rPr>
              <w:t xml:space="preserve"> celulares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F8517C7" w14:textId="026A6CFC" w:rsidR="006F3B06" w:rsidRPr="00B67657" w:rsidRDefault="00B67657" w:rsidP="00B67657">
            <w:pPr>
              <w:pStyle w:val="Textoindependiente"/>
              <w:rPr>
                <w:lang w:val="es"/>
              </w:rPr>
            </w:pPr>
            <w:r w:rsidRPr="00B67657">
              <w:rPr>
                <w:lang w:val="es"/>
              </w:rPr>
              <w:t>Resultados de las pruebas realizadas al suero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8E6BF47" w14:textId="3EFD7811" w:rsidR="00FD1E43" w:rsidRPr="00FD1E43" w:rsidRDefault="00B67657" w:rsidP="00FD1E43">
            <w:pPr>
              <w:pStyle w:val="Textoindependiente"/>
              <w:spacing w:after="0"/>
            </w:pPr>
            <w:r w:rsidRPr="00B67657">
              <w:rPr>
                <w:i/>
                <w:lang w:val="es"/>
              </w:rPr>
              <w:t>Tripsina usada para prepara</w:t>
            </w:r>
            <w:r>
              <w:rPr>
                <w:i/>
                <w:lang w:val="es"/>
              </w:rPr>
              <w:t>ción</w:t>
            </w:r>
            <w:r w:rsidRPr="00B67657">
              <w:rPr>
                <w:i/>
                <w:lang w:val="es"/>
              </w:rPr>
              <w:t xml:space="preserve"> cultivos celulares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B7DB757" w14:textId="6A0DEB24" w:rsidR="00FD1E43" w:rsidRPr="00B67657" w:rsidRDefault="00B67657" w:rsidP="00B67657">
            <w:pPr>
              <w:pStyle w:val="Textoindependiente"/>
              <w:rPr>
                <w:lang w:val="es"/>
              </w:rPr>
            </w:pPr>
            <w:r w:rsidRPr="00B67657">
              <w:rPr>
                <w:lang w:val="es"/>
              </w:rPr>
              <w:t>Resultados de las pruebas realizadas a la tripsina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76A18C3A" w14:textId="0F943420" w:rsidR="00FD1E43" w:rsidRPr="00FD1E43" w:rsidRDefault="00B67657" w:rsidP="00FD1E43">
            <w:pPr>
              <w:pStyle w:val="Textoindependiente"/>
              <w:spacing w:after="0"/>
            </w:pPr>
            <w:r>
              <w:t>Cepa de virus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9A849E8" w14:textId="680CD87D" w:rsidR="00FD1E43" w:rsidRPr="00FD1E43" w:rsidRDefault="00921D9A" w:rsidP="00FD1E43">
            <w:pPr>
              <w:pStyle w:val="Textoindependiente"/>
              <w:spacing w:after="0"/>
            </w:pPr>
            <w:r w:rsidRPr="00921D9A">
              <w:rPr>
                <w:lang w:val="es"/>
              </w:rPr>
              <w:t xml:space="preserve">Autoridad </w:t>
            </w:r>
            <w:r>
              <w:rPr>
                <w:lang w:val="es"/>
              </w:rPr>
              <w:t xml:space="preserve">que </w:t>
            </w:r>
            <w:r w:rsidRPr="00921D9A">
              <w:rPr>
                <w:lang w:val="es"/>
              </w:rPr>
              <w:t>aprob</w:t>
            </w:r>
            <w:r>
              <w:rPr>
                <w:lang w:val="es"/>
              </w:rPr>
              <w:t>ó la</w:t>
            </w:r>
            <w:r w:rsidRPr="00921D9A">
              <w:rPr>
                <w:lang w:val="es"/>
              </w:rPr>
              <w:t xml:space="preserve"> cepa de virus de la hepatitis A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D40BFFE" w14:textId="4ED31BE7" w:rsidR="00FD1E43" w:rsidRPr="00FD1E43" w:rsidRDefault="00C00163" w:rsidP="00FD1E43">
            <w:pPr>
              <w:pStyle w:val="Textoindependiente"/>
              <w:spacing w:after="0"/>
            </w:pPr>
            <w:r w:rsidRPr="00C00163">
              <w:rPr>
                <w:lang w:val="es"/>
              </w:rPr>
              <w:t>Fecha de preparación del lote maestro de semillas del virus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7AC3E28" w14:textId="7885C096" w:rsidR="00FD1E43" w:rsidRPr="00FD1E43" w:rsidRDefault="00C00163" w:rsidP="00FD1E43">
            <w:pPr>
              <w:pStyle w:val="Textoindependiente"/>
              <w:spacing w:after="0"/>
            </w:pPr>
            <w:r w:rsidRPr="00C00163">
              <w:rPr>
                <w:lang w:val="es"/>
              </w:rPr>
              <w:t>Fecha de preparación de virus lote de semillas de trabajo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4F4CC43F" w14:textId="225C1E44" w:rsidR="00FD1E43" w:rsidRPr="00FD1E43" w:rsidRDefault="00C00163" w:rsidP="00FD1E43">
            <w:pPr>
              <w:pStyle w:val="Textoindependiente"/>
              <w:spacing w:after="0"/>
            </w:pPr>
            <w:r w:rsidRPr="00C00163">
              <w:rPr>
                <w:lang w:val="es"/>
              </w:rPr>
              <w:t>Número de pases entre lotes de semillas maestros y de trabajo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850E4C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149271F4" w14:textId="7A15C4F6" w:rsidR="00FD1E43" w:rsidRPr="00FD1E43" w:rsidRDefault="00C00163" w:rsidP="00FD1E43">
            <w:pPr>
              <w:pStyle w:val="Textoindependiente"/>
              <w:spacing w:after="0"/>
            </w:pPr>
            <w:r w:rsidRPr="00C00163">
              <w:rPr>
                <w:lang w:val="es"/>
              </w:rPr>
              <w:t>Número de subcul</w:t>
            </w:r>
            <w:r>
              <w:rPr>
                <w:lang w:val="es"/>
              </w:rPr>
              <w:t>tivos</w:t>
            </w:r>
            <w:r w:rsidRPr="00C00163">
              <w:rPr>
                <w:lang w:val="es"/>
              </w:rPr>
              <w:t xml:space="preserve"> entre </w:t>
            </w:r>
            <w:r>
              <w:rPr>
                <w:lang w:val="es"/>
              </w:rPr>
              <w:t>el lote de semilla de trabajo y el lote de producción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6B9ADA1C" w14:textId="77777777" w:rsidR="00567492" w:rsidRDefault="00567492" w:rsidP="00100016">
      <w:pPr>
        <w:pStyle w:val="TableParagraph"/>
      </w:pPr>
    </w:p>
    <w:p w14:paraId="7CD546AD" w14:textId="77777777" w:rsidR="00C00163" w:rsidRDefault="00C00163" w:rsidP="00100016">
      <w:pPr>
        <w:pStyle w:val="TableParagraph"/>
      </w:pPr>
    </w:p>
    <w:p w14:paraId="72BF053E" w14:textId="77777777" w:rsidR="00C00163" w:rsidRDefault="00C00163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p w14:paraId="1E7E5492" w14:textId="77777777" w:rsidR="00B25E6A" w:rsidRDefault="00B25E6A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9064"/>
        <w:gridCol w:w="1142"/>
      </w:tblGrid>
      <w:tr w:rsidR="0014505B" w:rsidRPr="009A09EE" w14:paraId="0393F5EB" w14:textId="079CE40B" w:rsidTr="00850E4C">
        <w:tc>
          <w:tcPr>
            <w:tcW w:w="10206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850E4C">
        <w:tc>
          <w:tcPr>
            <w:tcW w:w="10206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850E4C">
        <w:tc>
          <w:tcPr>
            <w:tcW w:w="10206" w:type="dxa"/>
            <w:gridSpan w:val="2"/>
            <w:shd w:val="clear" w:color="auto" w:fill="D0CECE" w:themeFill="background2" w:themeFillShade="E6"/>
          </w:tcPr>
          <w:p w14:paraId="2E8D702B" w14:textId="5733E447" w:rsidR="006F3B06" w:rsidRPr="00036C5E" w:rsidRDefault="00D41E56" w:rsidP="00752863">
            <w:pPr>
              <w:rPr>
                <w:b/>
                <w:i/>
                <w:lang w:val="es-PY"/>
              </w:rPr>
            </w:pPr>
            <w:r>
              <w:rPr>
                <w:b/>
                <w:i/>
                <w:lang w:val="es-PY"/>
              </w:rPr>
              <w:t>Pruebas en lotes del virus semilla</w:t>
            </w:r>
          </w:p>
        </w:tc>
      </w:tr>
      <w:tr w:rsidR="00890827" w:rsidRPr="00104F94" w14:paraId="0D99AD77" w14:textId="77777777" w:rsidTr="00850E4C">
        <w:trPr>
          <w:trHeight w:val="336"/>
        </w:trPr>
        <w:tc>
          <w:tcPr>
            <w:tcW w:w="9064" w:type="dxa"/>
          </w:tcPr>
          <w:p w14:paraId="69E36751" w14:textId="4FDBD5F3" w:rsidR="00890827" w:rsidRDefault="00D41E56" w:rsidP="00890827">
            <w:pPr>
              <w:spacing w:line="240" w:lineRule="atLeast"/>
              <w:ind w:left="113"/>
            </w:pPr>
            <w:r w:rsidRPr="00D41E56">
              <w:rPr>
                <w:lang w:val="es"/>
              </w:rPr>
              <w:t>Identificación del virus semilla</w:t>
            </w:r>
          </w:p>
        </w:tc>
        <w:tc>
          <w:tcPr>
            <w:tcW w:w="1142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850E4C">
        <w:trPr>
          <w:trHeight w:val="359"/>
        </w:trPr>
        <w:tc>
          <w:tcPr>
            <w:tcW w:w="9064" w:type="dxa"/>
          </w:tcPr>
          <w:p w14:paraId="65877ED3" w14:textId="6E7ED832" w:rsidR="00890827" w:rsidRDefault="00D41E56" w:rsidP="00890827">
            <w:pPr>
              <w:spacing w:line="240" w:lineRule="atLeast"/>
              <w:ind w:left="113"/>
            </w:pPr>
            <w:r>
              <w:t>Infectividad del lote semilla</w:t>
            </w:r>
          </w:p>
        </w:tc>
        <w:tc>
          <w:tcPr>
            <w:tcW w:w="1142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850E4C">
        <w:trPr>
          <w:trHeight w:val="366"/>
        </w:trPr>
        <w:tc>
          <w:tcPr>
            <w:tcW w:w="9064" w:type="dxa"/>
          </w:tcPr>
          <w:p w14:paraId="3CCED3D9" w14:textId="791CCECD" w:rsidR="00890827" w:rsidRDefault="00D41E56" w:rsidP="00890827">
            <w:pPr>
              <w:spacing w:line="240" w:lineRule="atLeast"/>
              <w:ind w:left="113"/>
            </w:pPr>
            <w:r>
              <w:t>Ausencia de bacterias</w:t>
            </w:r>
          </w:p>
        </w:tc>
        <w:tc>
          <w:tcPr>
            <w:tcW w:w="1142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850E4C">
        <w:trPr>
          <w:trHeight w:val="261"/>
        </w:trPr>
        <w:tc>
          <w:tcPr>
            <w:tcW w:w="9064" w:type="dxa"/>
          </w:tcPr>
          <w:p w14:paraId="63EF582F" w14:textId="11F71E72" w:rsidR="00890827" w:rsidRDefault="00D41E56" w:rsidP="00890827">
            <w:pPr>
              <w:spacing w:line="240" w:lineRule="atLeast"/>
              <w:ind w:left="113"/>
            </w:pPr>
            <w:r>
              <w:t>Ausencia de hongos</w:t>
            </w:r>
          </w:p>
        </w:tc>
        <w:tc>
          <w:tcPr>
            <w:tcW w:w="1142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850E4C">
        <w:trPr>
          <w:trHeight w:val="283"/>
        </w:trPr>
        <w:tc>
          <w:tcPr>
            <w:tcW w:w="9064" w:type="dxa"/>
          </w:tcPr>
          <w:p w14:paraId="4D9ACB48" w14:textId="5BBED204" w:rsidR="00890827" w:rsidRDefault="00D41E56" w:rsidP="00890827">
            <w:pPr>
              <w:spacing w:line="240" w:lineRule="atLeast"/>
              <w:ind w:left="113"/>
            </w:pPr>
            <w:r>
              <w:t>Ausencia de micoplasmas</w:t>
            </w:r>
          </w:p>
        </w:tc>
        <w:tc>
          <w:tcPr>
            <w:tcW w:w="1142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850E4C">
        <w:trPr>
          <w:trHeight w:val="291"/>
        </w:trPr>
        <w:tc>
          <w:tcPr>
            <w:tcW w:w="9064" w:type="dxa"/>
          </w:tcPr>
          <w:p w14:paraId="07C7DCD7" w14:textId="7CFBC325" w:rsidR="00890827" w:rsidRDefault="00D41E56" w:rsidP="00890827">
            <w:pPr>
              <w:spacing w:line="240" w:lineRule="atLeast"/>
            </w:pPr>
            <w:r>
              <w:t xml:space="preserve"> Pruebas de cultivos celulares para virus adventicios</w:t>
            </w:r>
          </w:p>
        </w:tc>
        <w:tc>
          <w:tcPr>
            <w:tcW w:w="1142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850E4C">
        <w:trPr>
          <w:trHeight w:val="327"/>
        </w:trPr>
        <w:tc>
          <w:tcPr>
            <w:tcW w:w="9064" w:type="dxa"/>
            <w:shd w:val="clear" w:color="auto" w:fill="D0CECE" w:themeFill="background2" w:themeFillShade="E6"/>
          </w:tcPr>
          <w:p w14:paraId="070109A2" w14:textId="749B20E6" w:rsidR="00890827" w:rsidRDefault="00D41E56" w:rsidP="00890827">
            <w:pPr>
              <w:spacing w:line="240" w:lineRule="atLeast"/>
              <w:ind w:left="113"/>
            </w:pPr>
            <w:r>
              <w:t>Control de la producción de la vacuna</w:t>
            </w:r>
          </w:p>
        </w:tc>
        <w:tc>
          <w:tcPr>
            <w:tcW w:w="1142" w:type="dxa"/>
            <w:shd w:val="clear" w:color="auto" w:fill="D0CECE" w:themeFill="background2" w:themeFillShade="E6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850E4C">
        <w:trPr>
          <w:trHeight w:val="335"/>
        </w:trPr>
        <w:tc>
          <w:tcPr>
            <w:tcW w:w="9064" w:type="dxa"/>
          </w:tcPr>
          <w:p w14:paraId="34511C5B" w14:textId="00F41728" w:rsidR="00890827" w:rsidRDefault="00D41E56" w:rsidP="00890827">
            <w:pPr>
              <w:spacing w:line="240" w:lineRule="atLeast"/>
              <w:ind w:left="113"/>
            </w:pPr>
            <w:r>
              <w:t>Cultivos celulares</w:t>
            </w:r>
            <w:r w:rsidR="009E1C43">
              <w:t xml:space="preserve"> – Periodo de observación</w:t>
            </w:r>
          </w:p>
        </w:tc>
        <w:tc>
          <w:tcPr>
            <w:tcW w:w="1142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0F84C75" w14:textId="77777777" w:rsidTr="00850E4C">
        <w:trPr>
          <w:trHeight w:val="357"/>
        </w:trPr>
        <w:tc>
          <w:tcPr>
            <w:tcW w:w="9064" w:type="dxa"/>
          </w:tcPr>
          <w:p w14:paraId="5F6D9EF1" w14:textId="3E25649F" w:rsidR="00890827" w:rsidRDefault="009E1C43" w:rsidP="00890827">
            <w:pPr>
              <w:spacing w:line="240" w:lineRule="atLeast"/>
              <w:ind w:left="113"/>
            </w:pPr>
            <w:r>
              <w:t>Pruebas para detectar virus adventicios hemo</w:t>
            </w:r>
            <w:r w:rsidR="00850E4C">
              <w:t xml:space="preserve"> </w:t>
            </w:r>
            <w:r>
              <w:t>adsor</w:t>
            </w:r>
            <w:r w:rsidR="00850E4C">
              <w:t>b</w:t>
            </w:r>
            <w:r>
              <w:t>entes</w:t>
            </w:r>
          </w:p>
        </w:tc>
        <w:tc>
          <w:tcPr>
            <w:tcW w:w="1142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850E4C">
        <w:trPr>
          <w:trHeight w:val="365"/>
        </w:trPr>
        <w:tc>
          <w:tcPr>
            <w:tcW w:w="9064" w:type="dxa"/>
          </w:tcPr>
          <w:p w14:paraId="53BE1399" w14:textId="4BAEE09E" w:rsidR="00890827" w:rsidRDefault="009E1C43" w:rsidP="00890827">
            <w:pPr>
              <w:spacing w:line="240" w:lineRule="atLeast"/>
              <w:ind w:left="113"/>
            </w:pPr>
            <w:r>
              <w:t>Pruebas para virus adventicios no hemo</w:t>
            </w:r>
            <w:r w:rsidR="00850E4C">
              <w:t xml:space="preserve"> </w:t>
            </w:r>
            <w:r>
              <w:t>adsor</w:t>
            </w:r>
            <w:r w:rsidR="00850E4C">
              <w:t>b</w:t>
            </w:r>
            <w:r>
              <w:t>entes</w:t>
            </w:r>
          </w:p>
        </w:tc>
        <w:tc>
          <w:tcPr>
            <w:tcW w:w="1142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850E4C">
        <w:trPr>
          <w:trHeight w:val="365"/>
        </w:trPr>
        <w:tc>
          <w:tcPr>
            <w:tcW w:w="9064" w:type="dxa"/>
          </w:tcPr>
          <w:p w14:paraId="2F96490C" w14:textId="2FF03A1E" w:rsidR="0074223B" w:rsidRDefault="009E1C43" w:rsidP="0074223B">
            <w:pPr>
              <w:spacing w:line="240" w:lineRule="atLeast"/>
              <w:ind w:left="113"/>
            </w:pPr>
            <w:r>
              <w:t>Prueba de identidad</w:t>
            </w:r>
          </w:p>
        </w:tc>
        <w:tc>
          <w:tcPr>
            <w:tcW w:w="1142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850E4C">
        <w:trPr>
          <w:trHeight w:val="365"/>
        </w:trPr>
        <w:tc>
          <w:tcPr>
            <w:tcW w:w="9064" w:type="dxa"/>
          </w:tcPr>
          <w:p w14:paraId="1ADF471B" w14:textId="3CA77125" w:rsidR="0074223B" w:rsidRPr="0074223B" w:rsidRDefault="009E1C43" w:rsidP="0074223B">
            <w:pPr>
              <w:spacing w:line="240" w:lineRule="atLeast"/>
              <w:ind w:left="113"/>
            </w:pPr>
            <w:r>
              <w:t>Control de cosechas de virus individuales</w:t>
            </w:r>
          </w:p>
        </w:tc>
        <w:tc>
          <w:tcPr>
            <w:tcW w:w="1142" w:type="dxa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6F3B06" w:rsidRPr="00DD67C8" w14:paraId="6E2A8C82" w14:textId="47A250E0" w:rsidTr="00850E4C">
        <w:tc>
          <w:tcPr>
            <w:tcW w:w="10206" w:type="dxa"/>
            <w:gridSpan w:val="2"/>
            <w:shd w:val="clear" w:color="auto" w:fill="D0CECE" w:themeFill="background2" w:themeFillShade="E6"/>
          </w:tcPr>
          <w:p w14:paraId="39057F56" w14:textId="27FF2783" w:rsidR="006F3B06" w:rsidRPr="00DD67C8" w:rsidRDefault="009E1C43" w:rsidP="00752863">
            <w:pPr>
              <w:rPr>
                <w:bCs/>
                <w:iCs/>
              </w:rPr>
            </w:pPr>
            <w:r>
              <w:rPr>
                <w:bCs/>
                <w:iCs/>
              </w:rPr>
              <w:t>Preparación y control del pool purificado</w:t>
            </w:r>
          </w:p>
        </w:tc>
      </w:tr>
      <w:tr w:rsidR="006F3B06" w:rsidRPr="00DD67C8" w14:paraId="130BB340" w14:textId="434A48A2" w:rsidTr="00850E4C">
        <w:tc>
          <w:tcPr>
            <w:tcW w:w="9064" w:type="dxa"/>
          </w:tcPr>
          <w:p w14:paraId="715D5554" w14:textId="0185EB40" w:rsidR="006F3B06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Procedimiento de purificación</w:t>
            </w:r>
          </w:p>
        </w:tc>
        <w:tc>
          <w:tcPr>
            <w:tcW w:w="1142" w:type="dxa"/>
          </w:tcPr>
          <w:p w14:paraId="13D152BC" w14:textId="77777777" w:rsidR="006F3B06" w:rsidRPr="00DD67C8" w:rsidRDefault="006F3B06" w:rsidP="00EA389D">
            <w:pPr>
              <w:rPr>
                <w:iCs/>
              </w:rPr>
            </w:pPr>
          </w:p>
        </w:tc>
      </w:tr>
      <w:tr w:rsidR="009E1C43" w:rsidRPr="00DD67C8" w14:paraId="15EAE491" w14:textId="77777777" w:rsidTr="00850E4C">
        <w:tc>
          <w:tcPr>
            <w:tcW w:w="9064" w:type="dxa"/>
          </w:tcPr>
          <w:p w14:paraId="29E13C0E" w14:textId="33FE96B1" w:rsidR="009E1C43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 xml:space="preserve">Prueba de nitrógeno proteico </w:t>
            </w:r>
          </w:p>
        </w:tc>
        <w:tc>
          <w:tcPr>
            <w:tcW w:w="1142" w:type="dxa"/>
          </w:tcPr>
          <w:p w14:paraId="40C9B9D5" w14:textId="77777777" w:rsidR="009E1C43" w:rsidRPr="00DD67C8" w:rsidRDefault="009E1C43" w:rsidP="00EA389D">
            <w:pPr>
              <w:rPr>
                <w:iCs/>
              </w:rPr>
            </w:pPr>
          </w:p>
        </w:tc>
      </w:tr>
      <w:tr w:rsidR="009E1C43" w:rsidRPr="00DD67C8" w14:paraId="46453309" w14:textId="77777777" w:rsidTr="00850E4C">
        <w:tc>
          <w:tcPr>
            <w:tcW w:w="9064" w:type="dxa"/>
          </w:tcPr>
          <w:p w14:paraId="7A415417" w14:textId="1CAA09A4" w:rsidR="009E1C43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Prueba de suero animal</w:t>
            </w:r>
          </w:p>
        </w:tc>
        <w:tc>
          <w:tcPr>
            <w:tcW w:w="1142" w:type="dxa"/>
          </w:tcPr>
          <w:p w14:paraId="3743FCC7" w14:textId="77777777" w:rsidR="009E1C43" w:rsidRPr="00DD67C8" w:rsidRDefault="009E1C43" w:rsidP="00EA389D">
            <w:pPr>
              <w:rPr>
                <w:iCs/>
              </w:rPr>
            </w:pPr>
          </w:p>
        </w:tc>
      </w:tr>
      <w:tr w:rsidR="009E1C43" w:rsidRPr="00DD67C8" w14:paraId="4E9C1ED8" w14:textId="77777777" w:rsidTr="00850E4C">
        <w:tc>
          <w:tcPr>
            <w:tcW w:w="9064" w:type="dxa"/>
          </w:tcPr>
          <w:p w14:paraId="4522967A" w14:textId="50891FD6" w:rsidR="009E1C43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Prueba de ADN residual</w:t>
            </w:r>
          </w:p>
        </w:tc>
        <w:tc>
          <w:tcPr>
            <w:tcW w:w="1142" w:type="dxa"/>
          </w:tcPr>
          <w:p w14:paraId="5AF39B5D" w14:textId="77777777" w:rsidR="009E1C43" w:rsidRPr="00DD67C8" w:rsidRDefault="009E1C43" w:rsidP="00EA389D">
            <w:pPr>
              <w:rPr>
                <w:iCs/>
              </w:rPr>
            </w:pPr>
          </w:p>
        </w:tc>
      </w:tr>
      <w:tr w:rsidR="009E1C43" w:rsidRPr="00DD67C8" w14:paraId="1BDBF25E" w14:textId="77777777" w:rsidTr="00850E4C">
        <w:tc>
          <w:tcPr>
            <w:tcW w:w="9064" w:type="dxa"/>
            <w:shd w:val="clear" w:color="auto" w:fill="D0CECE" w:themeFill="background2" w:themeFillShade="E6"/>
          </w:tcPr>
          <w:p w14:paraId="3014B78E" w14:textId="42B38CAB" w:rsidR="009E1C43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 xml:space="preserve">Inactivación de virus </w:t>
            </w:r>
          </w:p>
        </w:tc>
        <w:tc>
          <w:tcPr>
            <w:tcW w:w="1142" w:type="dxa"/>
            <w:shd w:val="clear" w:color="auto" w:fill="D0CECE" w:themeFill="background2" w:themeFillShade="E6"/>
          </w:tcPr>
          <w:p w14:paraId="25D29CF4" w14:textId="77777777" w:rsidR="009E1C43" w:rsidRPr="00DD67C8" w:rsidRDefault="009E1C43" w:rsidP="00EA389D">
            <w:pPr>
              <w:rPr>
                <w:iCs/>
              </w:rPr>
            </w:pPr>
          </w:p>
        </w:tc>
      </w:tr>
      <w:tr w:rsidR="00461A56" w:rsidRPr="00DD67C8" w14:paraId="2B8AD8AA" w14:textId="77777777" w:rsidTr="00850E4C">
        <w:tc>
          <w:tcPr>
            <w:tcW w:w="9064" w:type="dxa"/>
          </w:tcPr>
          <w:p w14:paraId="601AF23F" w14:textId="6F0062D7" w:rsidR="00461A56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Tratamiento previo a la inactivación</w:t>
            </w:r>
          </w:p>
        </w:tc>
        <w:tc>
          <w:tcPr>
            <w:tcW w:w="1142" w:type="dxa"/>
          </w:tcPr>
          <w:p w14:paraId="04CC454A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3779357D" w14:textId="77777777" w:rsidTr="00850E4C">
        <w:tc>
          <w:tcPr>
            <w:tcW w:w="9064" w:type="dxa"/>
          </w:tcPr>
          <w:p w14:paraId="616E03DB" w14:textId="3707245E" w:rsidR="00461A56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Método de inactivación</w:t>
            </w:r>
          </w:p>
        </w:tc>
        <w:tc>
          <w:tcPr>
            <w:tcW w:w="1142" w:type="dxa"/>
          </w:tcPr>
          <w:p w14:paraId="5496C7BB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025E9F53" w14:textId="77777777" w:rsidTr="00850E4C">
        <w:tc>
          <w:tcPr>
            <w:tcW w:w="9064" w:type="dxa"/>
          </w:tcPr>
          <w:p w14:paraId="2365EA5C" w14:textId="7B1A792D" w:rsidR="00461A56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Prueba de inactivación efectiva</w:t>
            </w:r>
          </w:p>
        </w:tc>
        <w:tc>
          <w:tcPr>
            <w:tcW w:w="1142" w:type="dxa"/>
          </w:tcPr>
          <w:p w14:paraId="17DC881E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211AD06C" w14:textId="77777777" w:rsidTr="00850E4C">
        <w:tc>
          <w:tcPr>
            <w:tcW w:w="9064" w:type="dxa"/>
          </w:tcPr>
          <w:p w14:paraId="1C887DD9" w14:textId="4BCC618C" w:rsidR="00461A56" w:rsidRDefault="00461A56" w:rsidP="0074223B">
            <w:pPr>
              <w:rPr>
                <w:iCs/>
              </w:rPr>
            </w:pPr>
            <w:r>
              <w:rPr>
                <w:iCs/>
              </w:rPr>
              <w:t>Contenido de antígeno de la suspensión a granel</w:t>
            </w:r>
          </w:p>
        </w:tc>
        <w:tc>
          <w:tcPr>
            <w:tcW w:w="1142" w:type="dxa"/>
          </w:tcPr>
          <w:p w14:paraId="3B50AD72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68CF4392" w14:textId="77777777" w:rsidTr="00850E4C">
        <w:tc>
          <w:tcPr>
            <w:tcW w:w="9064" w:type="dxa"/>
            <w:shd w:val="clear" w:color="auto" w:fill="BFBFBF" w:themeFill="background1" w:themeFillShade="BF"/>
          </w:tcPr>
          <w:p w14:paraId="2C2A2429" w14:textId="3D5688CC" w:rsidR="00461A56" w:rsidRPr="00DD67C8" w:rsidRDefault="00461A56" w:rsidP="0074223B">
            <w:pPr>
              <w:rPr>
                <w:iCs/>
              </w:rPr>
            </w:pPr>
            <w:r>
              <w:rPr>
                <w:iCs/>
              </w:rPr>
              <w:t>Preparación y control del bulto final</w:t>
            </w:r>
          </w:p>
        </w:tc>
        <w:tc>
          <w:tcPr>
            <w:tcW w:w="1142" w:type="dxa"/>
            <w:shd w:val="clear" w:color="auto" w:fill="BFBFBF" w:themeFill="background1" w:themeFillShade="BF"/>
          </w:tcPr>
          <w:p w14:paraId="67BA1547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1EEF91FC" w14:textId="77777777" w:rsidTr="00850E4C">
        <w:tc>
          <w:tcPr>
            <w:tcW w:w="9064" w:type="dxa"/>
          </w:tcPr>
          <w:p w14:paraId="693712F8" w14:textId="2BBBE17F" w:rsidR="00461A56" w:rsidRPr="00DD67C8" w:rsidRDefault="000C4072" w:rsidP="0074223B">
            <w:pPr>
              <w:rPr>
                <w:iCs/>
              </w:rPr>
            </w:pPr>
            <w:r w:rsidRPr="000C4072">
              <w:rPr>
                <w:iCs/>
                <w:lang w:val="es"/>
              </w:rPr>
              <w:t>Composición del producto final a granel (después de mezclar todos los ingredientes) y número de identificación</w:t>
            </w:r>
          </w:p>
        </w:tc>
        <w:tc>
          <w:tcPr>
            <w:tcW w:w="1142" w:type="dxa"/>
          </w:tcPr>
          <w:p w14:paraId="00DFA5FD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461A56" w:rsidRPr="00DD67C8" w14:paraId="22633AD8" w14:textId="77777777" w:rsidTr="00850E4C">
        <w:tc>
          <w:tcPr>
            <w:tcW w:w="9064" w:type="dxa"/>
          </w:tcPr>
          <w:p w14:paraId="065638AE" w14:textId="4227D047" w:rsidR="00461A56" w:rsidRPr="000C4072" w:rsidRDefault="000C4072" w:rsidP="0074223B">
            <w:pPr>
              <w:rPr>
                <w:iCs/>
                <w:lang w:val="es"/>
              </w:rPr>
            </w:pPr>
            <w:r w:rsidRPr="000C4072">
              <w:rPr>
                <w:i/>
                <w:iCs/>
                <w:lang w:val="es"/>
              </w:rPr>
              <w:t>Conservantes</w:t>
            </w:r>
            <w:r>
              <w:rPr>
                <w:i/>
                <w:iCs/>
                <w:lang w:val="es"/>
              </w:rPr>
              <w:t xml:space="preserve"> </w:t>
            </w:r>
            <w:r w:rsidRPr="000C4072">
              <w:rPr>
                <w:iCs/>
                <w:lang w:val="es"/>
              </w:rPr>
              <w:t>Concentraciones</w:t>
            </w:r>
          </w:p>
        </w:tc>
        <w:tc>
          <w:tcPr>
            <w:tcW w:w="1142" w:type="dxa"/>
          </w:tcPr>
          <w:p w14:paraId="34C91CD1" w14:textId="77777777" w:rsidR="00461A56" w:rsidRPr="00DD67C8" w:rsidRDefault="00461A56" w:rsidP="00EA389D">
            <w:pPr>
              <w:rPr>
                <w:iCs/>
              </w:rPr>
            </w:pPr>
          </w:p>
        </w:tc>
      </w:tr>
      <w:tr w:rsidR="000C4072" w:rsidRPr="00DD67C8" w14:paraId="573D910C" w14:textId="77777777" w:rsidTr="00850E4C">
        <w:tc>
          <w:tcPr>
            <w:tcW w:w="9064" w:type="dxa"/>
          </w:tcPr>
          <w:p w14:paraId="4C3A73D1" w14:textId="690ED4C3" w:rsidR="000C4072" w:rsidRPr="00DD67C8" w:rsidRDefault="00101C19" w:rsidP="0074223B">
            <w:pPr>
              <w:rPr>
                <w:iCs/>
              </w:rPr>
            </w:pPr>
            <w:r>
              <w:rPr>
                <w:iCs/>
              </w:rPr>
              <w:t>Adición de adyuvantes</w:t>
            </w:r>
          </w:p>
        </w:tc>
        <w:tc>
          <w:tcPr>
            <w:tcW w:w="1142" w:type="dxa"/>
          </w:tcPr>
          <w:p w14:paraId="7979F875" w14:textId="77777777" w:rsidR="000C4072" w:rsidRPr="00DD67C8" w:rsidRDefault="000C4072" w:rsidP="00EA389D">
            <w:pPr>
              <w:rPr>
                <w:iCs/>
              </w:rPr>
            </w:pPr>
          </w:p>
        </w:tc>
      </w:tr>
      <w:tr w:rsidR="000C4072" w:rsidRPr="00DD67C8" w14:paraId="3AAC6DF2" w14:textId="77777777" w:rsidTr="00850E4C">
        <w:tc>
          <w:tcPr>
            <w:tcW w:w="9064" w:type="dxa"/>
          </w:tcPr>
          <w:p w14:paraId="6B134AC2" w14:textId="307AA9B9" w:rsidR="000C4072" w:rsidRPr="00DD67C8" w:rsidRDefault="00101C19" w:rsidP="0074223B">
            <w:pPr>
              <w:rPr>
                <w:iCs/>
              </w:rPr>
            </w:pPr>
            <w:r>
              <w:rPr>
                <w:iCs/>
              </w:rPr>
              <w:t>Prueba de integridad de adsorción de adyuvantes</w:t>
            </w:r>
          </w:p>
        </w:tc>
        <w:tc>
          <w:tcPr>
            <w:tcW w:w="1142" w:type="dxa"/>
          </w:tcPr>
          <w:p w14:paraId="5E27DF3F" w14:textId="77777777" w:rsidR="000C4072" w:rsidRPr="00DD67C8" w:rsidRDefault="000C4072" w:rsidP="00EA389D">
            <w:pPr>
              <w:rPr>
                <w:iCs/>
              </w:rPr>
            </w:pPr>
          </w:p>
        </w:tc>
      </w:tr>
      <w:tr w:rsidR="00101C19" w:rsidRPr="00DD67C8" w14:paraId="64265B9D" w14:textId="77777777" w:rsidTr="00850E4C">
        <w:tc>
          <w:tcPr>
            <w:tcW w:w="9064" w:type="dxa"/>
          </w:tcPr>
          <w:p w14:paraId="013A0093" w14:textId="610E25EE" w:rsidR="00101C19" w:rsidRDefault="00101C19" w:rsidP="0074223B">
            <w:pPr>
              <w:rPr>
                <w:iCs/>
              </w:rPr>
            </w:pPr>
            <w:r>
              <w:rPr>
                <w:iCs/>
              </w:rPr>
              <w:t>Test de esterilidad</w:t>
            </w:r>
          </w:p>
        </w:tc>
        <w:tc>
          <w:tcPr>
            <w:tcW w:w="1142" w:type="dxa"/>
          </w:tcPr>
          <w:p w14:paraId="2934A839" w14:textId="77777777" w:rsidR="00101C19" w:rsidRPr="00DD67C8" w:rsidRDefault="00101C19" w:rsidP="00EA389D">
            <w:pPr>
              <w:rPr>
                <w:iCs/>
              </w:rPr>
            </w:pPr>
          </w:p>
        </w:tc>
      </w:tr>
      <w:tr w:rsidR="00101C19" w:rsidRPr="00DD67C8" w14:paraId="6D512CCC" w14:textId="77777777" w:rsidTr="00850E4C">
        <w:tc>
          <w:tcPr>
            <w:tcW w:w="9064" w:type="dxa"/>
          </w:tcPr>
          <w:p w14:paraId="0CF6FACB" w14:textId="745424EC" w:rsidR="00101C19" w:rsidRDefault="00F460C2" w:rsidP="0074223B">
            <w:pPr>
              <w:rPr>
                <w:iCs/>
              </w:rPr>
            </w:pPr>
            <w:r>
              <w:rPr>
                <w:iCs/>
              </w:rPr>
              <w:t>Ausencia de Bacterias</w:t>
            </w:r>
          </w:p>
        </w:tc>
        <w:tc>
          <w:tcPr>
            <w:tcW w:w="1142" w:type="dxa"/>
          </w:tcPr>
          <w:p w14:paraId="7A0001C7" w14:textId="77777777" w:rsidR="00101C19" w:rsidRPr="00DD67C8" w:rsidRDefault="00101C19" w:rsidP="00EA389D">
            <w:pPr>
              <w:rPr>
                <w:iCs/>
              </w:rPr>
            </w:pPr>
          </w:p>
        </w:tc>
      </w:tr>
      <w:tr w:rsidR="00F460C2" w:rsidRPr="00DD67C8" w14:paraId="70B7C6F1" w14:textId="77777777" w:rsidTr="00850E4C">
        <w:tc>
          <w:tcPr>
            <w:tcW w:w="9064" w:type="dxa"/>
          </w:tcPr>
          <w:p w14:paraId="2B2697F8" w14:textId="197091F0" w:rsidR="00F460C2" w:rsidRDefault="00F460C2" w:rsidP="0074223B">
            <w:pPr>
              <w:rPr>
                <w:iCs/>
              </w:rPr>
            </w:pPr>
            <w:r>
              <w:rPr>
                <w:iCs/>
              </w:rPr>
              <w:t>Ausencia de Hongos</w:t>
            </w:r>
          </w:p>
        </w:tc>
        <w:tc>
          <w:tcPr>
            <w:tcW w:w="1142" w:type="dxa"/>
          </w:tcPr>
          <w:p w14:paraId="02A0DFD6" w14:textId="77777777" w:rsidR="00F460C2" w:rsidRPr="00DD67C8" w:rsidRDefault="00F460C2" w:rsidP="00EA389D">
            <w:pPr>
              <w:rPr>
                <w:iCs/>
              </w:rPr>
            </w:pPr>
          </w:p>
        </w:tc>
      </w:tr>
      <w:tr w:rsidR="00F460C2" w:rsidRPr="00DD67C8" w14:paraId="16607F44" w14:textId="77777777" w:rsidTr="00850E4C">
        <w:tc>
          <w:tcPr>
            <w:tcW w:w="9064" w:type="dxa"/>
          </w:tcPr>
          <w:p w14:paraId="097AFF4F" w14:textId="59F8A408" w:rsidR="00F460C2" w:rsidRDefault="00F460C2" w:rsidP="0074223B">
            <w:pPr>
              <w:rPr>
                <w:iCs/>
              </w:rPr>
            </w:pPr>
            <w:r>
              <w:rPr>
                <w:iCs/>
              </w:rPr>
              <w:t>Ausencia de micoplasmas</w:t>
            </w:r>
          </w:p>
        </w:tc>
        <w:tc>
          <w:tcPr>
            <w:tcW w:w="1142" w:type="dxa"/>
          </w:tcPr>
          <w:p w14:paraId="4EA12049" w14:textId="77777777" w:rsidR="00F460C2" w:rsidRPr="00DD67C8" w:rsidRDefault="00F460C2" w:rsidP="00EA389D">
            <w:pPr>
              <w:rPr>
                <w:iCs/>
              </w:rPr>
            </w:pPr>
          </w:p>
        </w:tc>
      </w:tr>
      <w:tr w:rsidR="00F460C2" w:rsidRPr="00DD67C8" w14:paraId="0A0C7C4F" w14:textId="77777777" w:rsidTr="00850E4C">
        <w:tc>
          <w:tcPr>
            <w:tcW w:w="9064" w:type="dxa"/>
          </w:tcPr>
          <w:p w14:paraId="2D62CBA4" w14:textId="291933D0" w:rsidR="00F460C2" w:rsidRDefault="00F460C2" w:rsidP="0074223B">
            <w:pPr>
              <w:rPr>
                <w:iCs/>
              </w:rPr>
            </w:pPr>
            <w:r>
              <w:rPr>
                <w:iCs/>
              </w:rPr>
              <w:t>Pruebas de sustancias químicas utilizadas en la producción</w:t>
            </w:r>
          </w:p>
        </w:tc>
        <w:tc>
          <w:tcPr>
            <w:tcW w:w="1142" w:type="dxa"/>
          </w:tcPr>
          <w:p w14:paraId="422B168A" w14:textId="77777777" w:rsidR="00F460C2" w:rsidRPr="00DD67C8" w:rsidRDefault="00F460C2" w:rsidP="00EA389D">
            <w:pPr>
              <w:rPr>
                <w:iCs/>
              </w:rPr>
            </w:pPr>
          </w:p>
        </w:tc>
      </w:tr>
      <w:tr w:rsidR="00F460C2" w:rsidRPr="00DD67C8" w14:paraId="2A0D2198" w14:textId="77777777" w:rsidTr="00850E4C">
        <w:tc>
          <w:tcPr>
            <w:tcW w:w="9064" w:type="dxa"/>
          </w:tcPr>
          <w:p w14:paraId="3FDCF74F" w14:textId="43AFCCA3" w:rsidR="00F460C2" w:rsidRDefault="00F460C2" w:rsidP="0074223B">
            <w:pPr>
              <w:rPr>
                <w:iCs/>
              </w:rPr>
            </w:pPr>
            <w:r>
              <w:rPr>
                <w:iCs/>
              </w:rPr>
              <w:t>Análisis de potencia</w:t>
            </w:r>
          </w:p>
        </w:tc>
        <w:tc>
          <w:tcPr>
            <w:tcW w:w="1142" w:type="dxa"/>
          </w:tcPr>
          <w:p w14:paraId="1B085763" w14:textId="77777777" w:rsidR="00F460C2" w:rsidRPr="00DD67C8" w:rsidRDefault="00F460C2" w:rsidP="00EA389D">
            <w:pPr>
              <w:rPr>
                <w:iCs/>
              </w:rPr>
            </w:pPr>
          </w:p>
        </w:tc>
      </w:tr>
      <w:tr w:rsidR="006F3B06" w:rsidRPr="00DD67C8" w14:paraId="567C8408" w14:textId="0B3E5220" w:rsidTr="00850E4C">
        <w:tc>
          <w:tcPr>
            <w:tcW w:w="9064" w:type="dxa"/>
            <w:shd w:val="clear" w:color="auto" w:fill="D0CECE" w:themeFill="background2" w:themeFillShade="E6"/>
          </w:tcPr>
          <w:p w14:paraId="42E864D5" w14:textId="610E8284" w:rsidR="006F3B06" w:rsidRPr="00DD67C8" w:rsidRDefault="00F460C2" w:rsidP="0074223B">
            <w:pPr>
              <w:rPr>
                <w:iCs/>
              </w:rPr>
            </w:pPr>
            <w:r>
              <w:rPr>
                <w:iCs/>
              </w:rPr>
              <w:t>Pruebas de control en el lote final</w:t>
            </w:r>
          </w:p>
        </w:tc>
        <w:tc>
          <w:tcPr>
            <w:tcW w:w="1142" w:type="dxa"/>
            <w:shd w:val="clear" w:color="auto" w:fill="D0CECE" w:themeFill="background2" w:themeFillShade="E6"/>
          </w:tcPr>
          <w:p w14:paraId="70E158C2" w14:textId="77777777" w:rsidR="006F3B06" w:rsidRPr="00DD67C8" w:rsidRDefault="006F3B06" w:rsidP="00EA389D">
            <w:pPr>
              <w:rPr>
                <w:iCs/>
              </w:rPr>
            </w:pPr>
          </w:p>
        </w:tc>
      </w:tr>
      <w:tr w:rsidR="006F3B06" w:rsidRPr="00104F94" w14:paraId="4EBCDB58" w14:textId="692CA25F" w:rsidTr="00850E4C">
        <w:tc>
          <w:tcPr>
            <w:tcW w:w="9064" w:type="dxa"/>
          </w:tcPr>
          <w:p w14:paraId="01E207F1" w14:textId="436ABDB8" w:rsidR="006F3B06" w:rsidRPr="00F90109" w:rsidRDefault="00F460C2" w:rsidP="0074223B">
            <w:r>
              <w:t xml:space="preserve">Prueba de </w:t>
            </w:r>
            <w:r w:rsidR="002538A5">
              <w:t>identidad</w:t>
            </w:r>
          </w:p>
        </w:tc>
        <w:tc>
          <w:tcPr>
            <w:tcW w:w="1142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850E4C">
        <w:tc>
          <w:tcPr>
            <w:tcW w:w="9064" w:type="dxa"/>
          </w:tcPr>
          <w:p w14:paraId="7746FF59" w14:textId="0812A747" w:rsidR="006F3B06" w:rsidRPr="00F90109" w:rsidRDefault="002538A5" w:rsidP="0074223B">
            <w:r>
              <w:lastRenderedPageBreak/>
              <w:t>Pruebas de potencia</w:t>
            </w:r>
          </w:p>
        </w:tc>
        <w:tc>
          <w:tcPr>
            <w:tcW w:w="1142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2538A5" w:rsidRPr="00104F94" w14:paraId="67A6B5DC" w14:textId="6A3F805E" w:rsidTr="00850E4C">
        <w:tc>
          <w:tcPr>
            <w:tcW w:w="9064" w:type="dxa"/>
            <w:shd w:val="clear" w:color="auto" w:fill="FFFFFF" w:themeFill="background1"/>
          </w:tcPr>
          <w:p w14:paraId="1A2CDAFC" w14:textId="488B3B8F" w:rsidR="002538A5" w:rsidRPr="00F90109" w:rsidRDefault="002538A5" w:rsidP="00EA389D">
            <w:r>
              <w:t>Pruebas de esterilidad</w:t>
            </w:r>
          </w:p>
        </w:tc>
        <w:tc>
          <w:tcPr>
            <w:tcW w:w="1142" w:type="dxa"/>
            <w:shd w:val="clear" w:color="auto" w:fill="FFFFFF" w:themeFill="background1"/>
          </w:tcPr>
          <w:p w14:paraId="212C8F29" w14:textId="77777777" w:rsidR="002538A5" w:rsidRPr="00F90109" w:rsidRDefault="002538A5" w:rsidP="002538A5"/>
        </w:tc>
      </w:tr>
      <w:tr w:rsidR="006F3B06" w:rsidRPr="00104F94" w14:paraId="0F6CC39D" w14:textId="21788466" w:rsidTr="00850E4C">
        <w:tc>
          <w:tcPr>
            <w:tcW w:w="9064" w:type="dxa"/>
          </w:tcPr>
          <w:p w14:paraId="019B9A8F" w14:textId="3CF6468B" w:rsidR="006F3B06" w:rsidRPr="00CD038A" w:rsidRDefault="002538A5" w:rsidP="0074223B">
            <w:r>
              <w:t>Ausencia de Bacterias</w:t>
            </w:r>
          </w:p>
        </w:tc>
        <w:tc>
          <w:tcPr>
            <w:tcW w:w="1142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850E4C">
        <w:tc>
          <w:tcPr>
            <w:tcW w:w="9064" w:type="dxa"/>
          </w:tcPr>
          <w:p w14:paraId="5A9911F6" w14:textId="56985656" w:rsidR="006F3B06" w:rsidRPr="00CD038A" w:rsidRDefault="002538A5" w:rsidP="0074223B">
            <w:r>
              <w:t>Ausencia de Hongos</w:t>
            </w:r>
          </w:p>
        </w:tc>
        <w:tc>
          <w:tcPr>
            <w:tcW w:w="1142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850E4C">
        <w:tc>
          <w:tcPr>
            <w:tcW w:w="9064" w:type="dxa"/>
            <w:shd w:val="clear" w:color="auto" w:fill="BFBFBF" w:themeFill="background1" w:themeFillShade="BF"/>
          </w:tcPr>
          <w:p w14:paraId="579BCC60" w14:textId="336BADAF" w:rsidR="006F3B06" w:rsidRPr="00CD038A" w:rsidRDefault="002538A5" w:rsidP="0074223B">
            <w:r>
              <w:t xml:space="preserve">Pruebas de seguridad </w:t>
            </w:r>
          </w:p>
        </w:tc>
        <w:tc>
          <w:tcPr>
            <w:tcW w:w="1142" w:type="dxa"/>
            <w:shd w:val="clear" w:color="auto" w:fill="BFBFBF" w:themeFill="background1" w:themeFillShade="BF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0B4492" w:rsidRPr="00104F94" w14:paraId="14CDC99B" w14:textId="1176B7DC" w:rsidTr="00850E4C">
        <w:tc>
          <w:tcPr>
            <w:tcW w:w="10206" w:type="dxa"/>
            <w:gridSpan w:val="2"/>
            <w:shd w:val="clear" w:color="auto" w:fill="FFFFFF" w:themeFill="background1"/>
          </w:tcPr>
          <w:p w14:paraId="12781BD6" w14:textId="1BE69EA2" w:rsidR="000B4492" w:rsidRPr="00CD038A" w:rsidRDefault="002538A5" w:rsidP="009F64F6">
            <w:r>
              <w:t>Pruebas en ratones</w:t>
            </w:r>
          </w:p>
        </w:tc>
      </w:tr>
      <w:tr w:rsidR="0074223B" w:rsidRPr="00104F94" w14:paraId="08DEB2B1" w14:textId="77777777" w:rsidTr="00850E4C">
        <w:tc>
          <w:tcPr>
            <w:tcW w:w="9064" w:type="dxa"/>
            <w:tcBorders>
              <w:bottom w:val="single" w:sz="4" w:space="0" w:color="auto"/>
            </w:tcBorders>
          </w:tcPr>
          <w:p w14:paraId="03C6DFB4" w14:textId="55E17304" w:rsidR="0074223B" w:rsidRPr="0074223B" w:rsidRDefault="00DA5CD1" w:rsidP="009F64F6">
            <w:r>
              <w:t>Prueba en cobayas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F80BCF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51DD54E8" w14:textId="77777777" w:rsidTr="00850E4C">
        <w:tc>
          <w:tcPr>
            <w:tcW w:w="9064" w:type="dxa"/>
            <w:tcBorders>
              <w:top w:val="single" w:sz="4" w:space="0" w:color="auto"/>
            </w:tcBorders>
          </w:tcPr>
          <w:p w14:paraId="68DCD334" w14:textId="618F1F4E" w:rsidR="0074223B" w:rsidRPr="0074223B" w:rsidRDefault="00DA5CD1" w:rsidP="00DA5CD1">
            <w:r>
              <w:t xml:space="preserve">Prueba de endotoxinas 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A9F71C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397F5AB6" w14:textId="77777777" w:rsidTr="00850E4C">
        <w:tc>
          <w:tcPr>
            <w:tcW w:w="9064" w:type="dxa"/>
          </w:tcPr>
          <w:p w14:paraId="34719299" w14:textId="075A656C" w:rsidR="0074223B" w:rsidRPr="0074223B" w:rsidRDefault="00DA5CD1" w:rsidP="000B4492">
            <w:r>
              <w:t>Prueba de conservantes</w:t>
            </w:r>
          </w:p>
        </w:tc>
        <w:tc>
          <w:tcPr>
            <w:tcW w:w="1142" w:type="dxa"/>
          </w:tcPr>
          <w:p w14:paraId="0411CA02" w14:textId="77777777" w:rsidR="0074223B" w:rsidRPr="00CD038A" w:rsidRDefault="0074223B" w:rsidP="00611CE4">
            <w:pPr>
              <w:ind w:left="113"/>
            </w:pPr>
          </w:p>
        </w:tc>
      </w:tr>
      <w:tr w:rsidR="000B4492" w:rsidRPr="00104F94" w14:paraId="3D210D9C" w14:textId="77777777" w:rsidTr="00850E4C">
        <w:tc>
          <w:tcPr>
            <w:tcW w:w="10206" w:type="dxa"/>
            <w:gridSpan w:val="2"/>
            <w:shd w:val="clear" w:color="auto" w:fill="FFFFFF" w:themeFill="background1"/>
          </w:tcPr>
          <w:p w14:paraId="4E7016A1" w14:textId="38CB2CD1" w:rsidR="000B4492" w:rsidRPr="00CD038A" w:rsidRDefault="00DA5CD1" w:rsidP="00DA5CD1">
            <w:r>
              <w:t xml:space="preserve">Contenido de proteínas </w:t>
            </w:r>
          </w:p>
        </w:tc>
      </w:tr>
      <w:tr w:rsidR="004E4D2E" w:rsidRPr="00104F94" w14:paraId="42841FF2" w14:textId="77777777" w:rsidTr="00850E4C">
        <w:tc>
          <w:tcPr>
            <w:tcW w:w="9064" w:type="dxa"/>
          </w:tcPr>
          <w:p w14:paraId="46571590" w14:textId="1068C3EB" w:rsidR="004E4D2E" w:rsidRDefault="00DA5CD1" w:rsidP="00DA5CD1">
            <w:r>
              <w:t>Adyuvantes</w:t>
            </w:r>
          </w:p>
        </w:tc>
        <w:tc>
          <w:tcPr>
            <w:tcW w:w="1142" w:type="dxa"/>
          </w:tcPr>
          <w:p w14:paraId="15E30D5B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32F9C08B" w14:textId="77777777" w:rsidTr="00850E4C">
        <w:tc>
          <w:tcPr>
            <w:tcW w:w="9064" w:type="dxa"/>
          </w:tcPr>
          <w:p w14:paraId="054DB750" w14:textId="41B2C9B6" w:rsidR="004E4D2E" w:rsidRDefault="00257573" w:rsidP="00257573">
            <w:r>
              <w:t>Humedad residual (Si corresponde)</w:t>
            </w:r>
          </w:p>
        </w:tc>
        <w:tc>
          <w:tcPr>
            <w:tcW w:w="1142" w:type="dxa"/>
          </w:tcPr>
          <w:p w14:paraId="117E3D13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2B849E99" w14:textId="77777777" w:rsidTr="00850E4C">
        <w:tc>
          <w:tcPr>
            <w:tcW w:w="9064" w:type="dxa"/>
          </w:tcPr>
          <w:p w14:paraId="053C4A01" w14:textId="7B40773E" w:rsidR="004E4D2E" w:rsidRPr="004E4D2E" w:rsidRDefault="00257573" w:rsidP="00257573">
            <w:r>
              <w:t>Inspección de los envases finales</w:t>
            </w:r>
          </w:p>
        </w:tc>
        <w:tc>
          <w:tcPr>
            <w:tcW w:w="1142" w:type="dxa"/>
          </w:tcPr>
          <w:p w14:paraId="74EFB877" w14:textId="77777777" w:rsidR="004E4D2E" w:rsidRPr="00CD038A" w:rsidRDefault="004E4D2E" w:rsidP="00611CE4">
            <w:pPr>
              <w:ind w:left="113"/>
            </w:pPr>
          </w:p>
        </w:tc>
      </w:tr>
    </w:tbl>
    <w:p w14:paraId="74D68A91" w14:textId="77777777" w:rsidR="00B6267D" w:rsidRDefault="00B6267D" w:rsidP="00100016">
      <w:pPr>
        <w:pStyle w:val="TableParagraph"/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4"/>
      </w:tblGrid>
      <w:tr w:rsidR="00360B29" w14:paraId="3ACCA581" w14:textId="77777777" w:rsidTr="001B61A5">
        <w:tc>
          <w:tcPr>
            <w:tcW w:w="9072" w:type="dxa"/>
            <w:shd w:val="clear" w:color="auto" w:fill="D0CECE" w:themeFill="background2" w:themeFillShade="E6"/>
          </w:tcPr>
          <w:p w14:paraId="76275F8D" w14:textId="0FE6E6A6" w:rsidR="00360B29" w:rsidRDefault="00360B29" w:rsidP="00100016">
            <w:pPr>
              <w:pStyle w:val="TableParagraph"/>
            </w:pPr>
            <w:r>
              <w:t xml:space="preserve">Información del solvente en caso de ser necesario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898BFF" w14:textId="77777777" w:rsidR="00360B29" w:rsidRDefault="00360B29" w:rsidP="00100016">
            <w:pPr>
              <w:pStyle w:val="TableParagraph"/>
            </w:pPr>
          </w:p>
        </w:tc>
      </w:tr>
      <w:tr w:rsidR="00360B29" w14:paraId="0F757499" w14:textId="77777777" w:rsidTr="001B61A5">
        <w:tc>
          <w:tcPr>
            <w:tcW w:w="9072" w:type="dxa"/>
          </w:tcPr>
          <w:p w14:paraId="57F626F8" w14:textId="526646D0" w:rsidR="00360B29" w:rsidRDefault="00360B29" w:rsidP="00100016">
            <w:pPr>
              <w:pStyle w:val="TableParagraph"/>
            </w:pPr>
            <w:r>
              <w:t>Certificado de análisis</w:t>
            </w:r>
          </w:p>
        </w:tc>
        <w:tc>
          <w:tcPr>
            <w:tcW w:w="1134" w:type="dxa"/>
          </w:tcPr>
          <w:p w14:paraId="1941E185" w14:textId="77777777" w:rsidR="00360B29" w:rsidRDefault="00360B29" w:rsidP="00100016">
            <w:pPr>
              <w:pStyle w:val="TableParagraph"/>
            </w:pPr>
          </w:p>
        </w:tc>
      </w:tr>
      <w:tr w:rsidR="00360B29" w14:paraId="35F76465" w14:textId="77777777" w:rsidTr="001B61A5">
        <w:tc>
          <w:tcPr>
            <w:tcW w:w="9072" w:type="dxa"/>
          </w:tcPr>
          <w:p w14:paraId="1999EB0E" w14:textId="0DE6D17C" w:rsidR="00360B29" w:rsidRDefault="00EE74EB" w:rsidP="00100016">
            <w:pPr>
              <w:pStyle w:val="TableParagraph"/>
            </w:pPr>
            <w:r>
              <w:t xml:space="preserve">Análisis dentro de los </w:t>
            </w:r>
            <w:r w:rsidR="00A96966">
              <w:t>rango</w:t>
            </w:r>
            <w:r>
              <w:t>s de las especificaciones</w:t>
            </w:r>
          </w:p>
        </w:tc>
        <w:tc>
          <w:tcPr>
            <w:tcW w:w="1134" w:type="dxa"/>
          </w:tcPr>
          <w:p w14:paraId="40DB3E72" w14:textId="77777777" w:rsidR="00360B29" w:rsidRDefault="00360B29" w:rsidP="00100016">
            <w:pPr>
              <w:pStyle w:val="TableParagraph"/>
            </w:pPr>
          </w:p>
        </w:tc>
      </w:tr>
      <w:tr w:rsidR="00A96966" w14:paraId="42F8643F" w14:textId="77777777" w:rsidTr="001B61A5">
        <w:tc>
          <w:tcPr>
            <w:tcW w:w="9072" w:type="dxa"/>
          </w:tcPr>
          <w:p w14:paraId="7122BD13" w14:textId="26816E1A" w:rsidR="00A96966" w:rsidRDefault="00A96966" w:rsidP="00100016">
            <w:pPr>
              <w:pStyle w:val="TableParagraph"/>
            </w:pPr>
            <w:r>
              <w:t>Documento que relacione el lote del solvente con el lote del producto final</w:t>
            </w:r>
          </w:p>
        </w:tc>
        <w:tc>
          <w:tcPr>
            <w:tcW w:w="1134" w:type="dxa"/>
          </w:tcPr>
          <w:p w14:paraId="5CBC6841" w14:textId="77777777" w:rsidR="00A96966" w:rsidRDefault="00A96966" w:rsidP="00100016">
            <w:pPr>
              <w:pStyle w:val="TableParagraph"/>
            </w:pPr>
          </w:p>
        </w:tc>
      </w:tr>
    </w:tbl>
    <w:p w14:paraId="4BFC7920" w14:textId="77777777" w:rsidR="00360B29" w:rsidRDefault="00360B29" w:rsidP="00100016">
      <w:pPr>
        <w:pStyle w:val="TableParagraph"/>
      </w:pPr>
    </w:p>
    <w:p w14:paraId="360426BE" w14:textId="77777777" w:rsidR="00B6267D" w:rsidRDefault="00B6267D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1B6A86" w14:paraId="312614F6" w14:textId="77777777" w:rsidTr="001B61A5">
        <w:tc>
          <w:tcPr>
            <w:tcW w:w="9072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993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1B61A5">
        <w:tc>
          <w:tcPr>
            <w:tcW w:w="9072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993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1B61A5">
        <w:tc>
          <w:tcPr>
            <w:tcW w:w="9072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993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1B61A5">
        <w:tc>
          <w:tcPr>
            <w:tcW w:w="9072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993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1B61A5">
        <w:tc>
          <w:tcPr>
            <w:tcW w:w="9072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993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1B61A5">
        <w:tc>
          <w:tcPr>
            <w:tcW w:w="9072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993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D47789" w14:paraId="62CEF959" w14:textId="77777777" w:rsidTr="001B61A5">
        <w:tc>
          <w:tcPr>
            <w:tcW w:w="9072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993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1B61A5">
        <w:tc>
          <w:tcPr>
            <w:tcW w:w="9072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993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1B61A5">
        <w:tc>
          <w:tcPr>
            <w:tcW w:w="9072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993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1B61A5">
        <w:tc>
          <w:tcPr>
            <w:tcW w:w="9072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993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1B61A5">
        <w:tc>
          <w:tcPr>
            <w:tcW w:w="9072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993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1B61A5">
        <w:tc>
          <w:tcPr>
            <w:tcW w:w="9072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993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1B61A5">
        <w:tc>
          <w:tcPr>
            <w:tcW w:w="9072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993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0A30B7" w14:paraId="0F4B90C9" w14:textId="77777777" w:rsidTr="001B61A5">
        <w:tc>
          <w:tcPr>
            <w:tcW w:w="9072" w:type="dxa"/>
            <w:shd w:val="clear" w:color="auto" w:fill="E7E6E6" w:themeFill="background2"/>
          </w:tcPr>
          <w:p w14:paraId="12CE0F60" w14:textId="6A9BB15F" w:rsidR="000A30B7" w:rsidRDefault="000A30B7" w:rsidP="00100016">
            <w:pPr>
              <w:pStyle w:val="TableParagraph"/>
            </w:pPr>
            <w:r>
              <w:t xml:space="preserve">Concordancia con las artes y </w:t>
            </w:r>
            <w:r w:rsidR="00A45C4B">
              <w:t>estucherías registradas</w:t>
            </w:r>
          </w:p>
        </w:tc>
        <w:tc>
          <w:tcPr>
            <w:tcW w:w="993" w:type="dxa"/>
            <w:shd w:val="clear" w:color="auto" w:fill="E7E6E6" w:themeFill="background2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1B61A5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993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1B61A5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t>Envase secundario</w:t>
            </w:r>
          </w:p>
        </w:tc>
        <w:tc>
          <w:tcPr>
            <w:tcW w:w="993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1B61A5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993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  <w:tr w:rsidR="000A30B7" w14:paraId="49FECF41" w14:textId="77777777" w:rsidTr="001B61A5">
        <w:tc>
          <w:tcPr>
            <w:tcW w:w="9072" w:type="dxa"/>
          </w:tcPr>
          <w:p w14:paraId="72DA36AC" w14:textId="77777777" w:rsidR="000A30B7" w:rsidRDefault="000A30B7" w:rsidP="00100016">
            <w:pPr>
              <w:pStyle w:val="TableParagraph"/>
            </w:pPr>
          </w:p>
        </w:tc>
        <w:tc>
          <w:tcPr>
            <w:tcW w:w="993" w:type="dxa"/>
          </w:tcPr>
          <w:p w14:paraId="38705F25" w14:textId="77777777" w:rsidR="000A30B7" w:rsidRDefault="000A30B7" w:rsidP="00100016">
            <w:pPr>
              <w:pStyle w:val="TableParagraph"/>
            </w:pPr>
          </w:p>
        </w:tc>
      </w:tr>
    </w:tbl>
    <w:p w14:paraId="1FBF6F1C" w14:textId="77777777" w:rsidR="000A30B7" w:rsidRDefault="000A30B7" w:rsidP="00100016">
      <w:pPr>
        <w:pStyle w:val="TableParagraph"/>
      </w:pPr>
    </w:p>
    <w:p w14:paraId="00F9C7CE" w14:textId="77777777" w:rsidR="001B61A5" w:rsidRDefault="001B61A5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072"/>
        <w:gridCol w:w="993"/>
      </w:tblGrid>
      <w:tr w:rsidR="00FC6B25" w14:paraId="7CC930F2" w14:textId="77777777" w:rsidTr="001B61A5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lastRenderedPageBreak/>
              <w:t>Documentos de Importación</w:t>
            </w:r>
          </w:p>
        </w:tc>
        <w:tc>
          <w:tcPr>
            <w:tcW w:w="993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1B61A5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993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1B61A5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993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1B61A5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993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1B61A5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993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3F64E2" w14:paraId="17A3A8E5" w14:textId="77777777" w:rsidTr="007D1CBA">
        <w:tc>
          <w:tcPr>
            <w:tcW w:w="4111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5954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7938"/>
        <w:gridCol w:w="993"/>
        <w:gridCol w:w="1134"/>
      </w:tblGrid>
      <w:tr w:rsidR="00F95C78" w14:paraId="0A513586" w14:textId="77777777" w:rsidTr="001B61A5">
        <w:tc>
          <w:tcPr>
            <w:tcW w:w="7938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993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134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23EBD" w14:paraId="662ACC6F" w14:textId="77777777" w:rsidTr="001B61A5">
        <w:tc>
          <w:tcPr>
            <w:tcW w:w="10065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1B61A5">
        <w:tc>
          <w:tcPr>
            <w:tcW w:w="10065" w:type="dxa"/>
          </w:tcPr>
          <w:p w14:paraId="3C5022DA" w14:textId="360F589A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3E7FD2F1" w14:textId="2372B1D3" w:rsidR="004D04E3" w:rsidRPr="001557CE" w:rsidRDefault="00D04D5F" w:rsidP="004D04E3">
            <w:pPr>
              <w:rPr>
                <w:bCs/>
                <w:iCs/>
                <w:lang w:val="es-PY"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>, cumple con la revisión del protocolo de fabricación y control</w:t>
            </w:r>
            <w:r w:rsidR="00596E87">
              <w:rPr>
                <w:bCs/>
                <w:iCs/>
              </w:rPr>
              <w:t xml:space="preserve"> de</w:t>
            </w:r>
            <w:r w:rsidRPr="00D04D5F">
              <w:rPr>
                <w:bCs/>
                <w:iCs/>
              </w:rPr>
              <w:t xml:space="preserve"> </w:t>
            </w:r>
            <w:r w:rsidR="00596E87" w:rsidRPr="00596E87">
              <w:rPr>
                <w:bCs/>
                <w:iCs/>
                <w:lang w:val="es-ES_tradnl"/>
              </w:rPr>
              <w:t>la Serie de Informes Técnicos de la OMS, n.º 858, 1995, Anexo 2 Requisitos para la vacuna contra la hepatitis A (Inactivada), requisitos para sustancias biológicas N° 49</w:t>
            </w:r>
            <w:r w:rsidR="003C4DF7">
              <w:rPr>
                <w:bCs/>
                <w:iCs/>
              </w:rPr>
              <w:t>……….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1B61A5">
        <w:tc>
          <w:tcPr>
            <w:tcW w:w="10065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5F4EC84E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850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229" w:right="1440" w:bottom="1440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D7EF" w14:textId="77777777" w:rsidR="00D81F5F" w:rsidRDefault="00D81F5F" w:rsidP="00650219">
      <w:r>
        <w:separator/>
      </w:r>
    </w:p>
  </w:endnote>
  <w:endnote w:type="continuationSeparator" w:id="0">
    <w:p w14:paraId="4C434103" w14:textId="77777777" w:rsidR="00D81F5F" w:rsidRDefault="00D81F5F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29DB" w14:textId="77777777" w:rsidR="00A76DB6" w:rsidRDefault="00A76D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B978" w14:textId="77777777" w:rsidR="00A76DB6" w:rsidRDefault="00A76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7FD8" w14:textId="77777777" w:rsidR="00A76DB6" w:rsidRDefault="00A76D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065" w14:textId="77777777" w:rsidR="00D81F5F" w:rsidRDefault="00D81F5F" w:rsidP="00650219">
      <w:r>
        <w:separator/>
      </w:r>
    </w:p>
  </w:footnote>
  <w:footnote w:type="continuationSeparator" w:id="0">
    <w:p w14:paraId="76DF9C32" w14:textId="77777777" w:rsidR="00D81F5F" w:rsidRDefault="00D81F5F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3E92" w14:textId="77777777" w:rsidR="00A76DB6" w:rsidRDefault="00A76D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4964"/>
      <w:gridCol w:w="1277"/>
      <w:gridCol w:w="2052"/>
    </w:tblGrid>
    <w:tr w:rsidR="00850E4C" w:rsidRPr="00850E4C" w14:paraId="75DF30DE" w14:textId="77777777" w:rsidTr="00A76DB6">
      <w:trPr>
        <w:cantSplit/>
        <w:trHeight w:hRule="exact" w:val="578"/>
      </w:trPr>
      <w:tc>
        <w:tcPr>
          <w:tcW w:w="20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DC304C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noProof/>
            </w:rPr>
            <w:drawing>
              <wp:inline distT="0" distB="0" distL="0" distR="0" wp14:anchorId="1337F412" wp14:editId="649B243D">
                <wp:extent cx="828675" cy="361950"/>
                <wp:effectExtent l="0" t="0" r="9525" b="0"/>
                <wp:docPr id="11293075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FCF676" w14:textId="77777777" w:rsidR="00850E4C" w:rsidRPr="00850E4C" w:rsidRDefault="00850E4C" w:rsidP="00850E4C">
          <w:pPr>
            <w:pStyle w:val="Encabezado"/>
            <w:jc w:val="center"/>
            <w:rPr>
              <w:b/>
            </w:rPr>
          </w:pPr>
          <w:r w:rsidRPr="00850E4C">
            <w:rPr>
              <w:b/>
            </w:rPr>
            <w:t>EVALUACIÓN DEL PROTOCOLO RESUMIDO DE FABRICIÓN DE LA VACUNA CONTRA LA HEPATITIS A</w:t>
          </w:r>
        </w:p>
        <w:p w14:paraId="7F4F745B" w14:textId="77777777" w:rsidR="00850E4C" w:rsidRPr="00850E4C" w:rsidRDefault="00850E4C" w:rsidP="00850E4C">
          <w:pPr>
            <w:pStyle w:val="Encabezado"/>
            <w:jc w:val="center"/>
            <w:rPr>
              <w:b/>
            </w:rPr>
          </w:pPr>
        </w:p>
        <w:p w14:paraId="262FCBFC" w14:textId="77777777" w:rsidR="00850E4C" w:rsidRPr="00850E4C" w:rsidRDefault="00850E4C" w:rsidP="00850E4C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B14A68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lang w:val="es-ES_tradnl"/>
            </w:rPr>
            <w:t>Código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8032AD" w14:textId="349F2AF9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lang w:val="es-ES_tradnl"/>
            </w:rPr>
            <w:t>FOR-DGRS</w:t>
          </w:r>
          <w:r w:rsidR="00A76DB6">
            <w:rPr>
              <w:lang w:val="es-ES_tradnl"/>
            </w:rPr>
            <w:t xml:space="preserve"> </w:t>
          </w:r>
          <w:r w:rsidRPr="00850E4C">
            <w:rPr>
              <w:lang w:val="es-ES_tradnl"/>
            </w:rPr>
            <w:t>-</w:t>
          </w:r>
          <w:r w:rsidR="00A76DB6">
            <w:rPr>
              <w:lang w:val="es-ES_tradnl"/>
            </w:rPr>
            <w:t xml:space="preserve"> 069</w:t>
          </w:r>
        </w:p>
        <w:p w14:paraId="6F24E7D8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</w:p>
      </w:tc>
    </w:tr>
    <w:tr w:rsidR="00850E4C" w:rsidRPr="00850E4C" w14:paraId="1D2F0727" w14:textId="77777777" w:rsidTr="00A76DB6">
      <w:trPr>
        <w:cantSplit/>
        <w:trHeight w:val="387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2A7F7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2772F" w14:textId="77777777" w:rsidR="00850E4C" w:rsidRPr="00850E4C" w:rsidRDefault="00850E4C" w:rsidP="00850E4C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3338B8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lang w:val="es-ES_tradnl"/>
            </w:rPr>
            <w:t>Versión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139B06" w14:textId="1700575D" w:rsidR="00850E4C" w:rsidRPr="00850E4C" w:rsidRDefault="00A76DB6" w:rsidP="00850E4C">
          <w:pPr>
            <w:pStyle w:val="Encabezado"/>
            <w:jc w:val="center"/>
            <w:rPr>
              <w:lang w:val="es-ES_tradnl"/>
            </w:rPr>
          </w:pPr>
          <w:r>
            <w:rPr>
              <w:lang w:val="es-ES_tradnl"/>
            </w:rPr>
            <w:t>00</w:t>
          </w:r>
        </w:p>
      </w:tc>
    </w:tr>
    <w:tr w:rsidR="00850E4C" w:rsidRPr="00850E4C" w14:paraId="7AE7370D" w14:textId="77777777" w:rsidTr="00A76DB6">
      <w:trPr>
        <w:cantSplit/>
        <w:trHeight w:val="411"/>
      </w:trPr>
      <w:tc>
        <w:tcPr>
          <w:tcW w:w="20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BB7F43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</w:p>
      </w:tc>
      <w:tc>
        <w:tcPr>
          <w:tcW w:w="49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0DDAAC" w14:textId="77777777" w:rsidR="00850E4C" w:rsidRPr="00850E4C" w:rsidRDefault="00850E4C" w:rsidP="00850E4C">
          <w:pPr>
            <w:pStyle w:val="Encabezado"/>
            <w:jc w:val="center"/>
            <w:rPr>
              <w:b/>
              <w:lang w:val="es-ES_tradnl"/>
            </w:rPr>
          </w:pP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8ACE33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lang w:val="es-ES_tradnl"/>
            </w:rPr>
            <w:t>Página</w:t>
          </w:r>
        </w:p>
      </w:tc>
      <w:tc>
        <w:tcPr>
          <w:tcW w:w="20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572F0" w14:textId="77777777" w:rsidR="00850E4C" w:rsidRPr="00850E4C" w:rsidRDefault="00850E4C" w:rsidP="00850E4C">
          <w:pPr>
            <w:pStyle w:val="Encabezado"/>
            <w:jc w:val="center"/>
            <w:rPr>
              <w:lang w:val="es-ES_tradnl"/>
            </w:rPr>
          </w:pPr>
          <w:r w:rsidRPr="00850E4C">
            <w:rPr>
              <w:bCs/>
              <w:lang w:val="es-ES_tradnl"/>
            </w:rPr>
            <w:fldChar w:fldCharType="begin"/>
          </w:r>
          <w:r w:rsidRPr="00850E4C">
            <w:rPr>
              <w:bCs/>
              <w:lang w:val="es-ES_tradnl"/>
            </w:rPr>
            <w:instrText>PAGE</w:instrText>
          </w:r>
          <w:r w:rsidRPr="00850E4C">
            <w:rPr>
              <w:bCs/>
              <w:lang w:val="es-ES_tradnl"/>
            </w:rPr>
            <w:fldChar w:fldCharType="separate"/>
          </w:r>
          <w:r w:rsidRPr="00850E4C">
            <w:rPr>
              <w:bCs/>
              <w:lang w:val="es-ES_tradnl"/>
            </w:rPr>
            <w:t>1</w:t>
          </w:r>
          <w:r w:rsidRPr="00850E4C">
            <w:fldChar w:fldCharType="end"/>
          </w:r>
          <w:r w:rsidRPr="00850E4C">
            <w:t xml:space="preserve"> / </w:t>
          </w:r>
          <w:r w:rsidRPr="00850E4C">
            <w:rPr>
              <w:bCs/>
              <w:lang w:val="es-ES_tradnl"/>
            </w:rPr>
            <w:fldChar w:fldCharType="begin"/>
          </w:r>
          <w:r w:rsidRPr="00850E4C">
            <w:rPr>
              <w:bCs/>
              <w:lang w:val="es-ES_tradnl"/>
            </w:rPr>
            <w:instrText>NUMPAGES</w:instrText>
          </w:r>
          <w:r w:rsidRPr="00850E4C">
            <w:rPr>
              <w:bCs/>
              <w:lang w:val="es-ES_tradnl"/>
            </w:rPr>
            <w:fldChar w:fldCharType="separate"/>
          </w:r>
          <w:r w:rsidRPr="00850E4C">
            <w:rPr>
              <w:bCs/>
              <w:lang w:val="es-ES_tradnl"/>
            </w:rPr>
            <w:t>1</w:t>
          </w:r>
          <w:r w:rsidRPr="00850E4C">
            <w:fldChar w:fldCharType="end"/>
          </w:r>
        </w:p>
      </w:tc>
    </w:tr>
  </w:tbl>
  <w:p w14:paraId="385D7BD1" w14:textId="3D983954" w:rsidR="00EA39A8" w:rsidRDefault="00EA39A8" w:rsidP="00EA39A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067A" w14:textId="77777777" w:rsidR="00A76DB6" w:rsidRDefault="00A76D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36C5E"/>
    <w:rsid w:val="00041BDD"/>
    <w:rsid w:val="0005582F"/>
    <w:rsid w:val="00096D7E"/>
    <w:rsid w:val="000A30B7"/>
    <w:rsid w:val="000B4384"/>
    <w:rsid w:val="000B4492"/>
    <w:rsid w:val="000C4072"/>
    <w:rsid w:val="00100016"/>
    <w:rsid w:val="00101C19"/>
    <w:rsid w:val="00104F94"/>
    <w:rsid w:val="00144093"/>
    <w:rsid w:val="0014505B"/>
    <w:rsid w:val="001557CE"/>
    <w:rsid w:val="001559A6"/>
    <w:rsid w:val="001667B4"/>
    <w:rsid w:val="001A038C"/>
    <w:rsid w:val="001A0A53"/>
    <w:rsid w:val="001B61A5"/>
    <w:rsid w:val="001B6A86"/>
    <w:rsid w:val="001C1C8C"/>
    <w:rsid w:val="001C30EE"/>
    <w:rsid w:val="001D6870"/>
    <w:rsid w:val="00203923"/>
    <w:rsid w:val="00210C4D"/>
    <w:rsid w:val="00215E0C"/>
    <w:rsid w:val="002170F4"/>
    <w:rsid w:val="002352C4"/>
    <w:rsid w:val="002377F9"/>
    <w:rsid w:val="0024779B"/>
    <w:rsid w:val="002522CA"/>
    <w:rsid w:val="002538A5"/>
    <w:rsid w:val="00254D73"/>
    <w:rsid w:val="00257573"/>
    <w:rsid w:val="00261A06"/>
    <w:rsid w:val="00266536"/>
    <w:rsid w:val="0027217A"/>
    <w:rsid w:val="00281F3A"/>
    <w:rsid w:val="0028533C"/>
    <w:rsid w:val="00295CDD"/>
    <w:rsid w:val="002A53D2"/>
    <w:rsid w:val="002B7C24"/>
    <w:rsid w:val="0033446A"/>
    <w:rsid w:val="00337351"/>
    <w:rsid w:val="003463FB"/>
    <w:rsid w:val="00355034"/>
    <w:rsid w:val="00360B29"/>
    <w:rsid w:val="003A40FF"/>
    <w:rsid w:val="003C4DF7"/>
    <w:rsid w:val="003C563B"/>
    <w:rsid w:val="003E1E97"/>
    <w:rsid w:val="003E2553"/>
    <w:rsid w:val="003F64E2"/>
    <w:rsid w:val="00405555"/>
    <w:rsid w:val="004222EC"/>
    <w:rsid w:val="004323AE"/>
    <w:rsid w:val="00434730"/>
    <w:rsid w:val="00436ED4"/>
    <w:rsid w:val="0044698B"/>
    <w:rsid w:val="00461A56"/>
    <w:rsid w:val="00473784"/>
    <w:rsid w:val="0047723B"/>
    <w:rsid w:val="004B1A0F"/>
    <w:rsid w:val="004D04E3"/>
    <w:rsid w:val="004D0F89"/>
    <w:rsid w:val="004E108E"/>
    <w:rsid w:val="004E4D2E"/>
    <w:rsid w:val="004F0388"/>
    <w:rsid w:val="00516EAB"/>
    <w:rsid w:val="00564C2A"/>
    <w:rsid w:val="00567492"/>
    <w:rsid w:val="00567D8B"/>
    <w:rsid w:val="00580D31"/>
    <w:rsid w:val="00596E87"/>
    <w:rsid w:val="005A484B"/>
    <w:rsid w:val="005D04F3"/>
    <w:rsid w:val="00611CE4"/>
    <w:rsid w:val="006206F6"/>
    <w:rsid w:val="006258C1"/>
    <w:rsid w:val="00636A0B"/>
    <w:rsid w:val="00645252"/>
    <w:rsid w:val="00647D6E"/>
    <w:rsid w:val="00650219"/>
    <w:rsid w:val="00655F2E"/>
    <w:rsid w:val="006625FE"/>
    <w:rsid w:val="0067337F"/>
    <w:rsid w:val="00675E05"/>
    <w:rsid w:val="00680FCD"/>
    <w:rsid w:val="006A0578"/>
    <w:rsid w:val="006B2687"/>
    <w:rsid w:val="006B4950"/>
    <w:rsid w:val="006B6635"/>
    <w:rsid w:val="006C24BF"/>
    <w:rsid w:val="006D3D74"/>
    <w:rsid w:val="006E1725"/>
    <w:rsid w:val="006F3B06"/>
    <w:rsid w:val="006F756D"/>
    <w:rsid w:val="00723EBD"/>
    <w:rsid w:val="0073766C"/>
    <w:rsid w:val="00740220"/>
    <w:rsid w:val="0074223B"/>
    <w:rsid w:val="00752863"/>
    <w:rsid w:val="00753C16"/>
    <w:rsid w:val="00756686"/>
    <w:rsid w:val="00774307"/>
    <w:rsid w:val="00784461"/>
    <w:rsid w:val="007A4455"/>
    <w:rsid w:val="007A60B9"/>
    <w:rsid w:val="007B719A"/>
    <w:rsid w:val="007D189B"/>
    <w:rsid w:val="007D1CBA"/>
    <w:rsid w:val="007E52E9"/>
    <w:rsid w:val="007F148B"/>
    <w:rsid w:val="007F4544"/>
    <w:rsid w:val="0083569A"/>
    <w:rsid w:val="00846674"/>
    <w:rsid w:val="00850E4C"/>
    <w:rsid w:val="00862C0E"/>
    <w:rsid w:val="00865144"/>
    <w:rsid w:val="00876576"/>
    <w:rsid w:val="00890827"/>
    <w:rsid w:val="008B1FD0"/>
    <w:rsid w:val="008B48E9"/>
    <w:rsid w:val="008F1354"/>
    <w:rsid w:val="008F785C"/>
    <w:rsid w:val="00910FDD"/>
    <w:rsid w:val="00921D9A"/>
    <w:rsid w:val="00936D65"/>
    <w:rsid w:val="0094672C"/>
    <w:rsid w:val="0096286A"/>
    <w:rsid w:val="0098139E"/>
    <w:rsid w:val="009A09EE"/>
    <w:rsid w:val="009A13DC"/>
    <w:rsid w:val="009D10AD"/>
    <w:rsid w:val="009E1C43"/>
    <w:rsid w:val="009E1FE6"/>
    <w:rsid w:val="009E4E0A"/>
    <w:rsid w:val="009F64F6"/>
    <w:rsid w:val="00A203FA"/>
    <w:rsid w:val="00A31153"/>
    <w:rsid w:val="00A45C4B"/>
    <w:rsid w:val="00A7405C"/>
    <w:rsid w:val="00A76DB6"/>
    <w:rsid w:val="00A8426F"/>
    <w:rsid w:val="00A9204E"/>
    <w:rsid w:val="00A96966"/>
    <w:rsid w:val="00AA059F"/>
    <w:rsid w:val="00AF4A19"/>
    <w:rsid w:val="00B1772D"/>
    <w:rsid w:val="00B25E6A"/>
    <w:rsid w:val="00B327D5"/>
    <w:rsid w:val="00B32970"/>
    <w:rsid w:val="00B6267D"/>
    <w:rsid w:val="00B67657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00163"/>
    <w:rsid w:val="00C103D2"/>
    <w:rsid w:val="00C168E4"/>
    <w:rsid w:val="00C33477"/>
    <w:rsid w:val="00C460FD"/>
    <w:rsid w:val="00C73ED0"/>
    <w:rsid w:val="00CB3C51"/>
    <w:rsid w:val="00CB6407"/>
    <w:rsid w:val="00CB7054"/>
    <w:rsid w:val="00CD038A"/>
    <w:rsid w:val="00CF4A2B"/>
    <w:rsid w:val="00D04D5F"/>
    <w:rsid w:val="00D13D7B"/>
    <w:rsid w:val="00D14B7F"/>
    <w:rsid w:val="00D41E56"/>
    <w:rsid w:val="00D47789"/>
    <w:rsid w:val="00D519E6"/>
    <w:rsid w:val="00D717E6"/>
    <w:rsid w:val="00D81F5F"/>
    <w:rsid w:val="00D95DC3"/>
    <w:rsid w:val="00DA5CD1"/>
    <w:rsid w:val="00DB67A9"/>
    <w:rsid w:val="00DC22BA"/>
    <w:rsid w:val="00DD3872"/>
    <w:rsid w:val="00DD67C8"/>
    <w:rsid w:val="00DE0076"/>
    <w:rsid w:val="00DE2E04"/>
    <w:rsid w:val="00DF53B1"/>
    <w:rsid w:val="00DF6891"/>
    <w:rsid w:val="00DF7E77"/>
    <w:rsid w:val="00E130F9"/>
    <w:rsid w:val="00E15F09"/>
    <w:rsid w:val="00E6446A"/>
    <w:rsid w:val="00E6483D"/>
    <w:rsid w:val="00E64F7F"/>
    <w:rsid w:val="00E705F4"/>
    <w:rsid w:val="00E72DB3"/>
    <w:rsid w:val="00E90224"/>
    <w:rsid w:val="00E95182"/>
    <w:rsid w:val="00EA389D"/>
    <w:rsid w:val="00EA39A8"/>
    <w:rsid w:val="00EA6B2E"/>
    <w:rsid w:val="00EC2538"/>
    <w:rsid w:val="00ED3B15"/>
    <w:rsid w:val="00EE74EB"/>
    <w:rsid w:val="00EE7CA0"/>
    <w:rsid w:val="00F10ECF"/>
    <w:rsid w:val="00F14E4D"/>
    <w:rsid w:val="00F24497"/>
    <w:rsid w:val="00F460C2"/>
    <w:rsid w:val="00F65394"/>
    <w:rsid w:val="00F71C69"/>
    <w:rsid w:val="00F75B3E"/>
    <w:rsid w:val="00F823AB"/>
    <w:rsid w:val="00F90DAF"/>
    <w:rsid w:val="00F95C78"/>
    <w:rsid w:val="00FB4D93"/>
    <w:rsid w:val="00FC1519"/>
    <w:rsid w:val="00FC6B25"/>
    <w:rsid w:val="00FD1E43"/>
    <w:rsid w:val="00FE7CAB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78EC7A71-88E0-4A80-BF70-DCFEF8160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972</TotalTime>
  <Pages>4</Pages>
  <Words>780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96</cp:revision>
  <dcterms:created xsi:type="dcterms:W3CDTF">2025-10-01T12:41:00Z</dcterms:created>
  <dcterms:modified xsi:type="dcterms:W3CDTF">2025-10-16T15:13:00Z</dcterms:modified>
</cp:coreProperties>
</file>