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508" w:rsidRDefault="005B31A0">
      <w:pPr>
        <w:widowControl w:val="0"/>
        <w:pBdr>
          <w:top w:val="nil"/>
          <w:left w:val="nil"/>
          <w:bottom w:val="nil"/>
          <w:right w:val="nil"/>
          <w:between w:val="nil"/>
        </w:pBdr>
        <w:spacing w:before="355"/>
        <w:ind w:right="249"/>
        <w:jc w:val="both"/>
        <w:rPr>
          <w:rFonts w:ascii="Arial" w:eastAsia="Arial" w:hAnsi="Arial" w:cs="Arial"/>
          <w:b/>
          <w:color w:val="000000"/>
        </w:rPr>
      </w:pPr>
      <w:r>
        <w:rPr>
          <w:rFonts w:ascii="Arial" w:eastAsia="Arial" w:hAnsi="Arial" w:cs="Arial"/>
          <w:b/>
          <w:color w:val="000000"/>
        </w:rPr>
        <w:t xml:space="preserve">VISTO: </w:t>
      </w:r>
    </w:p>
    <w:p w:rsidR="002A0508" w:rsidRDefault="005B31A0">
      <w:pPr>
        <w:widowControl w:val="0"/>
        <w:pBdr>
          <w:top w:val="nil"/>
          <w:left w:val="nil"/>
          <w:bottom w:val="nil"/>
          <w:right w:val="nil"/>
          <w:between w:val="nil"/>
        </w:pBdr>
        <w:spacing w:after="0"/>
        <w:ind w:right="16" w:firstLine="720"/>
        <w:jc w:val="both"/>
        <w:rPr>
          <w:rFonts w:ascii="Arial" w:eastAsia="Arial" w:hAnsi="Arial" w:cs="Arial"/>
        </w:rPr>
      </w:pPr>
      <w:r>
        <w:rPr>
          <w:rFonts w:ascii="Arial" w:eastAsia="Arial" w:hAnsi="Arial" w:cs="Arial"/>
          <w:color w:val="000000"/>
        </w:rPr>
        <w:t xml:space="preserve">El Memorándum </w:t>
      </w:r>
      <w:r>
        <w:rPr>
          <w:rFonts w:ascii="Arial" w:eastAsia="Arial" w:hAnsi="Arial" w:cs="Arial"/>
        </w:rPr>
        <w:t xml:space="preserve">       </w:t>
      </w:r>
      <w:r>
        <w:rPr>
          <w:rFonts w:ascii="Arial" w:eastAsia="Arial" w:hAnsi="Arial" w:cs="Arial"/>
          <w:color w:val="000000"/>
        </w:rPr>
        <w:t xml:space="preserve"> </w:t>
      </w:r>
      <w:proofErr w:type="spellStart"/>
      <w:r>
        <w:rPr>
          <w:rFonts w:ascii="Arial" w:eastAsia="Arial" w:hAnsi="Arial" w:cs="Arial"/>
          <w:color w:val="000000"/>
        </w:rPr>
        <w:t>Nº</w:t>
      </w:r>
      <w:proofErr w:type="spellEnd"/>
      <w:r>
        <w:rPr>
          <w:rFonts w:ascii="Arial" w:eastAsia="Arial" w:hAnsi="Arial" w:cs="Arial"/>
          <w:color w:val="000000"/>
        </w:rPr>
        <w:t xml:space="preserve"> XXX de la Dirección General de Regulación de Alimentos y </w:t>
      </w:r>
      <w:r>
        <w:rPr>
          <w:rFonts w:ascii="Arial" w:eastAsia="Arial" w:hAnsi="Arial" w:cs="Arial"/>
        </w:rPr>
        <w:t>P</w:t>
      </w:r>
      <w:r>
        <w:rPr>
          <w:rFonts w:ascii="Arial" w:eastAsia="Arial" w:hAnsi="Arial" w:cs="Arial"/>
          <w:color w:val="000000"/>
        </w:rPr>
        <w:t>roductos Afines, a través del cual solicita</w:t>
      </w:r>
      <w:r>
        <w:rPr>
          <w:rFonts w:ascii="Arial" w:eastAsia="Arial" w:hAnsi="Arial" w:cs="Arial"/>
        </w:rPr>
        <w:t xml:space="preserve"> aprobar los requisitos y condiciones para la autorización de Agotamiento de stock de etiquetas de productos alimenticios y para el uso de etiquetas complementarias. en el ámbito de las competencias de la Dirección Nacional de Vigilancia Sanitaria; y</w:t>
      </w:r>
    </w:p>
    <w:p w:rsidR="002A0508" w:rsidRDefault="002A0508">
      <w:pPr>
        <w:widowControl w:val="0"/>
        <w:pBdr>
          <w:top w:val="nil"/>
          <w:left w:val="nil"/>
          <w:bottom w:val="nil"/>
          <w:right w:val="nil"/>
          <w:between w:val="nil"/>
        </w:pBdr>
        <w:spacing w:after="0"/>
        <w:ind w:right="249" w:firstLine="720"/>
        <w:jc w:val="both"/>
        <w:rPr>
          <w:rFonts w:ascii="Arial" w:eastAsia="Arial" w:hAnsi="Arial" w:cs="Arial"/>
        </w:rPr>
      </w:pPr>
    </w:p>
    <w:p w:rsidR="002A0508" w:rsidRDefault="005B31A0">
      <w:pPr>
        <w:pBdr>
          <w:top w:val="nil"/>
          <w:left w:val="nil"/>
          <w:bottom w:val="nil"/>
          <w:right w:val="nil"/>
          <w:between w:val="nil"/>
        </w:pBdr>
        <w:spacing w:line="240" w:lineRule="auto"/>
        <w:jc w:val="both"/>
        <w:rPr>
          <w:rFonts w:ascii="Arial" w:eastAsia="Arial" w:hAnsi="Arial" w:cs="Arial"/>
          <w:b/>
          <w:color w:val="000000"/>
        </w:rPr>
      </w:pPr>
      <w:r>
        <w:rPr>
          <w:rFonts w:ascii="Arial" w:eastAsia="Arial" w:hAnsi="Arial" w:cs="Arial"/>
          <w:b/>
          <w:color w:val="000000"/>
        </w:rPr>
        <w:t>CONSIDERANDO:</w:t>
      </w:r>
    </w:p>
    <w:p w:rsidR="002A0508" w:rsidRDefault="005B31A0">
      <w:pPr>
        <w:spacing w:line="240" w:lineRule="auto"/>
        <w:ind w:firstLine="720"/>
        <w:jc w:val="both"/>
        <w:rPr>
          <w:rFonts w:ascii="Arial" w:eastAsia="Arial" w:hAnsi="Arial" w:cs="Arial"/>
          <w:color w:val="000000"/>
        </w:rPr>
      </w:pPr>
      <w:r>
        <w:rPr>
          <w:rFonts w:ascii="Arial" w:eastAsia="Arial" w:hAnsi="Arial" w:cs="Arial"/>
          <w:color w:val="000000"/>
        </w:rPr>
        <w:t>Que la Constitución Nacional, en su artículo 72º Del Control de Calidad, establece: “El Estado velará por el control de calidad de los productos alimenticios, químicos, farmacéuticos y biológicos, en las etapas de producción, importación y comercialización”.</w:t>
      </w:r>
    </w:p>
    <w:p w:rsidR="002A0508" w:rsidRDefault="005B31A0">
      <w:pPr>
        <w:spacing w:line="240" w:lineRule="auto"/>
        <w:ind w:firstLine="720"/>
        <w:jc w:val="both"/>
        <w:rPr>
          <w:rFonts w:ascii="Arial" w:eastAsia="Arial" w:hAnsi="Arial" w:cs="Arial"/>
        </w:rPr>
      </w:pPr>
      <w:r>
        <w:rPr>
          <w:rFonts w:ascii="Arial" w:eastAsia="Arial" w:hAnsi="Arial" w:cs="Arial"/>
        </w:rPr>
        <w:t xml:space="preserve">Que la Ley </w:t>
      </w:r>
      <w:proofErr w:type="spellStart"/>
      <w:r>
        <w:rPr>
          <w:rFonts w:ascii="Arial" w:eastAsia="Arial" w:hAnsi="Arial" w:cs="Arial"/>
        </w:rPr>
        <w:t>Nº</w:t>
      </w:r>
      <w:proofErr w:type="spellEnd"/>
      <w:r>
        <w:rPr>
          <w:rFonts w:ascii="Arial" w:eastAsia="Arial" w:hAnsi="Arial" w:cs="Arial"/>
        </w:rPr>
        <w:t xml:space="preserve"> 836/80, Código Sanitario, establece que: "... Artículo 154.- Queda prohibida toda publicidad que atribuya falsame</w:t>
      </w:r>
      <w:bookmarkStart w:id="0" w:name="_GoBack"/>
      <w:bookmarkEnd w:id="0"/>
      <w:r>
        <w:rPr>
          <w:rFonts w:ascii="Arial" w:eastAsia="Arial" w:hAnsi="Arial" w:cs="Arial"/>
        </w:rPr>
        <w:t>nte propiedades terapéuticas a los alimentos o que induzcan a error o engaño al público, en cuanto a su naturaleza, calidad u origen.</w:t>
      </w:r>
      <w:r>
        <w:rPr>
          <w:rFonts w:ascii="Arial" w:eastAsia="Arial" w:hAnsi="Arial" w:cs="Arial"/>
          <w:color w:val="2B2B2B"/>
          <w:sz w:val="21"/>
          <w:szCs w:val="21"/>
          <w:highlight w:val="white"/>
        </w:rPr>
        <w:t xml:space="preserve"> </w:t>
      </w:r>
      <w:r>
        <w:rPr>
          <w:rFonts w:ascii="Arial" w:eastAsia="Arial" w:hAnsi="Arial" w:cs="Arial"/>
        </w:rPr>
        <w:t xml:space="preserve">Artículo 157.- Sólo podrán elaborar, proveer, distribuir y expender alimentos aptos para el consumo. Queda prohibida la producción, venta o donación de aquellos que estén alterados, deteriorados, contaminados o adulterados.  </w:t>
      </w:r>
    </w:p>
    <w:p w:rsidR="002A0508" w:rsidRDefault="005B31A0">
      <w:pPr>
        <w:spacing w:line="240" w:lineRule="auto"/>
        <w:ind w:firstLine="720"/>
        <w:jc w:val="both"/>
        <w:rPr>
          <w:rFonts w:ascii="Arial" w:eastAsia="Arial" w:hAnsi="Arial" w:cs="Arial"/>
        </w:rPr>
      </w:pPr>
      <w:r>
        <w:rPr>
          <w:rFonts w:ascii="Arial" w:eastAsia="Arial" w:hAnsi="Arial" w:cs="Arial"/>
        </w:rPr>
        <w:t xml:space="preserve">Que la Ley </w:t>
      </w:r>
      <w:proofErr w:type="spellStart"/>
      <w:r>
        <w:rPr>
          <w:rFonts w:ascii="Arial" w:eastAsia="Arial" w:hAnsi="Arial" w:cs="Arial"/>
        </w:rPr>
        <w:t>Nº</w:t>
      </w:r>
      <w:proofErr w:type="spellEnd"/>
      <w:r>
        <w:rPr>
          <w:rFonts w:ascii="Arial" w:eastAsia="Arial" w:hAnsi="Arial" w:cs="Arial"/>
        </w:rPr>
        <w:t xml:space="preserve"> 6788/2021, modificada por la Ley </w:t>
      </w:r>
      <w:proofErr w:type="spellStart"/>
      <w:r>
        <w:rPr>
          <w:rFonts w:ascii="Arial" w:eastAsia="Arial" w:hAnsi="Arial" w:cs="Arial"/>
        </w:rPr>
        <w:t>Nº</w:t>
      </w:r>
      <w:proofErr w:type="spellEnd"/>
      <w:r>
        <w:rPr>
          <w:rFonts w:ascii="Arial" w:eastAsia="Arial" w:hAnsi="Arial" w:cs="Arial"/>
        </w:rPr>
        <w:t xml:space="preserve"> 7361/2024, dispone la autonomía de la Dirección Nacional de Vigilancia Sanitaria y en su Artículo 3º establece que la Dirección Nacional de Vigilancia Sanitaria (DINAVISA) será la autoridad responsable en materia de regulación sanitaria de productos para la salud como medicamentos y afines, así como también en materia de alimentos y afines, con las competencias de regulación, control y fiscalización de los alimentos, y afines  de otras sustancias relacionadas con los alimentos, bebidas, aditivos y coadyuvantes alimentarios, alimentos dietéticos, ingredientes o materias primas a ser utilizadas en alimentos, envases en contacto con alimentos o artículos similares destinados a la alimentación humana, y la regulación, control, habilitación y fiscalización de los establecimientos, y de las actividades desarrolladas por las personas físicas o jurídicas que intervienen durante las etapas de: manipulación de alimentos, fabricación, elaboración, almacenamiento, fraccionamiento, control de calidad, distribución, expendio, comercialización, transporte, representación, importación, exportación, empaquetado, etiquetado, información y publicidad de alimentos y las tecnologías aplicadas a la industria alimentaria, de habilitación, inspección, registro sanitario, renovación de registro sanitario, despacho, importación y exportación y en todo otro concepto relacionado a sus funciones.</w:t>
      </w:r>
    </w:p>
    <w:p w:rsidR="002A0508" w:rsidRDefault="005B31A0">
      <w:pPr>
        <w:spacing w:line="240" w:lineRule="auto"/>
        <w:ind w:firstLine="720"/>
        <w:jc w:val="both"/>
        <w:rPr>
          <w:rFonts w:ascii="Arial" w:eastAsia="Arial" w:hAnsi="Arial" w:cs="Arial"/>
        </w:rPr>
      </w:pPr>
      <w:r>
        <w:rPr>
          <w:rFonts w:ascii="Arial" w:eastAsia="Arial" w:hAnsi="Arial" w:cs="Arial"/>
        </w:rPr>
        <w:t xml:space="preserve">Que en virtud del Artículo 5º de la Ley </w:t>
      </w:r>
      <w:proofErr w:type="spellStart"/>
      <w:r>
        <w:rPr>
          <w:rFonts w:ascii="Arial" w:eastAsia="Arial" w:hAnsi="Arial" w:cs="Arial"/>
        </w:rPr>
        <w:t>Nº</w:t>
      </w:r>
      <w:proofErr w:type="spellEnd"/>
      <w:r>
        <w:rPr>
          <w:rFonts w:ascii="Arial" w:eastAsia="Arial" w:hAnsi="Arial" w:cs="Arial"/>
        </w:rPr>
        <w:t xml:space="preserve"> 6788/2021, modificado por la Ley </w:t>
      </w:r>
      <w:proofErr w:type="spellStart"/>
      <w:r>
        <w:rPr>
          <w:rFonts w:ascii="Arial" w:eastAsia="Arial" w:hAnsi="Arial" w:cs="Arial"/>
        </w:rPr>
        <w:t>Nº</w:t>
      </w:r>
      <w:proofErr w:type="spellEnd"/>
      <w:r>
        <w:rPr>
          <w:rFonts w:ascii="Arial" w:eastAsia="Arial" w:hAnsi="Arial" w:cs="Arial"/>
        </w:rPr>
        <w:t xml:space="preserve"> 7361/2024 la Dirección Nacional de Vigilancia Sanitaria (DINAVISA), como Autoridad </w:t>
      </w:r>
      <w:r>
        <w:rPr>
          <w:rFonts w:ascii="Arial" w:eastAsia="Arial" w:hAnsi="Arial" w:cs="Arial"/>
        </w:rPr>
        <w:lastRenderedPageBreak/>
        <w:t>Regulatoria Nacional tiene por finalidad velar por la protección de la salud humana, prevé las funciones que deberá cumplir: “…2) Establecer normas, reglamentos técnicos, guías y códigos de buenas prácticas en el ámbito cuya regulación y control le son asignados por ley, y actualizarlas de forma periódica en concordancia con la evolución científica y tecnológica…8) Otorgar la habilitación o registro, regular y ejercer el control y la fiscalización de los establecimientos dedicados a las actividades relacionadas a los productos del ámbito de su competencia…11) Establecer medidas de carácter general para la aplicación de las buenas prácticas o mejores estándares técnicos para la producción, transporte, almacenamiento y las demás actividades dirigidas al consumo de los productos objeto de vigilancia de la entidad… 15) 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 33) Regular y fiscalizar las actividades realizadas por las personas físicas o jurídicas que intervienen durante las etapas de la fabricación, elaboración, fraccionamiento, control de calidad, distribución, dispensación, comercialización, representación, importación, exportación, almacenamiento, información y publicidad de los productos alimenticios y otros que recaen bajo su competencia. 34) Regular, controlar y fiscalizar los alimentos, otras sustancias relacionadas con los alimentos, bebidas, aditivos y coadyuvantes alimentarios, alimentos dietéticos, ingredientes o materias primas a ser utilizadas en alimentos, envases en contacto con alimentos o artículos similares destinados a la alimentación humana; y otros afines y los que cuya regulación y control le sean asignados por ley…”.</w:t>
      </w:r>
    </w:p>
    <w:p w:rsidR="002A0508" w:rsidRDefault="005B31A0">
      <w:pPr>
        <w:shd w:val="clear" w:color="auto" w:fill="FDFDFD"/>
        <w:spacing w:before="240" w:after="240" w:line="240" w:lineRule="auto"/>
        <w:ind w:firstLine="720"/>
        <w:jc w:val="both"/>
        <w:rPr>
          <w:rFonts w:ascii="Arial" w:eastAsia="Arial" w:hAnsi="Arial" w:cs="Arial"/>
        </w:rPr>
      </w:pPr>
      <w:r>
        <w:rPr>
          <w:rFonts w:ascii="Arial" w:eastAsia="Arial" w:hAnsi="Arial" w:cs="Arial"/>
        </w:rPr>
        <w:t>Que la citada ley orgánica y su modificatoria en el Art. 53.- Adaptación de nomenclatura, permite a la DINAVISA la aplicación de las normas emitidas con anterioridad por otras autoridades que hacen a las funciones absorbidas.</w:t>
      </w:r>
    </w:p>
    <w:p w:rsidR="002A0508" w:rsidRDefault="005B31A0">
      <w:pPr>
        <w:shd w:val="clear" w:color="auto" w:fill="FDFDFD"/>
        <w:spacing w:after="0" w:line="240" w:lineRule="auto"/>
        <w:ind w:firstLine="720"/>
        <w:jc w:val="both"/>
        <w:rPr>
          <w:rFonts w:ascii="Arial" w:eastAsia="Arial" w:hAnsi="Arial" w:cs="Arial"/>
        </w:rPr>
      </w:pPr>
      <w:r>
        <w:rPr>
          <w:rFonts w:ascii="Arial" w:eastAsia="Arial" w:hAnsi="Arial" w:cs="Arial"/>
        </w:rPr>
        <w:t xml:space="preserve">Que a partir de la Ley </w:t>
      </w:r>
      <w:proofErr w:type="spellStart"/>
      <w:r>
        <w:rPr>
          <w:rFonts w:ascii="Arial" w:eastAsia="Arial" w:hAnsi="Arial" w:cs="Arial"/>
        </w:rPr>
        <w:t>Nº</w:t>
      </w:r>
      <w:proofErr w:type="spellEnd"/>
      <w:r>
        <w:rPr>
          <w:rFonts w:ascii="Arial" w:eastAsia="Arial" w:hAnsi="Arial" w:cs="Arial"/>
        </w:rPr>
        <w:t xml:space="preserve"> 7050/2023, “Que aprueba el Presupuesto General de la Nación para el Ejercicio Fiscal 2023” se consagra la autarquía de la Entidad de la Dirección Nacional de Vigilancia Sanitaria.</w:t>
      </w:r>
    </w:p>
    <w:p w:rsidR="002A0508" w:rsidRDefault="002A0508">
      <w:pPr>
        <w:shd w:val="clear" w:color="auto" w:fill="FDFDFD"/>
        <w:spacing w:after="0" w:line="240" w:lineRule="auto"/>
        <w:ind w:firstLine="720"/>
        <w:jc w:val="both"/>
        <w:rPr>
          <w:rFonts w:ascii="Arial" w:eastAsia="Arial" w:hAnsi="Arial" w:cs="Arial"/>
        </w:rPr>
      </w:pPr>
    </w:p>
    <w:p w:rsidR="002A0508" w:rsidRDefault="005B31A0">
      <w:pPr>
        <w:shd w:val="clear" w:color="auto" w:fill="FDFDFD"/>
        <w:spacing w:after="0" w:line="240" w:lineRule="auto"/>
        <w:ind w:firstLine="720"/>
        <w:jc w:val="both"/>
        <w:rPr>
          <w:rFonts w:ascii="Arial" w:eastAsia="Arial" w:hAnsi="Arial" w:cs="Arial"/>
        </w:rPr>
      </w:pPr>
      <w:r>
        <w:rPr>
          <w:rFonts w:ascii="Arial" w:eastAsia="Arial" w:hAnsi="Arial" w:cs="Arial"/>
        </w:rPr>
        <w:t xml:space="preserve">Que la Ley </w:t>
      </w:r>
      <w:proofErr w:type="spellStart"/>
      <w:r>
        <w:rPr>
          <w:rFonts w:ascii="Arial" w:eastAsia="Arial" w:hAnsi="Arial" w:cs="Arial"/>
        </w:rPr>
        <w:t>N°</w:t>
      </w:r>
      <w:proofErr w:type="spellEnd"/>
      <w:r>
        <w:rPr>
          <w:rFonts w:ascii="Arial" w:eastAsia="Arial" w:hAnsi="Arial" w:cs="Arial"/>
        </w:rPr>
        <w:t xml:space="preserve"> 7408/2024, aprueba el Presupuesto General de la Nación para el ejercicio fiscal 2025, el Anexo de Personal y las partidas presupuestarias de la Dirección Nacional de Vigilancia Sanitaria.</w:t>
      </w:r>
    </w:p>
    <w:p w:rsidR="002A0508" w:rsidRDefault="002A0508">
      <w:pPr>
        <w:shd w:val="clear" w:color="auto" w:fill="FDFDFD"/>
        <w:spacing w:after="0" w:line="240" w:lineRule="auto"/>
        <w:ind w:firstLine="720"/>
        <w:jc w:val="both"/>
        <w:rPr>
          <w:rFonts w:ascii="Arial" w:eastAsia="Arial" w:hAnsi="Arial" w:cs="Arial"/>
        </w:rPr>
      </w:pPr>
    </w:p>
    <w:p w:rsidR="002A0508" w:rsidRDefault="005B31A0">
      <w:pPr>
        <w:spacing w:line="240" w:lineRule="auto"/>
        <w:ind w:firstLine="720"/>
        <w:jc w:val="both"/>
        <w:rPr>
          <w:rFonts w:ascii="Arial" w:eastAsia="Arial" w:hAnsi="Arial" w:cs="Arial"/>
        </w:rPr>
      </w:pPr>
      <w:r>
        <w:rPr>
          <w:rFonts w:ascii="Arial" w:eastAsia="Arial" w:hAnsi="Arial" w:cs="Arial"/>
        </w:rPr>
        <w:t>Que los controles sanitarios relacionados al cumplimiento de las reglamentaciones de etiquetado de productos alimenticios deben ser realizados independientemente a la vigencia de su registro o autorización de funcionamiento.</w:t>
      </w:r>
    </w:p>
    <w:p w:rsidR="002A0508" w:rsidRDefault="005B31A0">
      <w:pPr>
        <w:spacing w:line="240" w:lineRule="auto"/>
        <w:ind w:firstLine="720"/>
        <w:jc w:val="both"/>
        <w:rPr>
          <w:rFonts w:ascii="Arial" w:eastAsia="Arial" w:hAnsi="Arial" w:cs="Arial"/>
        </w:rPr>
      </w:pPr>
      <w:r>
        <w:rPr>
          <w:rFonts w:ascii="Arial" w:eastAsia="Arial" w:hAnsi="Arial" w:cs="Arial"/>
        </w:rPr>
        <w:lastRenderedPageBreak/>
        <w:t xml:space="preserve">Que la Resolución DINAVISA </w:t>
      </w:r>
      <w:proofErr w:type="spellStart"/>
      <w:r>
        <w:rPr>
          <w:rFonts w:ascii="Arial" w:eastAsia="Arial" w:hAnsi="Arial" w:cs="Arial"/>
        </w:rPr>
        <w:t>N°</w:t>
      </w:r>
      <w:proofErr w:type="spellEnd"/>
      <w:r>
        <w:rPr>
          <w:rFonts w:ascii="Arial" w:eastAsia="Arial" w:hAnsi="Arial" w:cs="Arial"/>
        </w:rPr>
        <w:t xml:space="preserve"> 328/2025 establece en su artículo 34 que se podrá solicitar agotamiento de stock de etiquetas, según análisis técnico pertinente y conforme al procedimiento que determine la DINAVISA para dichos efectos.</w:t>
      </w:r>
    </w:p>
    <w:p w:rsidR="002A0508" w:rsidRDefault="005B31A0">
      <w:pPr>
        <w:spacing w:after="0" w:line="240" w:lineRule="auto"/>
        <w:ind w:firstLine="720"/>
        <w:jc w:val="both"/>
        <w:rPr>
          <w:rFonts w:ascii="Arial" w:eastAsia="Arial" w:hAnsi="Arial" w:cs="Arial"/>
        </w:rPr>
      </w:pPr>
      <w:r>
        <w:rPr>
          <w:rFonts w:ascii="Arial" w:eastAsia="Arial" w:hAnsi="Arial" w:cs="Arial"/>
        </w:rPr>
        <w:t>Que en el precepto del derecho a la información que tienen los consumidores, es necesario establecer requisitos y condiciones para facilitar el agotamiento de stock de las etiquetas y el uso de etiquetado complementario de productos alimenticios, garantizando que la información sea clara, veraz y comprensible.</w:t>
      </w:r>
    </w:p>
    <w:p w:rsidR="002A0508" w:rsidRDefault="005B31A0">
      <w:pPr>
        <w:spacing w:before="240" w:after="240" w:line="240" w:lineRule="auto"/>
        <w:ind w:firstLine="720"/>
        <w:jc w:val="both"/>
        <w:rPr>
          <w:rFonts w:ascii="Arial" w:eastAsia="Arial" w:hAnsi="Arial" w:cs="Arial"/>
        </w:rPr>
      </w:pPr>
      <w:r>
        <w:rPr>
          <w:rFonts w:ascii="Arial" w:eastAsia="Arial" w:hAnsi="Arial" w:cs="Arial"/>
        </w:rPr>
        <w:t xml:space="preserve">Que, conforme a lo manifestado, es necesario aprobar el presente Reglamento Técnico en el marco de las competencias de la DINAVISA. </w:t>
      </w:r>
    </w:p>
    <w:p w:rsidR="002A0508" w:rsidRDefault="005B31A0">
      <w:pPr>
        <w:spacing w:before="240" w:after="240" w:line="240" w:lineRule="auto"/>
        <w:ind w:firstLine="720"/>
        <w:jc w:val="both"/>
        <w:rPr>
          <w:rFonts w:ascii="Arial" w:eastAsia="Arial" w:hAnsi="Arial" w:cs="Arial"/>
          <w:b/>
        </w:rPr>
      </w:pPr>
      <w:r>
        <w:rPr>
          <w:rFonts w:ascii="Arial" w:eastAsia="Arial" w:hAnsi="Arial" w:cs="Arial"/>
        </w:rPr>
        <w:t xml:space="preserve">Que la Dirección General de Asuntos Legales se ha expedido favorablemente a la firma de la presente Resolución según Dictamen DINAVISA DGAL </w:t>
      </w:r>
      <w:proofErr w:type="spellStart"/>
      <w:r>
        <w:rPr>
          <w:rFonts w:ascii="Arial" w:eastAsia="Arial" w:hAnsi="Arial" w:cs="Arial"/>
        </w:rPr>
        <w:t>N°</w:t>
      </w:r>
      <w:proofErr w:type="spellEnd"/>
      <w:r>
        <w:rPr>
          <w:rFonts w:ascii="Arial" w:eastAsia="Arial" w:hAnsi="Arial" w:cs="Arial"/>
        </w:rPr>
        <w:t xml:space="preserve"> </w:t>
      </w:r>
      <w:proofErr w:type="spellStart"/>
      <w:r>
        <w:rPr>
          <w:rFonts w:ascii="Arial" w:eastAsia="Arial" w:hAnsi="Arial" w:cs="Arial"/>
        </w:rPr>
        <w:t>xxxx</w:t>
      </w:r>
      <w:proofErr w:type="spellEnd"/>
      <w:r>
        <w:rPr>
          <w:rFonts w:ascii="Arial" w:eastAsia="Arial" w:hAnsi="Arial" w:cs="Arial"/>
        </w:rPr>
        <w:t xml:space="preserve">, de fecha </w:t>
      </w:r>
      <w:proofErr w:type="spellStart"/>
      <w:r>
        <w:rPr>
          <w:rFonts w:ascii="Arial" w:eastAsia="Arial" w:hAnsi="Arial" w:cs="Arial"/>
        </w:rPr>
        <w:t>xx</w:t>
      </w:r>
      <w:proofErr w:type="spellEnd"/>
      <w:r>
        <w:rPr>
          <w:rFonts w:ascii="Arial" w:eastAsia="Arial" w:hAnsi="Arial" w:cs="Arial"/>
        </w:rPr>
        <w:t xml:space="preserve"> de </w:t>
      </w:r>
      <w:proofErr w:type="spellStart"/>
      <w:r>
        <w:rPr>
          <w:rFonts w:ascii="Arial" w:eastAsia="Arial" w:hAnsi="Arial" w:cs="Arial"/>
        </w:rPr>
        <w:t>xxxxxxx</w:t>
      </w:r>
      <w:proofErr w:type="spellEnd"/>
      <w:r>
        <w:rPr>
          <w:rFonts w:ascii="Arial" w:eastAsia="Arial" w:hAnsi="Arial" w:cs="Arial"/>
        </w:rPr>
        <w:t xml:space="preserve"> de 2025.</w:t>
      </w:r>
    </w:p>
    <w:p w:rsidR="002A0508" w:rsidRDefault="005B31A0">
      <w:pPr>
        <w:spacing w:after="0" w:line="240" w:lineRule="auto"/>
        <w:rPr>
          <w:rFonts w:ascii="Arial" w:eastAsia="Arial" w:hAnsi="Arial" w:cs="Arial"/>
          <w:color w:val="000000"/>
        </w:rPr>
      </w:pPr>
      <w:r>
        <w:rPr>
          <w:rFonts w:ascii="Arial" w:eastAsia="Arial" w:hAnsi="Arial" w:cs="Arial"/>
          <w:b/>
          <w:color w:val="000000"/>
        </w:rPr>
        <w:t>POR TANTO</w:t>
      </w:r>
      <w:r>
        <w:rPr>
          <w:rFonts w:ascii="Arial" w:eastAsia="Arial" w:hAnsi="Arial" w:cs="Arial"/>
          <w:color w:val="000000"/>
        </w:rPr>
        <w:t>, en ejercicio de sus atribuciones legales,</w:t>
      </w:r>
    </w:p>
    <w:p w:rsidR="002A0508" w:rsidRDefault="002A0508">
      <w:pPr>
        <w:spacing w:after="0" w:line="240" w:lineRule="auto"/>
        <w:jc w:val="center"/>
        <w:rPr>
          <w:rFonts w:ascii="Times New Roman" w:eastAsia="Times New Roman" w:hAnsi="Times New Roman" w:cs="Times New Roman"/>
          <w:sz w:val="24"/>
          <w:szCs w:val="24"/>
        </w:rPr>
      </w:pPr>
    </w:p>
    <w:p w:rsidR="002A0508" w:rsidRDefault="005B31A0">
      <w:pPr>
        <w:spacing w:after="0" w:line="240" w:lineRule="auto"/>
        <w:jc w:val="center"/>
        <w:rPr>
          <w:rFonts w:ascii="Arial" w:eastAsia="Arial" w:hAnsi="Arial" w:cs="Arial"/>
        </w:rPr>
      </w:pPr>
      <w:r>
        <w:rPr>
          <w:rFonts w:ascii="Arial" w:eastAsia="Arial" w:hAnsi="Arial" w:cs="Arial"/>
          <w:b/>
          <w:color w:val="000000"/>
        </w:rPr>
        <w:t>EL DIRECTOR NACIONAL INTERINO DE LA DIRECCIÓN NACIONAL DE VIGILANCIA SANITARIA</w:t>
      </w:r>
    </w:p>
    <w:p w:rsidR="002A0508" w:rsidRDefault="002A0508">
      <w:pPr>
        <w:spacing w:after="0" w:line="240" w:lineRule="auto"/>
        <w:rPr>
          <w:rFonts w:ascii="Arial" w:eastAsia="Arial" w:hAnsi="Arial" w:cs="Arial"/>
          <w:sz w:val="10"/>
          <w:szCs w:val="10"/>
        </w:rPr>
      </w:pPr>
    </w:p>
    <w:p w:rsidR="002A0508" w:rsidRDefault="005B31A0">
      <w:pPr>
        <w:spacing w:line="240" w:lineRule="auto"/>
        <w:jc w:val="center"/>
        <w:rPr>
          <w:rFonts w:ascii="Arial" w:eastAsia="Arial" w:hAnsi="Arial" w:cs="Arial"/>
        </w:rPr>
      </w:pPr>
      <w:r>
        <w:rPr>
          <w:rFonts w:ascii="Arial" w:eastAsia="Arial" w:hAnsi="Arial" w:cs="Arial"/>
          <w:b/>
          <w:color w:val="000000"/>
        </w:rPr>
        <w:t>RESUELVE:</w:t>
      </w:r>
    </w:p>
    <w:p w:rsidR="002A0508" w:rsidRDefault="005B31A0">
      <w:pPr>
        <w:spacing w:after="0" w:line="240" w:lineRule="auto"/>
        <w:ind w:left="1417" w:hanging="1417"/>
        <w:jc w:val="both"/>
        <w:rPr>
          <w:rFonts w:ascii="Arial" w:eastAsia="Arial" w:hAnsi="Arial" w:cs="Arial"/>
          <w:color w:val="0F1115"/>
        </w:rPr>
      </w:pPr>
      <w:r>
        <w:rPr>
          <w:rFonts w:ascii="Arial" w:eastAsia="Arial" w:hAnsi="Arial" w:cs="Arial"/>
          <w:b/>
        </w:rPr>
        <w:t>Artículo 1</w:t>
      </w:r>
      <w:proofErr w:type="gramStart"/>
      <w:r>
        <w:rPr>
          <w:rFonts w:ascii="Arial" w:eastAsia="Arial" w:hAnsi="Arial" w:cs="Arial"/>
          <w:b/>
        </w:rPr>
        <w:t>°.-</w:t>
      </w:r>
      <w:proofErr w:type="gramEnd"/>
      <w:r>
        <w:rPr>
          <w:rFonts w:ascii="Arial" w:eastAsia="Arial" w:hAnsi="Arial" w:cs="Arial"/>
          <w:b/>
        </w:rPr>
        <w:tab/>
      </w:r>
      <w:r>
        <w:rPr>
          <w:rFonts w:ascii="Arial" w:eastAsia="Arial" w:hAnsi="Arial" w:cs="Arial"/>
          <w:color w:val="0F1115"/>
        </w:rPr>
        <w:t>Establecer los requisitos y condiciones para la autorización del agotamiento de stock de etiquetas de productos alimenticios procesados, así como los lineamientos para el uso de etiquetas complementarias en el marco de dicho procedimiento, en el ámbito de competencia de la DINAVISA.</w:t>
      </w:r>
    </w:p>
    <w:p w:rsidR="002A0508" w:rsidRDefault="002A0508">
      <w:pPr>
        <w:spacing w:after="0" w:line="240" w:lineRule="auto"/>
        <w:ind w:left="1417" w:hanging="1417"/>
        <w:jc w:val="both"/>
        <w:rPr>
          <w:rFonts w:ascii="Arial" w:eastAsia="Arial" w:hAnsi="Arial" w:cs="Arial"/>
          <w:color w:val="0F1115"/>
        </w:rPr>
      </w:pPr>
    </w:p>
    <w:p w:rsidR="002A0508" w:rsidRDefault="005B31A0">
      <w:pPr>
        <w:spacing w:line="240" w:lineRule="auto"/>
        <w:ind w:left="1417" w:hanging="1417"/>
        <w:jc w:val="both"/>
        <w:rPr>
          <w:rFonts w:ascii="Times New Roman" w:eastAsia="Times New Roman" w:hAnsi="Times New Roman" w:cs="Times New Roman"/>
          <w:sz w:val="24"/>
          <w:szCs w:val="24"/>
        </w:rPr>
      </w:pPr>
      <w:r>
        <w:rPr>
          <w:rFonts w:ascii="Arial" w:eastAsia="Arial" w:hAnsi="Arial" w:cs="Arial"/>
          <w:b/>
        </w:rPr>
        <w:t>Artículo 2</w:t>
      </w:r>
      <w:proofErr w:type="gramStart"/>
      <w:r>
        <w:rPr>
          <w:rFonts w:ascii="Arial" w:eastAsia="Arial" w:hAnsi="Arial" w:cs="Arial"/>
          <w:b/>
        </w:rPr>
        <w:t>°.-</w:t>
      </w:r>
      <w:proofErr w:type="gramEnd"/>
      <w:r>
        <w:rPr>
          <w:rFonts w:ascii="Arial" w:eastAsia="Arial" w:hAnsi="Arial" w:cs="Arial"/>
        </w:rPr>
        <w:t xml:space="preserve">   </w:t>
      </w:r>
      <w:r>
        <w:rPr>
          <w:rFonts w:ascii="Arial" w:eastAsia="Arial" w:hAnsi="Arial" w:cs="Arial"/>
          <w:color w:val="000000"/>
        </w:rPr>
        <w:t>Establecer que, para los efectos de</w:t>
      </w:r>
      <w:r>
        <w:rPr>
          <w:rFonts w:ascii="Arial" w:eastAsia="Arial" w:hAnsi="Arial" w:cs="Arial"/>
        </w:rPr>
        <w:t xml:space="preserve"> la presente</w:t>
      </w:r>
      <w:r>
        <w:rPr>
          <w:rFonts w:ascii="Arial" w:eastAsia="Arial" w:hAnsi="Arial" w:cs="Arial"/>
          <w:color w:val="000000"/>
        </w:rPr>
        <w:t>, se entenderá por:</w:t>
      </w:r>
    </w:p>
    <w:p w:rsidR="002A0508" w:rsidRDefault="005B31A0">
      <w:pPr>
        <w:numPr>
          <w:ilvl w:val="0"/>
          <w:numId w:val="1"/>
        </w:numPr>
        <w:spacing w:after="0" w:line="240" w:lineRule="auto"/>
        <w:jc w:val="both"/>
        <w:rPr>
          <w:color w:val="000000"/>
        </w:rPr>
      </w:pPr>
      <w:r>
        <w:rPr>
          <w:rFonts w:ascii="Arial" w:eastAsia="Arial" w:hAnsi="Arial" w:cs="Arial"/>
          <w:b/>
          <w:color w:val="000000"/>
        </w:rPr>
        <w:t xml:space="preserve">Rotulado: </w:t>
      </w:r>
      <w:r>
        <w:rPr>
          <w:rFonts w:ascii="Arial" w:eastAsia="Arial" w:hAnsi="Arial" w:cs="Arial"/>
          <w:color w:val="000000"/>
        </w:rPr>
        <w:t>cualquier materia escrita, impresa o gráfica que contiene el rótulo o acompaña al alimento.</w:t>
      </w:r>
    </w:p>
    <w:p w:rsidR="002A0508" w:rsidRDefault="005B31A0">
      <w:pPr>
        <w:numPr>
          <w:ilvl w:val="0"/>
          <w:numId w:val="1"/>
        </w:numPr>
        <w:spacing w:after="0" w:line="240" w:lineRule="auto"/>
        <w:jc w:val="both"/>
        <w:rPr>
          <w:rFonts w:ascii="Arial" w:eastAsia="Arial" w:hAnsi="Arial" w:cs="Arial"/>
          <w:b/>
          <w:color w:val="000000"/>
        </w:rPr>
      </w:pPr>
      <w:r>
        <w:rPr>
          <w:rFonts w:ascii="Arial" w:eastAsia="Arial" w:hAnsi="Arial" w:cs="Arial"/>
          <w:b/>
          <w:color w:val="000000"/>
        </w:rPr>
        <w:t xml:space="preserve">Rótulo/etiqueta: </w:t>
      </w:r>
      <w:r>
        <w:rPr>
          <w:rFonts w:ascii="Arial" w:eastAsia="Arial" w:hAnsi="Arial" w:cs="Arial"/>
          <w:color w:val="000000"/>
        </w:rPr>
        <w:t>es la etiqueta o marbete u otro material gráfico que se encuentre escrito, impreso, estarcido, marcado, marcado en relieve, grabado o huecograbado, o estampado, en el envase del alimento o adherido a éste.</w:t>
      </w:r>
    </w:p>
    <w:p w:rsidR="002A0508" w:rsidRDefault="005B31A0">
      <w:pPr>
        <w:numPr>
          <w:ilvl w:val="0"/>
          <w:numId w:val="1"/>
        </w:numPr>
        <w:spacing w:after="0" w:line="240" w:lineRule="auto"/>
        <w:jc w:val="both"/>
        <w:rPr>
          <w:rFonts w:ascii="Arial" w:eastAsia="Arial" w:hAnsi="Arial" w:cs="Arial"/>
          <w:b/>
          <w:color w:val="000000"/>
        </w:rPr>
      </w:pPr>
      <w:r>
        <w:rPr>
          <w:rFonts w:ascii="Arial" w:eastAsia="Arial" w:hAnsi="Arial" w:cs="Arial"/>
          <w:b/>
          <w:color w:val="000000"/>
        </w:rPr>
        <w:t xml:space="preserve">Alimento:  </w:t>
      </w:r>
      <w:r>
        <w:rPr>
          <w:rFonts w:ascii="Arial" w:eastAsia="Arial" w:hAnsi="Arial" w:cs="Arial"/>
          <w:color w:val="000000"/>
        </w:rPr>
        <w:t>Es toda sustancia en estado natural, semi elaborada o elaborada y se destina al consumo humano, incluidas las bebidas, el chicle y cualquier otra sustancia que se utilice en su elaboración, preparación o tratamiento, pero no incluye los cosméticos, el tabaco, ni las sustancias que se utilizan únicamente como medicamento.</w:t>
      </w:r>
    </w:p>
    <w:p w:rsidR="002A0508" w:rsidRDefault="005B31A0">
      <w:pPr>
        <w:numPr>
          <w:ilvl w:val="0"/>
          <w:numId w:val="1"/>
        </w:numPr>
        <w:spacing w:after="0" w:line="240" w:lineRule="auto"/>
        <w:jc w:val="both"/>
        <w:rPr>
          <w:rFonts w:ascii="Arial" w:eastAsia="Arial" w:hAnsi="Arial" w:cs="Arial"/>
          <w:b/>
          <w:color w:val="000000"/>
        </w:rPr>
      </w:pPr>
      <w:r>
        <w:rPr>
          <w:rFonts w:ascii="Arial" w:eastAsia="Arial" w:hAnsi="Arial" w:cs="Arial"/>
          <w:b/>
          <w:color w:val="000000"/>
        </w:rPr>
        <w:lastRenderedPageBreak/>
        <w:t xml:space="preserve">Envase: </w:t>
      </w:r>
      <w:r>
        <w:rPr>
          <w:rFonts w:ascii="Arial" w:eastAsia="Arial" w:hAnsi="Arial" w:cs="Arial"/>
          <w:color w:val="000000"/>
        </w:rPr>
        <w:t>Es el recipiente, el empaque o el embalaje destinado a asegurar la conservación y facilitar el transporte y manejo de alimentos.</w:t>
      </w:r>
    </w:p>
    <w:p w:rsidR="002A0508" w:rsidRDefault="005B31A0">
      <w:pPr>
        <w:numPr>
          <w:ilvl w:val="0"/>
          <w:numId w:val="1"/>
        </w:numPr>
        <w:spacing w:after="0" w:line="240" w:lineRule="auto"/>
        <w:jc w:val="both"/>
        <w:rPr>
          <w:rFonts w:ascii="Arial" w:eastAsia="Arial" w:hAnsi="Arial" w:cs="Arial"/>
          <w:color w:val="000000"/>
        </w:rPr>
      </w:pPr>
      <w:r>
        <w:rPr>
          <w:rFonts w:ascii="Arial" w:eastAsia="Arial" w:hAnsi="Arial" w:cs="Arial"/>
          <w:b/>
          <w:color w:val="000000"/>
        </w:rPr>
        <w:t xml:space="preserve">Alimento envasado: </w:t>
      </w:r>
      <w:r>
        <w:rPr>
          <w:rFonts w:ascii="Arial" w:eastAsia="Arial" w:hAnsi="Arial" w:cs="Arial"/>
          <w:color w:val="000000"/>
        </w:rPr>
        <w:t>Es todo alimento que está contenido en un envase listo para ofrecerlo al consumidor.</w:t>
      </w:r>
    </w:p>
    <w:p w:rsidR="002A0508" w:rsidRDefault="005B31A0">
      <w:pPr>
        <w:numPr>
          <w:ilvl w:val="0"/>
          <w:numId w:val="1"/>
        </w:numPr>
        <w:spacing w:after="0" w:line="240" w:lineRule="auto"/>
        <w:jc w:val="both"/>
        <w:rPr>
          <w:rFonts w:ascii="Arial" w:eastAsia="Arial" w:hAnsi="Arial" w:cs="Arial"/>
          <w:color w:val="000000"/>
        </w:rPr>
      </w:pPr>
      <w:r>
        <w:rPr>
          <w:rFonts w:ascii="Arial" w:eastAsia="Arial" w:hAnsi="Arial" w:cs="Arial"/>
          <w:b/>
          <w:color w:val="000000"/>
        </w:rPr>
        <w:t>Agotamiento de stock de etiquetas:</w:t>
      </w:r>
      <w:r>
        <w:rPr>
          <w:rFonts w:ascii="Arial" w:eastAsia="Arial" w:hAnsi="Arial" w:cs="Arial"/>
          <w:color w:val="000000"/>
        </w:rPr>
        <w:t xml:space="preserve"> proceso regulatorio </w:t>
      </w:r>
      <w:r>
        <w:rPr>
          <w:rFonts w:ascii="Arial" w:eastAsia="Arial" w:hAnsi="Arial" w:cs="Arial"/>
        </w:rPr>
        <w:t xml:space="preserve">mediante el cual el Titular de un Registro Sanitario de Producto Alimenticio vigente solicita a la DINAVISA </w:t>
      </w:r>
      <w:r>
        <w:rPr>
          <w:rFonts w:ascii="Arial" w:eastAsia="Arial" w:hAnsi="Arial" w:cs="Arial"/>
          <w:color w:val="0F1115"/>
        </w:rPr>
        <w:t>utilizar las etiquetas que aún tiene en inventario, por un tiempo limitado, después de que por un cambio de reglamentación técnica o por modificación autorizada haga que estas no cumplan con la normativa vigente</w:t>
      </w:r>
      <w:r>
        <w:rPr>
          <w:rFonts w:ascii="Arial" w:eastAsia="Arial" w:hAnsi="Arial" w:cs="Arial"/>
        </w:rPr>
        <w:t>.</w:t>
      </w:r>
    </w:p>
    <w:p w:rsidR="002A0508" w:rsidRDefault="005B31A0">
      <w:pPr>
        <w:numPr>
          <w:ilvl w:val="0"/>
          <w:numId w:val="1"/>
        </w:numPr>
        <w:spacing w:after="0" w:line="240" w:lineRule="auto"/>
        <w:jc w:val="both"/>
        <w:rPr>
          <w:rFonts w:ascii="Arial" w:eastAsia="Arial" w:hAnsi="Arial" w:cs="Arial"/>
          <w:b/>
          <w:color w:val="000000"/>
        </w:rPr>
      </w:pPr>
      <w:r>
        <w:rPr>
          <w:rFonts w:ascii="Arial" w:eastAsia="Arial" w:hAnsi="Arial" w:cs="Arial"/>
          <w:b/>
          <w:color w:val="000000"/>
        </w:rPr>
        <w:t xml:space="preserve">Consumidor: </w:t>
      </w:r>
      <w:r>
        <w:rPr>
          <w:rFonts w:ascii="Arial" w:eastAsia="Arial" w:hAnsi="Arial" w:cs="Arial"/>
          <w:color w:val="000000"/>
        </w:rPr>
        <w:t>Es toda persona física o jurídica que adquiere o utiliza alimentos.</w:t>
      </w:r>
    </w:p>
    <w:p w:rsidR="002A0508" w:rsidRDefault="005B31A0">
      <w:pPr>
        <w:numPr>
          <w:ilvl w:val="0"/>
          <w:numId w:val="1"/>
        </w:numPr>
        <w:spacing w:after="0" w:line="240" w:lineRule="auto"/>
        <w:jc w:val="both"/>
        <w:rPr>
          <w:rFonts w:ascii="Arial" w:eastAsia="Arial" w:hAnsi="Arial" w:cs="Arial"/>
          <w:color w:val="000000"/>
        </w:rPr>
      </w:pPr>
      <w:r>
        <w:rPr>
          <w:rFonts w:ascii="Arial" w:eastAsia="Arial" w:hAnsi="Arial" w:cs="Arial"/>
          <w:b/>
          <w:color w:val="000000"/>
        </w:rPr>
        <w:t xml:space="preserve">Rótulo/Etiqueta complementario/a: </w:t>
      </w:r>
      <w:r>
        <w:rPr>
          <w:rFonts w:ascii="Arial" w:eastAsia="Arial" w:hAnsi="Arial" w:cs="Arial"/>
          <w:color w:val="000000"/>
        </w:rPr>
        <w:t>etiqueta adicional que se adhiere al envase de un producto, con el fin de adecuar la rotulación a la reglamentación del país de consumo previo a su comercialización, siempre que las etiquetas cumplan con todas las especificaciones establecidas para rotulado en los reglamentos técnicos específicos, que deben estar adheridas de forma que no se despeguen del envase del producto y mantengan la calidad de la impresión en las condiciones habituales de comercialización y uso del alimento.</w:t>
      </w:r>
    </w:p>
    <w:p w:rsidR="002A0508" w:rsidRDefault="005B31A0">
      <w:pPr>
        <w:numPr>
          <w:ilvl w:val="0"/>
          <w:numId w:val="1"/>
        </w:numPr>
        <w:spacing w:after="0" w:line="240" w:lineRule="auto"/>
        <w:jc w:val="both"/>
        <w:rPr>
          <w:rFonts w:ascii="Arial" w:eastAsia="Arial" w:hAnsi="Arial" w:cs="Arial"/>
          <w:color w:val="000000"/>
        </w:rPr>
      </w:pPr>
      <w:r>
        <w:rPr>
          <w:rFonts w:ascii="Arial" w:eastAsia="Arial" w:hAnsi="Arial" w:cs="Arial"/>
          <w:b/>
          <w:color w:val="000000"/>
        </w:rPr>
        <w:t>Stock de etiquetas:</w:t>
      </w:r>
      <w:r>
        <w:rPr>
          <w:rFonts w:ascii="Arial" w:eastAsia="Arial" w:hAnsi="Arial" w:cs="Arial"/>
          <w:color w:val="000000"/>
        </w:rPr>
        <w:t xml:space="preserve"> cantidad de etiquetas disponibles, que denota la existencia de etiquetas físicas listas para ser utilizadas en la identificación, clasificación o marketing de productos alimenticios.</w:t>
      </w:r>
    </w:p>
    <w:p w:rsidR="002A0508" w:rsidRDefault="005B31A0">
      <w:pPr>
        <w:numPr>
          <w:ilvl w:val="0"/>
          <w:numId w:val="1"/>
        </w:numPr>
        <w:spacing w:after="0" w:line="240" w:lineRule="auto"/>
        <w:jc w:val="both"/>
        <w:rPr>
          <w:color w:val="000000"/>
        </w:rPr>
      </w:pPr>
      <w:r>
        <w:rPr>
          <w:rFonts w:ascii="Arial" w:eastAsia="Arial" w:hAnsi="Arial" w:cs="Arial"/>
          <w:b/>
          <w:color w:val="000000"/>
        </w:rPr>
        <w:t>Fiscalización sanitaria:</w:t>
      </w:r>
      <w:r>
        <w:rPr>
          <w:rFonts w:ascii="Arial" w:eastAsia="Arial" w:hAnsi="Arial" w:cs="Arial"/>
          <w:color w:val="000000"/>
        </w:rPr>
        <w:t xml:space="preserve"> macroproceso misional central cuyo objetivo es la verificación del cumplimiento de los estándares de inocuidad y calidad de alimentos establecidos en la legislación vigente, a fin de identificar riesgos y amenazas para la salud pública, así como prevenir brotes de eventos no deseados. La misma se realiza a través de un conjunto de actividades que incluyen Inspecciones sanitarias, toma de muestras, análisis de laboratorio</w:t>
      </w:r>
      <w:r>
        <w:rPr>
          <w:rFonts w:ascii="Arial" w:eastAsia="Arial" w:hAnsi="Arial" w:cs="Arial"/>
        </w:rPr>
        <w:t>.</w:t>
      </w:r>
    </w:p>
    <w:p w:rsidR="002A0508" w:rsidRDefault="005B31A0">
      <w:pPr>
        <w:numPr>
          <w:ilvl w:val="0"/>
          <w:numId w:val="1"/>
        </w:numPr>
        <w:spacing w:after="0" w:line="240" w:lineRule="auto"/>
        <w:jc w:val="both"/>
        <w:rPr>
          <w:color w:val="000000"/>
        </w:rPr>
      </w:pPr>
      <w:r>
        <w:rPr>
          <w:rFonts w:ascii="Arial" w:eastAsia="Arial" w:hAnsi="Arial" w:cs="Arial"/>
          <w:b/>
          <w:color w:val="000000"/>
        </w:rPr>
        <w:t>Riesgo Sanitario:</w:t>
      </w:r>
      <w:r>
        <w:rPr>
          <w:rFonts w:ascii="Arial" w:eastAsia="Arial" w:hAnsi="Arial" w:cs="Arial"/>
          <w:color w:val="000000"/>
        </w:rPr>
        <w:t xml:space="preserve"> se refiere a la posibilidad de que un factor biológico, químico o físico presente en el entorno que afecte negativamente a la salud de las personas. </w:t>
      </w:r>
    </w:p>
    <w:p w:rsidR="002A0508" w:rsidRDefault="005B31A0">
      <w:pPr>
        <w:numPr>
          <w:ilvl w:val="0"/>
          <w:numId w:val="1"/>
        </w:numPr>
        <w:spacing w:after="0" w:line="240" w:lineRule="auto"/>
        <w:jc w:val="both"/>
        <w:rPr>
          <w:color w:val="000000"/>
        </w:rPr>
      </w:pPr>
      <w:r>
        <w:rPr>
          <w:rFonts w:ascii="Arial" w:eastAsia="Arial" w:hAnsi="Arial" w:cs="Arial"/>
          <w:b/>
          <w:color w:val="000000"/>
        </w:rPr>
        <w:t>Inspección Sanitaria</w:t>
      </w:r>
      <w:r>
        <w:rPr>
          <w:rFonts w:ascii="Arial" w:eastAsia="Arial" w:hAnsi="Arial" w:cs="Arial"/>
          <w:color w:val="000000"/>
        </w:rPr>
        <w:t>: es el examen sistemático y documentado de las instalaciones, equipos, procesos, materias primas, productos terminados y prácticas de manipulación de alimentos, con el objetivo de verificar el cumplimiento de la normativa sanitaria vigente</w:t>
      </w:r>
      <w:r>
        <w:rPr>
          <w:rFonts w:ascii="Arial" w:eastAsia="Arial" w:hAnsi="Arial" w:cs="Arial"/>
        </w:rPr>
        <w:t xml:space="preserve"> para</w:t>
      </w:r>
      <w:r>
        <w:rPr>
          <w:rFonts w:ascii="Arial" w:eastAsia="Arial" w:hAnsi="Arial" w:cs="Arial"/>
          <w:color w:val="000000"/>
        </w:rPr>
        <w:t xml:space="preserve"> garantizar la inocuidad y calidad de los alimentos destinados al consumo humano.</w:t>
      </w:r>
    </w:p>
    <w:p w:rsidR="002A0508" w:rsidRDefault="005B31A0">
      <w:pPr>
        <w:numPr>
          <w:ilvl w:val="0"/>
          <w:numId w:val="1"/>
        </w:numPr>
        <w:spacing w:after="0" w:line="240" w:lineRule="auto"/>
        <w:jc w:val="both"/>
        <w:rPr>
          <w:color w:val="000000"/>
        </w:rPr>
      </w:pPr>
      <w:r>
        <w:rPr>
          <w:rFonts w:ascii="Arial" w:eastAsia="Arial" w:hAnsi="Arial" w:cs="Arial"/>
          <w:b/>
          <w:color w:val="000000"/>
        </w:rPr>
        <w:lastRenderedPageBreak/>
        <w:t>Vigilancia Sanitaria de alimentos:</w:t>
      </w:r>
      <w:r>
        <w:rPr>
          <w:rFonts w:ascii="Arial" w:eastAsia="Arial" w:hAnsi="Arial" w:cs="Arial"/>
          <w:color w:val="000000"/>
        </w:rPr>
        <w:t>  es un proceso continuo de recopilación, análisis y uso de información relevante sobre la salud de una población. Su objetivo principal es identificar riesgos y amenazas para la salud pública, así como prevenir brotes de enfermedades (ETA) y garantizar la seguridad de los productos y servicios relacionados con la salud.</w:t>
      </w:r>
    </w:p>
    <w:p w:rsidR="002A0508" w:rsidRDefault="002A0508">
      <w:pPr>
        <w:spacing w:after="0" w:line="240" w:lineRule="auto"/>
        <w:ind w:left="2160"/>
        <w:jc w:val="both"/>
        <w:rPr>
          <w:rFonts w:ascii="Arial" w:eastAsia="Arial" w:hAnsi="Arial" w:cs="Arial"/>
        </w:rPr>
      </w:pPr>
    </w:p>
    <w:p w:rsidR="002A0508" w:rsidRDefault="005B31A0">
      <w:pPr>
        <w:spacing w:after="0" w:line="240" w:lineRule="auto"/>
        <w:ind w:left="1417" w:hanging="1417"/>
        <w:jc w:val="both"/>
        <w:rPr>
          <w:rFonts w:ascii="Arial" w:eastAsia="Arial" w:hAnsi="Arial" w:cs="Arial"/>
        </w:rPr>
      </w:pPr>
      <w:r>
        <w:rPr>
          <w:rFonts w:ascii="Arial" w:eastAsia="Arial" w:hAnsi="Arial" w:cs="Arial"/>
          <w:b/>
        </w:rPr>
        <w:t>Artículo 3</w:t>
      </w:r>
      <w:proofErr w:type="gramStart"/>
      <w:r>
        <w:rPr>
          <w:rFonts w:ascii="Arial" w:eastAsia="Arial" w:hAnsi="Arial" w:cs="Arial"/>
          <w:b/>
        </w:rPr>
        <w:t>°.-</w:t>
      </w:r>
      <w:proofErr w:type="gramEnd"/>
      <w:r>
        <w:rPr>
          <w:rFonts w:ascii="Arial" w:eastAsia="Arial" w:hAnsi="Arial" w:cs="Arial"/>
          <w:b/>
        </w:rPr>
        <w:tab/>
      </w:r>
      <w:r>
        <w:rPr>
          <w:rFonts w:ascii="Arial" w:eastAsia="Arial" w:hAnsi="Arial" w:cs="Arial"/>
          <w:color w:val="0F1115"/>
        </w:rPr>
        <w:t>Establecer que la autorización para el Agotamiento de stock de etiquetas se otorgará previo análisis técnico fundado, conforme a las situaciones, condiciones y plazos máximos establecidos en el ANEXO de la presente resolución.</w:t>
      </w:r>
      <w:r>
        <w:rPr>
          <w:rFonts w:ascii="Arial" w:eastAsia="Arial" w:hAnsi="Arial" w:cs="Arial"/>
        </w:rPr>
        <w:t xml:space="preserve"> Una vez aprobada la solicitud de agotamiento de stock será emitida la Constancia correspondiente.</w:t>
      </w:r>
    </w:p>
    <w:p w:rsidR="002A0508" w:rsidRDefault="005B31A0">
      <w:pPr>
        <w:spacing w:after="0" w:line="240" w:lineRule="auto"/>
        <w:ind w:left="1417" w:hanging="1417"/>
        <w:jc w:val="both"/>
        <w:rPr>
          <w:rFonts w:ascii="Arial" w:eastAsia="Arial" w:hAnsi="Arial" w:cs="Arial"/>
        </w:rPr>
      </w:pPr>
      <w:r>
        <w:rPr>
          <w:rFonts w:ascii="Arial" w:eastAsia="Arial" w:hAnsi="Arial" w:cs="Arial"/>
        </w:rPr>
        <w:t xml:space="preserve"> </w:t>
      </w:r>
    </w:p>
    <w:p w:rsidR="002A0508" w:rsidRDefault="005B31A0">
      <w:pPr>
        <w:spacing w:line="240" w:lineRule="auto"/>
        <w:ind w:left="1440" w:hanging="1440"/>
        <w:jc w:val="both"/>
        <w:rPr>
          <w:rFonts w:ascii="Arial" w:eastAsia="Arial" w:hAnsi="Arial" w:cs="Arial"/>
        </w:rPr>
      </w:pPr>
      <w:r>
        <w:rPr>
          <w:rFonts w:ascii="Arial" w:eastAsia="Arial" w:hAnsi="Arial" w:cs="Arial"/>
          <w:b/>
        </w:rPr>
        <w:t>Artículo 4</w:t>
      </w:r>
      <w:proofErr w:type="gramStart"/>
      <w:r>
        <w:rPr>
          <w:rFonts w:ascii="Arial" w:eastAsia="Arial" w:hAnsi="Arial" w:cs="Arial"/>
          <w:b/>
        </w:rPr>
        <w:t>°.-</w:t>
      </w:r>
      <w:proofErr w:type="gramEnd"/>
      <w:r>
        <w:rPr>
          <w:rFonts w:ascii="Arial" w:eastAsia="Arial" w:hAnsi="Arial" w:cs="Arial"/>
          <w:b/>
        </w:rPr>
        <w:t xml:space="preserve"> </w:t>
      </w:r>
      <w:r>
        <w:rPr>
          <w:rFonts w:ascii="Arial" w:eastAsia="Arial" w:hAnsi="Arial" w:cs="Arial"/>
          <w:b/>
        </w:rPr>
        <w:tab/>
      </w:r>
      <w:r>
        <w:rPr>
          <w:rFonts w:ascii="Arial" w:eastAsia="Arial" w:hAnsi="Arial" w:cs="Arial"/>
        </w:rPr>
        <w:t xml:space="preserve">Establecer los requisitos para la obtención de la Autorización del agotamiento de stock de productos alimenticios con Registro Sanitario de Producto Alimenticio (R.S.P.A) vigente, conforme se detallan a continuación: </w:t>
      </w:r>
    </w:p>
    <w:p w:rsidR="002A0508" w:rsidRDefault="005B31A0">
      <w:pPr>
        <w:numPr>
          <w:ilvl w:val="0"/>
          <w:numId w:val="2"/>
        </w:numPr>
        <w:pBdr>
          <w:top w:val="nil"/>
          <w:left w:val="nil"/>
          <w:bottom w:val="nil"/>
          <w:right w:val="nil"/>
          <w:between w:val="nil"/>
        </w:pBdr>
        <w:spacing w:after="0" w:line="240" w:lineRule="auto"/>
        <w:ind w:left="2125" w:hanging="225"/>
        <w:jc w:val="both"/>
        <w:rPr>
          <w:color w:val="000000"/>
        </w:rPr>
      </w:pPr>
      <w:r>
        <w:rPr>
          <w:rFonts w:ascii="Arial" w:eastAsia="Arial" w:hAnsi="Arial" w:cs="Arial"/>
          <w:color w:val="000000"/>
        </w:rPr>
        <w:t>Nota de solicitud, ingresada por mesa de entr</w:t>
      </w:r>
      <w:r>
        <w:rPr>
          <w:rFonts w:ascii="Arial" w:eastAsia="Arial" w:hAnsi="Arial" w:cs="Arial"/>
        </w:rPr>
        <w:t xml:space="preserve">ada de la DINAVISA, </w:t>
      </w:r>
      <w:r>
        <w:rPr>
          <w:rFonts w:ascii="Arial" w:eastAsia="Arial" w:hAnsi="Arial" w:cs="Arial"/>
          <w:color w:val="000000"/>
        </w:rPr>
        <w:t xml:space="preserve">requiriendo el agotamiento de stock indicando datos del registro sanitario de </w:t>
      </w:r>
      <w:r>
        <w:rPr>
          <w:rFonts w:ascii="Arial" w:eastAsia="Arial" w:hAnsi="Arial" w:cs="Arial"/>
        </w:rPr>
        <w:t>producto</w:t>
      </w:r>
      <w:r>
        <w:rPr>
          <w:rFonts w:ascii="Arial" w:eastAsia="Arial" w:hAnsi="Arial" w:cs="Arial"/>
          <w:color w:val="000000"/>
        </w:rPr>
        <w:t xml:space="preserve"> alimenticio, presentaciones y motivo que conlleva la solicitud, debidamente firmado por el titular de registro sanitario y su responsable técnico. </w:t>
      </w:r>
    </w:p>
    <w:p w:rsidR="002A0508" w:rsidRDefault="005B31A0">
      <w:pPr>
        <w:numPr>
          <w:ilvl w:val="0"/>
          <w:numId w:val="2"/>
        </w:numPr>
        <w:pBdr>
          <w:top w:val="nil"/>
          <w:left w:val="nil"/>
          <w:bottom w:val="nil"/>
          <w:right w:val="nil"/>
          <w:between w:val="nil"/>
        </w:pBdr>
        <w:spacing w:after="0" w:line="240" w:lineRule="auto"/>
        <w:ind w:left="2125" w:hanging="225"/>
        <w:jc w:val="both"/>
        <w:rPr>
          <w:color w:val="000000"/>
        </w:rPr>
      </w:pPr>
      <w:r>
        <w:rPr>
          <w:rFonts w:ascii="Arial" w:eastAsia="Arial" w:hAnsi="Arial" w:cs="Arial"/>
          <w:color w:val="000000"/>
        </w:rPr>
        <w:t>Etiqueta original.</w:t>
      </w:r>
    </w:p>
    <w:p w:rsidR="002A0508" w:rsidRDefault="005B31A0">
      <w:pPr>
        <w:numPr>
          <w:ilvl w:val="0"/>
          <w:numId w:val="2"/>
        </w:numPr>
        <w:pBdr>
          <w:top w:val="nil"/>
          <w:left w:val="nil"/>
          <w:bottom w:val="nil"/>
          <w:right w:val="nil"/>
          <w:between w:val="nil"/>
        </w:pBdr>
        <w:spacing w:after="0" w:line="240" w:lineRule="auto"/>
        <w:ind w:left="2125" w:hanging="225"/>
        <w:jc w:val="both"/>
        <w:rPr>
          <w:color w:val="000000"/>
        </w:rPr>
      </w:pPr>
      <w:r>
        <w:rPr>
          <w:rFonts w:ascii="Arial" w:eastAsia="Arial" w:hAnsi="Arial" w:cs="Arial"/>
          <w:color w:val="000000"/>
        </w:rPr>
        <w:t xml:space="preserve">Identificar el stock de etiquetas disponibles </w:t>
      </w:r>
      <w:r>
        <w:rPr>
          <w:rFonts w:ascii="Arial" w:eastAsia="Arial" w:hAnsi="Arial" w:cs="Arial"/>
          <w:color w:val="0F1115"/>
        </w:rPr>
        <w:t xml:space="preserve">mediante una declaración jurada que especifique </w:t>
      </w:r>
      <w:r>
        <w:rPr>
          <w:rFonts w:ascii="Arial" w:eastAsia="Arial" w:hAnsi="Arial" w:cs="Arial"/>
          <w:color w:val="000000"/>
        </w:rPr>
        <w:t>la cantidad total de unidades y el plazo estimado para su agotamiento total, indicando departamentos y ciudades de distribución.</w:t>
      </w:r>
    </w:p>
    <w:p w:rsidR="002A0508" w:rsidRDefault="005B31A0">
      <w:pPr>
        <w:numPr>
          <w:ilvl w:val="0"/>
          <w:numId w:val="2"/>
        </w:numPr>
        <w:pBdr>
          <w:top w:val="nil"/>
          <w:left w:val="nil"/>
          <w:bottom w:val="nil"/>
          <w:right w:val="nil"/>
          <w:between w:val="nil"/>
        </w:pBdr>
        <w:spacing w:after="0" w:line="240" w:lineRule="auto"/>
        <w:ind w:left="2125" w:hanging="225"/>
        <w:jc w:val="both"/>
        <w:rPr>
          <w:color w:val="000000"/>
        </w:rPr>
      </w:pPr>
      <w:r>
        <w:rPr>
          <w:rFonts w:ascii="Arial" w:eastAsia="Arial" w:hAnsi="Arial" w:cs="Arial"/>
          <w:color w:val="000000"/>
        </w:rPr>
        <w:t>Procedimiento de RECALL a ser implementado por la empresa interesada.</w:t>
      </w:r>
    </w:p>
    <w:p w:rsidR="002A0508" w:rsidRDefault="002A0508">
      <w:pPr>
        <w:pBdr>
          <w:top w:val="nil"/>
          <w:left w:val="nil"/>
          <w:bottom w:val="nil"/>
          <w:right w:val="nil"/>
          <w:between w:val="nil"/>
        </w:pBdr>
        <w:spacing w:after="0" w:line="240" w:lineRule="auto"/>
        <w:ind w:left="1080"/>
        <w:jc w:val="both"/>
        <w:rPr>
          <w:rFonts w:ascii="Arial" w:eastAsia="Arial" w:hAnsi="Arial" w:cs="Arial"/>
        </w:rPr>
      </w:pPr>
    </w:p>
    <w:p w:rsidR="002A0508" w:rsidRDefault="005B31A0">
      <w:pPr>
        <w:spacing w:after="0" w:line="240" w:lineRule="auto"/>
        <w:ind w:left="1440" w:hanging="1440"/>
        <w:jc w:val="both"/>
        <w:rPr>
          <w:rFonts w:ascii="Arial" w:eastAsia="Arial" w:hAnsi="Arial" w:cs="Arial"/>
          <w:color w:val="0F1115"/>
        </w:rPr>
      </w:pPr>
      <w:r>
        <w:rPr>
          <w:rFonts w:ascii="Arial" w:eastAsia="Arial" w:hAnsi="Arial" w:cs="Arial"/>
          <w:b/>
        </w:rPr>
        <w:t>Artículo 5</w:t>
      </w:r>
      <w:proofErr w:type="gramStart"/>
      <w:r>
        <w:rPr>
          <w:rFonts w:ascii="Arial" w:eastAsia="Arial" w:hAnsi="Arial" w:cs="Arial"/>
          <w:b/>
        </w:rPr>
        <w:t>°.-</w:t>
      </w:r>
      <w:proofErr w:type="gramEnd"/>
      <w:r>
        <w:rPr>
          <w:rFonts w:ascii="Arial" w:eastAsia="Arial" w:hAnsi="Arial" w:cs="Arial"/>
          <w:b/>
        </w:rPr>
        <w:tab/>
      </w:r>
      <w:r>
        <w:rPr>
          <w:rFonts w:ascii="Arial" w:eastAsia="Arial" w:hAnsi="Arial" w:cs="Arial"/>
          <w:color w:val="0F1115"/>
        </w:rPr>
        <w:t>No será admisible la solicitud de agotamiento de stock cuando, mediante acta de inspección o vigilancia sanitaria, se hubiera constatado la utilización de etiquetas no aprobadas por la DINAVISA para el producto de que se trate.</w:t>
      </w:r>
    </w:p>
    <w:p w:rsidR="002A0508" w:rsidRDefault="002A0508">
      <w:pPr>
        <w:spacing w:after="0" w:line="240" w:lineRule="auto"/>
        <w:ind w:left="1440" w:hanging="1440"/>
        <w:jc w:val="both"/>
        <w:rPr>
          <w:rFonts w:ascii="Arial" w:eastAsia="Arial" w:hAnsi="Arial" w:cs="Arial"/>
          <w:color w:val="0F1115"/>
        </w:rPr>
      </w:pPr>
    </w:p>
    <w:p w:rsidR="002A0508" w:rsidRDefault="005B31A0">
      <w:pPr>
        <w:spacing w:after="0" w:line="240" w:lineRule="auto"/>
        <w:ind w:left="1440" w:hanging="1440"/>
        <w:jc w:val="both"/>
        <w:rPr>
          <w:rFonts w:ascii="Arial" w:eastAsia="Arial" w:hAnsi="Arial" w:cs="Arial"/>
        </w:rPr>
      </w:pPr>
      <w:r>
        <w:rPr>
          <w:rFonts w:ascii="Arial" w:eastAsia="Arial" w:hAnsi="Arial" w:cs="Arial"/>
          <w:b/>
        </w:rPr>
        <w:t>Artículo 6</w:t>
      </w:r>
      <w:proofErr w:type="gramStart"/>
      <w:r>
        <w:rPr>
          <w:rFonts w:ascii="Arial" w:eastAsia="Arial" w:hAnsi="Arial" w:cs="Arial"/>
          <w:b/>
        </w:rPr>
        <w:t>°.-</w:t>
      </w:r>
      <w:proofErr w:type="gramEnd"/>
      <w:r>
        <w:rPr>
          <w:rFonts w:ascii="Arial" w:eastAsia="Arial" w:hAnsi="Arial" w:cs="Arial"/>
        </w:rPr>
        <w:tab/>
        <w:t xml:space="preserve">Establecer la autorización de uso de etiquetas complementarias para adecuar la rotulación de los alimentos envasados, previo a su comercialización, siempre que las etiquetas complementarias cumplan con todos los requisitos establecidos en la reglamentación vigente sobre Rotulado de alimentos y en los reglamentos técnicos específicos. </w:t>
      </w:r>
    </w:p>
    <w:p w:rsidR="002A0508" w:rsidRDefault="002A0508">
      <w:pPr>
        <w:spacing w:after="0" w:line="240" w:lineRule="auto"/>
        <w:ind w:left="1440" w:hanging="1440"/>
        <w:jc w:val="both"/>
        <w:rPr>
          <w:rFonts w:ascii="Arial" w:eastAsia="Arial" w:hAnsi="Arial" w:cs="Arial"/>
        </w:rPr>
      </w:pPr>
    </w:p>
    <w:p w:rsidR="002A0508" w:rsidRDefault="005B31A0">
      <w:pPr>
        <w:spacing w:after="0" w:line="240" w:lineRule="auto"/>
        <w:ind w:left="1440" w:hanging="1440"/>
        <w:jc w:val="both"/>
        <w:rPr>
          <w:rFonts w:ascii="Arial" w:eastAsia="Arial" w:hAnsi="Arial" w:cs="Arial"/>
        </w:rPr>
      </w:pPr>
      <w:r>
        <w:rPr>
          <w:rFonts w:ascii="Arial" w:eastAsia="Arial" w:hAnsi="Arial" w:cs="Arial"/>
          <w:b/>
        </w:rPr>
        <w:lastRenderedPageBreak/>
        <w:t>Artículo 7</w:t>
      </w:r>
      <w:proofErr w:type="gramStart"/>
      <w:r>
        <w:rPr>
          <w:rFonts w:ascii="Arial" w:eastAsia="Arial" w:hAnsi="Arial" w:cs="Arial"/>
          <w:b/>
        </w:rPr>
        <w:t>°.-</w:t>
      </w:r>
      <w:proofErr w:type="gramEnd"/>
      <w:r>
        <w:rPr>
          <w:rFonts w:ascii="Arial" w:eastAsia="Arial" w:hAnsi="Arial" w:cs="Arial"/>
          <w:b/>
        </w:rPr>
        <w:t xml:space="preserve"> </w:t>
      </w:r>
      <w:r>
        <w:rPr>
          <w:rFonts w:ascii="Arial" w:eastAsia="Arial" w:hAnsi="Arial" w:cs="Arial"/>
          <w:b/>
        </w:rPr>
        <w:tab/>
      </w:r>
      <w:r>
        <w:rPr>
          <w:rFonts w:ascii="Arial" w:eastAsia="Arial" w:hAnsi="Arial" w:cs="Arial"/>
        </w:rPr>
        <w:t xml:space="preserve">Las etiquetas complementarias deben ser legibles para el consumidor y deben colocarse de forma tal que no cubra información de carácter obligatoria según reglamentación vigente y toda información relevante desde el punto de vista sanitario. </w:t>
      </w:r>
    </w:p>
    <w:p w:rsidR="002A0508" w:rsidRDefault="005B31A0">
      <w:pPr>
        <w:spacing w:after="0" w:line="240" w:lineRule="auto"/>
        <w:ind w:left="1440" w:hanging="1440"/>
        <w:jc w:val="both"/>
        <w:rPr>
          <w:rFonts w:ascii="Arial" w:eastAsia="Arial" w:hAnsi="Arial" w:cs="Arial"/>
        </w:rPr>
      </w:pPr>
      <w:r>
        <w:rPr>
          <w:rFonts w:ascii="Arial" w:eastAsia="Arial" w:hAnsi="Arial" w:cs="Arial"/>
          <w:b/>
        </w:rPr>
        <w:t>Artículo 8</w:t>
      </w:r>
      <w:proofErr w:type="gramStart"/>
      <w:r>
        <w:rPr>
          <w:rFonts w:ascii="Arial" w:eastAsia="Arial" w:hAnsi="Arial" w:cs="Arial"/>
          <w:b/>
        </w:rPr>
        <w:t>°.-</w:t>
      </w:r>
      <w:proofErr w:type="gramEnd"/>
      <w:r>
        <w:rPr>
          <w:rFonts w:ascii="Arial" w:eastAsia="Arial" w:hAnsi="Arial" w:cs="Arial"/>
          <w:b/>
        </w:rPr>
        <w:t xml:space="preserve">  </w:t>
      </w:r>
      <w:r>
        <w:rPr>
          <w:rFonts w:ascii="Arial" w:eastAsia="Arial" w:hAnsi="Arial" w:cs="Arial"/>
          <w:b/>
        </w:rPr>
        <w:tab/>
      </w:r>
      <w:r>
        <w:rPr>
          <w:rFonts w:ascii="Arial" w:eastAsia="Arial" w:hAnsi="Arial" w:cs="Arial"/>
        </w:rPr>
        <w:t xml:space="preserve">Las etiquetas complementarias deben fijarse de forma segura mediante adhesión, impresión, cosido, serigrafía, termo fijación u otros medios análogos garantizando que no se desprenda del envase en las condiciones normales de uso, conservación, almacenamiento, transporte y se encuentre adherido hasta el momento de su comercialización y vida útil. </w:t>
      </w:r>
    </w:p>
    <w:p w:rsidR="002A0508" w:rsidRDefault="002A0508">
      <w:pPr>
        <w:spacing w:after="0" w:line="240" w:lineRule="auto"/>
        <w:ind w:left="1440" w:hanging="1440"/>
        <w:jc w:val="both"/>
        <w:rPr>
          <w:rFonts w:ascii="Arial" w:eastAsia="Arial" w:hAnsi="Arial" w:cs="Arial"/>
        </w:rPr>
      </w:pPr>
    </w:p>
    <w:p w:rsidR="002A0508" w:rsidRDefault="005B31A0">
      <w:pPr>
        <w:spacing w:after="0" w:line="240" w:lineRule="auto"/>
        <w:ind w:left="1440" w:hanging="1440"/>
        <w:jc w:val="both"/>
        <w:rPr>
          <w:rFonts w:ascii="Arial" w:eastAsia="Arial" w:hAnsi="Arial" w:cs="Arial"/>
          <w:b/>
        </w:rPr>
      </w:pPr>
      <w:r>
        <w:rPr>
          <w:rFonts w:ascii="Arial" w:eastAsia="Arial" w:hAnsi="Arial" w:cs="Arial"/>
          <w:b/>
        </w:rPr>
        <w:t>Artículo 9</w:t>
      </w:r>
      <w:proofErr w:type="gramStart"/>
      <w:r>
        <w:rPr>
          <w:rFonts w:ascii="Arial" w:eastAsia="Arial" w:hAnsi="Arial" w:cs="Arial"/>
          <w:b/>
        </w:rPr>
        <w:t>°.-</w:t>
      </w:r>
      <w:proofErr w:type="gramEnd"/>
      <w:r>
        <w:rPr>
          <w:rFonts w:ascii="Arial" w:eastAsia="Arial" w:hAnsi="Arial" w:cs="Arial"/>
          <w:b/>
        </w:rPr>
        <w:t xml:space="preserve">  </w:t>
      </w:r>
      <w:r>
        <w:rPr>
          <w:rFonts w:ascii="Arial" w:eastAsia="Arial" w:hAnsi="Arial" w:cs="Arial"/>
          <w:b/>
        </w:rPr>
        <w:tab/>
      </w:r>
      <w:r>
        <w:rPr>
          <w:rFonts w:ascii="Arial" w:eastAsia="Arial" w:hAnsi="Arial" w:cs="Arial"/>
        </w:rPr>
        <w:t>No será admitido el uso de etiqueta complementaria para modificar fecha de vencimiento y/o lote.</w:t>
      </w:r>
      <w:r>
        <w:rPr>
          <w:rFonts w:ascii="Arial" w:eastAsia="Arial" w:hAnsi="Arial" w:cs="Arial"/>
          <w:b/>
        </w:rPr>
        <w:t xml:space="preserve"> </w:t>
      </w:r>
    </w:p>
    <w:p w:rsidR="002A0508" w:rsidRDefault="002A0508">
      <w:pPr>
        <w:spacing w:after="0" w:line="240" w:lineRule="auto"/>
        <w:ind w:left="1440" w:hanging="1440"/>
        <w:jc w:val="both"/>
        <w:rPr>
          <w:rFonts w:ascii="Arial" w:eastAsia="Arial" w:hAnsi="Arial" w:cs="Arial"/>
          <w:b/>
        </w:rPr>
      </w:pPr>
    </w:p>
    <w:p w:rsidR="002A0508" w:rsidRDefault="005B31A0">
      <w:pPr>
        <w:spacing w:after="0" w:line="240" w:lineRule="auto"/>
        <w:ind w:left="1440" w:hanging="1440"/>
        <w:jc w:val="both"/>
        <w:rPr>
          <w:rFonts w:ascii="Arial" w:eastAsia="Arial" w:hAnsi="Arial" w:cs="Arial"/>
        </w:rPr>
      </w:pPr>
      <w:r>
        <w:rPr>
          <w:rFonts w:ascii="Arial" w:eastAsia="Arial" w:hAnsi="Arial" w:cs="Arial"/>
          <w:b/>
        </w:rPr>
        <w:t>Artículo 10.-</w:t>
      </w:r>
      <w:r>
        <w:rPr>
          <w:rFonts w:ascii="Arial" w:eastAsia="Arial" w:hAnsi="Arial" w:cs="Arial"/>
          <w:b/>
        </w:rPr>
        <w:tab/>
      </w:r>
      <w:r>
        <w:rPr>
          <w:rFonts w:ascii="Arial" w:eastAsia="Arial" w:hAnsi="Arial" w:cs="Arial"/>
        </w:rPr>
        <w:t xml:space="preserve">Encomendar a la Dirección General de Regulación de Alimentos y Productos Afines, el análisis técnico conforme las reglamentaciones establecidas y el establecimiento del procedimiento a tales fines. </w:t>
      </w:r>
    </w:p>
    <w:p w:rsidR="002A0508" w:rsidRDefault="002A0508">
      <w:pPr>
        <w:spacing w:after="0" w:line="240" w:lineRule="auto"/>
        <w:ind w:left="1440" w:hanging="1440"/>
        <w:jc w:val="both"/>
        <w:rPr>
          <w:rFonts w:ascii="Arial" w:eastAsia="Arial" w:hAnsi="Arial" w:cs="Arial"/>
        </w:rPr>
      </w:pPr>
    </w:p>
    <w:p w:rsidR="002A0508" w:rsidRDefault="005B31A0">
      <w:pPr>
        <w:spacing w:after="0" w:line="240" w:lineRule="auto"/>
        <w:ind w:left="1417" w:hanging="1417"/>
        <w:jc w:val="both"/>
        <w:rPr>
          <w:rFonts w:ascii="Arial" w:eastAsia="Arial" w:hAnsi="Arial" w:cs="Arial"/>
        </w:rPr>
      </w:pPr>
      <w:r>
        <w:rPr>
          <w:rFonts w:ascii="Arial" w:eastAsia="Arial" w:hAnsi="Arial" w:cs="Arial"/>
          <w:b/>
        </w:rPr>
        <w:t>Artículo 11-</w:t>
      </w:r>
      <w:r>
        <w:rPr>
          <w:rFonts w:ascii="Arial" w:eastAsia="Arial" w:hAnsi="Arial" w:cs="Arial"/>
          <w:b/>
        </w:rPr>
        <w:tab/>
      </w:r>
      <w:r>
        <w:rPr>
          <w:rFonts w:ascii="Arial" w:eastAsia="Arial" w:hAnsi="Arial" w:cs="Arial"/>
        </w:rPr>
        <w:t xml:space="preserve">El incumplimiento de la presente disposición hará pasible a quien o quienes resulten responsables, de las sanciones previstas en la normativa vigente, en la Ley </w:t>
      </w:r>
      <w:proofErr w:type="spellStart"/>
      <w:r>
        <w:rPr>
          <w:rFonts w:ascii="Arial" w:eastAsia="Arial" w:hAnsi="Arial" w:cs="Arial"/>
        </w:rPr>
        <w:t>N°</w:t>
      </w:r>
      <w:proofErr w:type="spellEnd"/>
      <w:r>
        <w:rPr>
          <w:rFonts w:ascii="Arial" w:eastAsia="Arial" w:hAnsi="Arial" w:cs="Arial"/>
        </w:rPr>
        <w:t xml:space="preserve"> 6788/2021 “Que establece la competencia, atribuciones y estructura orgánica de la Dirección Nacional de Vigilancia Sanitaria”, y su modificación por la Ley </w:t>
      </w:r>
      <w:proofErr w:type="spellStart"/>
      <w:r>
        <w:rPr>
          <w:rFonts w:ascii="Arial" w:eastAsia="Arial" w:hAnsi="Arial" w:cs="Arial"/>
        </w:rPr>
        <w:t>Nº</w:t>
      </w:r>
      <w:proofErr w:type="spellEnd"/>
      <w:r>
        <w:rPr>
          <w:rFonts w:ascii="Arial" w:eastAsia="Arial" w:hAnsi="Arial" w:cs="Arial"/>
        </w:rPr>
        <w:t xml:space="preserve"> 7361/2024 y las disposiciones reglamentarias, sin perjuicio de otras medidas o acciones que pudieran corresponder. </w:t>
      </w:r>
    </w:p>
    <w:p w:rsidR="002A0508" w:rsidRDefault="002A0508">
      <w:pPr>
        <w:spacing w:after="0" w:line="240" w:lineRule="auto"/>
        <w:ind w:left="1417" w:hanging="1417"/>
        <w:jc w:val="both"/>
        <w:rPr>
          <w:rFonts w:ascii="Arial" w:eastAsia="Arial" w:hAnsi="Arial" w:cs="Arial"/>
        </w:rPr>
      </w:pPr>
    </w:p>
    <w:p w:rsidR="002A0508" w:rsidRDefault="005B31A0">
      <w:pPr>
        <w:spacing w:after="0" w:line="240" w:lineRule="auto"/>
        <w:ind w:left="1417" w:hanging="1417"/>
        <w:jc w:val="both"/>
        <w:rPr>
          <w:rFonts w:ascii="Arial" w:eastAsia="Arial" w:hAnsi="Arial" w:cs="Arial"/>
        </w:rPr>
      </w:pPr>
      <w:r>
        <w:rPr>
          <w:rFonts w:ascii="Arial" w:eastAsia="Arial" w:hAnsi="Arial" w:cs="Arial"/>
          <w:b/>
        </w:rPr>
        <w:t>Artículo 12.-</w:t>
      </w:r>
      <w:r>
        <w:rPr>
          <w:rFonts w:ascii="Arial" w:eastAsia="Arial" w:hAnsi="Arial" w:cs="Arial"/>
          <w:b/>
        </w:rPr>
        <w:tab/>
      </w:r>
      <w:r>
        <w:rPr>
          <w:rFonts w:ascii="Arial" w:eastAsia="Arial" w:hAnsi="Arial" w:cs="Arial"/>
        </w:rPr>
        <w:t>Disponer que la</w:t>
      </w:r>
      <w:r>
        <w:rPr>
          <w:rFonts w:ascii="Arial" w:eastAsia="Arial" w:hAnsi="Arial" w:cs="Arial"/>
          <w:b/>
        </w:rPr>
        <w:t xml:space="preserve"> </w:t>
      </w:r>
      <w:r>
        <w:rPr>
          <w:rFonts w:ascii="Arial" w:eastAsia="Arial" w:hAnsi="Arial" w:cs="Arial"/>
        </w:rPr>
        <w:t>presente Resolución entrará en vigencia a partir de la fecha de su firma.</w:t>
      </w:r>
    </w:p>
    <w:p w:rsidR="002A0508" w:rsidRDefault="002A0508">
      <w:pPr>
        <w:spacing w:after="0" w:line="240" w:lineRule="auto"/>
        <w:ind w:left="1417" w:hanging="1417"/>
        <w:jc w:val="both"/>
        <w:rPr>
          <w:rFonts w:ascii="Arial" w:eastAsia="Arial" w:hAnsi="Arial" w:cs="Arial"/>
        </w:rPr>
      </w:pPr>
    </w:p>
    <w:p w:rsidR="002A0508" w:rsidRDefault="005B31A0">
      <w:pPr>
        <w:pBdr>
          <w:top w:val="nil"/>
          <w:left w:val="nil"/>
          <w:bottom w:val="nil"/>
          <w:right w:val="nil"/>
          <w:between w:val="nil"/>
        </w:pBdr>
        <w:spacing w:line="240" w:lineRule="auto"/>
        <w:jc w:val="both"/>
        <w:rPr>
          <w:rFonts w:ascii="Arial" w:eastAsia="Arial" w:hAnsi="Arial" w:cs="Arial"/>
        </w:rPr>
      </w:pPr>
      <w:r>
        <w:rPr>
          <w:rFonts w:ascii="Arial" w:eastAsia="Arial" w:hAnsi="Arial" w:cs="Arial"/>
          <w:b/>
        </w:rPr>
        <w:t>Artículo 13.-</w:t>
      </w:r>
      <w:r>
        <w:rPr>
          <w:rFonts w:ascii="Arial" w:eastAsia="Arial" w:hAnsi="Arial" w:cs="Arial"/>
          <w:b/>
        </w:rPr>
        <w:tab/>
      </w:r>
      <w:r>
        <w:rPr>
          <w:rFonts w:ascii="Arial" w:eastAsia="Arial" w:hAnsi="Arial" w:cs="Arial"/>
        </w:rPr>
        <w:t>Comunicar a quienes corresponda y cumplido, archivar.</w:t>
      </w:r>
    </w:p>
    <w:p w:rsidR="002A0508" w:rsidRDefault="002A0508">
      <w:pPr>
        <w:pBdr>
          <w:top w:val="nil"/>
          <w:left w:val="nil"/>
          <w:bottom w:val="nil"/>
          <w:right w:val="nil"/>
          <w:between w:val="nil"/>
        </w:pBdr>
        <w:spacing w:line="240" w:lineRule="auto"/>
        <w:jc w:val="both"/>
        <w:rPr>
          <w:rFonts w:ascii="Arial" w:eastAsia="Arial" w:hAnsi="Arial" w:cs="Arial"/>
        </w:rPr>
      </w:pPr>
    </w:p>
    <w:p w:rsidR="002A0508" w:rsidRDefault="002A0508">
      <w:pPr>
        <w:pBdr>
          <w:top w:val="nil"/>
          <w:left w:val="nil"/>
          <w:bottom w:val="nil"/>
          <w:right w:val="nil"/>
          <w:between w:val="nil"/>
        </w:pBdr>
        <w:spacing w:line="240" w:lineRule="auto"/>
        <w:jc w:val="both"/>
        <w:rPr>
          <w:rFonts w:ascii="Arial" w:eastAsia="Arial" w:hAnsi="Arial" w:cs="Arial"/>
        </w:rPr>
      </w:pPr>
    </w:p>
    <w:p w:rsidR="0011716C" w:rsidRDefault="0011716C">
      <w:pPr>
        <w:pBdr>
          <w:top w:val="nil"/>
          <w:left w:val="nil"/>
          <w:bottom w:val="nil"/>
          <w:right w:val="nil"/>
          <w:between w:val="nil"/>
        </w:pBdr>
        <w:spacing w:line="240" w:lineRule="auto"/>
        <w:jc w:val="both"/>
        <w:rPr>
          <w:rFonts w:ascii="Arial" w:eastAsia="Arial" w:hAnsi="Arial" w:cs="Arial"/>
        </w:rPr>
      </w:pPr>
    </w:p>
    <w:p w:rsidR="0011716C" w:rsidRDefault="0011716C">
      <w:pPr>
        <w:pBdr>
          <w:top w:val="nil"/>
          <w:left w:val="nil"/>
          <w:bottom w:val="nil"/>
          <w:right w:val="nil"/>
          <w:between w:val="nil"/>
        </w:pBdr>
        <w:spacing w:line="240" w:lineRule="auto"/>
        <w:jc w:val="both"/>
        <w:rPr>
          <w:rFonts w:ascii="Arial" w:eastAsia="Arial" w:hAnsi="Arial" w:cs="Arial"/>
        </w:rPr>
      </w:pPr>
    </w:p>
    <w:p w:rsidR="002A0508" w:rsidRDefault="002A0508">
      <w:pPr>
        <w:pBdr>
          <w:top w:val="nil"/>
          <w:left w:val="nil"/>
          <w:bottom w:val="nil"/>
          <w:right w:val="nil"/>
          <w:between w:val="nil"/>
        </w:pBdr>
        <w:spacing w:line="240" w:lineRule="auto"/>
        <w:jc w:val="both"/>
        <w:rPr>
          <w:rFonts w:ascii="Arial" w:eastAsia="Arial" w:hAnsi="Arial" w:cs="Arial"/>
        </w:rPr>
      </w:pPr>
    </w:p>
    <w:p w:rsidR="002A0508" w:rsidRDefault="002A0508">
      <w:pPr>
        <w:pBdr>
          <w:top w:val="nil"/>
          <w:left w:val="nil"/>
          <w:bottom w:val="nil"/>
          <w:right w:val="nil"/>
          <w:between w:val="nil"/>
        </w:pBdr>
        <w:spacing w:line="240" w:lineRule="auto"/>
        <w:jc w:val="both"/>
        <w:rPr>
          <w:rFonts w:ascii="Arial" w:eastAsia="Arial" w:hAnsi="Arial" w:cs="Arial"/>
        </w:rPr>
      </w:pPr>
    </w:p>
    <w:p w:rsidR="002A0508" w:rsidRDefault="002A0508">
      <w:pPr>
        <w:pBdr>
          <w:top w:val="nil"/>
          <w:left w:val="nil"/>
          <w:bottom w:val="nil"/>
          <w:right w:val="nil"/>
          <w:between w:val="nil"/>
        </w:pBdr>
        <w:spacing w:line="240" w:lineRule="auto"/>
        <w:jc w:val="both"/>
        <w:rPr>
          <w:rFonts w:ascii="Arial" w:eastAsia="Arial" w:hAnsi="Arial" w:cs="Arial"/>
        </w:rPr>
      </w:pPr>
    </w:p>
    <w:p w:rsidR="002A0508" w:rsidRDefault="002A0508">
      <w:pPr>
        <w:pBdr>
          <w:top w:val="nil"/>
          <w:left w:val="nil"/>
          <w:bottom w:val="nil"/>
          <w:right w:val="nil"/>
          <w:between w:val="nil"/>
        </w:pBdr>
        <w:spacing w:line="240" w:lineRule="auto"/>
        <w:jc w:val="both"/>
        <w:rPr>
          <w:rFonts w:ascii="Arial" w:eastAsia="Arial" w:hAnsi="Arial" w:cs="Arial"/>
        </w:rPr>
      </w:pPr>
    </w:p>
    <w:p w:rsidR="002A0508" w:rsidRDefault="005B31A0">
      <w:pPr>
        <w:pBdr>
          <w:top w:val="nil"/>
          <w:left w:val="nil"/>
          <w:bottom w:val="nil"/>
          <w:right w:val="nil"/>
          <w:between w:val="nil"/>
        </w:pBdr>
        <w:spacing w:line="240" w:lineRule="auto"/>
        <w:jc w:val="center"/>
        <w:rPr>
          <w:rFonts w:ascii="Arial" w:eastAsia="Arial" w:hAnsi="Arial" w:cs="Arial"/>
          <w:b/>
        </w:rPr>
      </w:pPr>
      <w:r>
        <w:rPr>
          <w:rFonts w:ascii="Arial" w:eastAsia="Arial" w:hAnsi="Arial" w:cs="Arial"/>
          <w:b/>
        </w:rPr>
        <w:lastRenderedPageBreak/>
        <w:t xml:space="preserve">ANEXO </w:t>
      </w:r>
    </w:p>
    <w:p w:rsidR="002A0508" w:rsidRDefault="0011716C">
      <w:pPr>
        <w:pBdr>
          <w:top w:val="nil"/>
          <w:left w:val="nil"/>
          <w:bottom w:val="nil"/>
          <w:right w:val="nil"/>
          <w:between w:val="nil"/>
        </w:pBdr>
        <w:spacing w:line="240" w:lineRule="auto"/>
        <w:jc w:val="both"/>
        <w:rPr>
          <w:rFonts w:ascii="Arial" w:eastAsia="Arial" w:hAnsi="Arial" w:cs="Arial"/>
          <w:b/>
        </w:rPr>
      </w:pPr>
      <w:r>
        <w:rPr>
          <w:rFonts w:ascii="Arial" w:eastAsia="Arial" w:hAnsi="Arial" w:cs="Arial"/>
          <w:b/>
        </w:rPr>
        <w:t>CONDICIONES Y</w:t>
      </w:r>
      <w:r w:rsidR="005B31A0">
        <w:rPr>
          <w:rFonts w:ascii="Arial" w:eastAsia="Arial" w:hAnsi="Arial" w:cs="Arial"/>
          <w:b/>
        </w:rPr>
        <w:t xml:space="preserve"> PLAZOS PARA LA AUTORIZACIÓN DEL AGOTAMIENTO DE STOCK DE ETIQUETAS.</w:t>
      </w:r>
    </w:p>
    <w:p w:rsidR="002A0508" w:rsidRDefault="002A0508">
      <w:pPr>
        <w:pBdr>
          <w:top w:val="nil"/>
          <w:left w:val="nil"/>
          <w:bottom w:val="nil"/>
          <w:right w:val="nil"/>
          <w:between w:val="nil"/>
        </w:pBdr>
        <w:spacing w:line="240" w:lineRule="auto"/>
        <w:jc w:val="both"/>
        <w:rPr>
          <w:rFonts w:ascii="Arial" w:eastAsia="Arial" w:hAnsi="Arial" w:cs="Arial"/>
          <w:b/>
        </w:rPr>
      </w:pPr>
    </w:p>
    <w:tbl>
      <w:tblPr>
        <w:tblStyle w:val="a"/>
        <w:tblW w:w="877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235"/>
        <w:gridCol w:w="1836"/>
        <w:gridCol w:w="1708"/>
      </w:tblGrid>
      <w:tr w:rsidR="002A0508" w:rsidTr="0011716C">
        <w:trPr>
          <w:trHeight w:val="570"/>
        </w:trPr>
        <w:tc>
          <w:tcPr>
            <w:tcW w:w="52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b/>
              </w:rPr>
            </w:pPr>
            <w:r>
              <w:rPr>
                <w:rFonts w:ascii="Arial" w:eastAsia="Arial" w:hAnsi="Arial" w:cs="Arial"/>
                <w:b/>
              </w:rPr>
              <w:t>SITUACIÓN</w:t>
            </w:r>
          </w:p>
        </w:tc>
        <w:tc>
          <w:tcPr>
            <w:tcW w:w="1836"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b/>
              </w:rPr>
            </w:pPr>
            <w:r>
              <w:rPr>
                <w:rFonts w:ascii="Arial" w:eastAsia="Arial" w:hAnsi="Arial" w:cs="Arial"/>
                <w:b/>
              </w:rPr>
              <w:t>CONDICIÓN</w:t>
            </w:r>
          </w:p>
        </w:tc>
        <w:tc>
          <w:tcPr>
            <w:tcW w:w="1708"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b/>
              </w:rPr>
            </w:pPr>
            <w:r>
              <w:rPr>
                <w:rFonts w:ascii="Arial" w:eastAsia="Arial" w:hAnsi="Arial" w:cs="Arial"/>
                <w:b/>
              </w:rPr>
              <w:t>PLAZO</w:t>
            </w:r>
          </w:p>
        </w:tc>
      </w:tr>
      <w:tr w:rsidR="002A0508" w:rsidTr="0011716C">
        <w:trPr>
          <w:trHeight w:val="915"/>
        </w:trPr>
        <w:tc>
          <w:tcPr>
            <w:tcW w:w="523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ind w:left="360" w:hanging="360"/>
              <w:rPr>
                <w:rFonts w:ascii="Arial" w:eastAsia="Arial" w:hAnsi="Arial" w:cs="Arial"/>
              </w:rPr>
            </w:pPr>
            <w:r>
              <w:rPr>
                <w:rFonts w:ascii="Arial" w:eastAsia="Arial" w:hAnsi="Arial" w:cs="Arial"/>
              </w:rPr>
              <w:t>a)</w:t>
            </w:r>
            <w:r>
              <w:rPr>
                <w:rFonts w:ascii="Arial" w:eastAsia="Arial" w:hAnsi="Arial" w:cs="Arial"/>
                <w:sz w:val="14"/>
                <w:szCs w:val="14"/>
              </w:rPr>
              <w:t xml:space="preserve">  </w:t>
            </w:r>
            <w:r>
              <w:rPr>
                <w:rFonts w:ascii="Arial" w:eastAsia="Arial" w:hAnsi="Arial" w:cs="Arial"/>
              </w:rPr>
              <w:t>Por modificaciones de números de Registros Sanitarios.</w:t>
            </w:r>
          </w:p>
        </w:tc>
        <w:tc>
          <w:tcPr>
            <w:tcW w:w="183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Ajustar con etiqueta complementaria</w:t>
            </w:r>
          </w:p>
        </w:tc>
        <w:tc>
          <w:tcPr>
            <w:tcW w:w="1708"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6 meses máximo</w:t>
            </w:r>
          </w:p>
        </w:tc>
      </w:tr>
      <w:tr w:rsidR="002A0508" w:rsidTr="0011716C">
        <w:trPr>
          <w:trHeight w:val="1515"/>
        </w:trPr>
        <w:tc>
          <w:tcPr>
            <w:tcW w:w="523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ind w:left="360" w:hanging="360"/>
              <w:jc w:val="both"/>
              <w:rPr>
                <w:rFonts w:ascii="Arial" w:eastAsia="Arial" w:hAnsi="Arial" w:cs="Arial"/>
              </w:rPr>
            </w:pPr>
            <w:r>
              <w:rPr>
                <w:rFonts w:ascii="Arial" w:eastAsia="Arial" w:hAnsi="Arial" w:cs="Arial"/>
              </w:rPr>
              <w:t>b)</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Por diferencias entre la etiqueta aprobada por la DINAVISA y la que se tiene en stock previa obtención del registro sanitario, siempre y cuando no se contraponga a reglamentaciones de etiquetado vigentes.</w:t>
            </w:r>
          </w:p>
        </w:tc>
        <w:tc>
          <w:tcPr>
            <w:tcW w:w="183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2A0508" w:rsidP="0011716C">
            <w:pPr>
              <w:spacing w:after="0" w:line="276" w:lineRule="auto"/>
              <w:jc w:val="center"/>
              <w:rPr>
                <w:rFonts w:ascii="Arial" w:eastAsia="Arial" w:hAnsi="Arial" w:cs="Arial"/>
              </w:rPr>
            </w:pPr>
          </w:p>
          <w:p w:rsidR="002A0508" w:rsidRDefault="005B31A0" w:rsidP="0011716C">
            <w:pPr>
              <w:spacing w:after="0" w:line="276" w:lineRule="auto"/>
              <w:jc w:val="center"/>
              <w:rPr>
                <w:rFonts w:ascii="Arial" w:eastAsia="Arial" w:hAnsi="Arial" w:cs="Arial"/>
              </w:rPr>
            </w:pPr>
            <w:r>
              <w:rPr>
                <w:rFonts w:ascii="Arial" w:eastAsia="Arial" w:hAnsi="Arial" w:cs="Arial"/>
              </w:rPr>
              <w:t>Ajustar con etiqueta complementaria</w:t>
            </w:r>
          </w:p>
        </w:tc>
        <w:tc>
          <w:tcPr>
            <w:tcW w:w="1708"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6 meses máximo</w:t>
            </w:r>
          </w:p>
        </w:tc>
      </w:tr>
      <w:tr w:rsidR="002A0508" w:rsidTr="0011716C">
        <w:trPr>
          <w:trHeight w:val="915"/>
        </w:trPr>
        <w:tc>
          <w:tcPr>
            <w:tcW w:w="523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ind w:left="360" w:hanging="360"/>
              <w:jc w:val="both"/>
              <w:rPr>
                <w:rFonts w:ascii="Arial" w:eastAsia="Arial" w:hAnsi="Arial" w:cs="Arial"/>
              </w:rPr>
            </w:pPr>
            <w:r>
              <w:rPr>
                <w:rFonts w:ascii="Arial" w:eastAsia="Arial" w:hAnsi="Arial" w:cs="Arial"/>
              </w:rPr>
              <w:t>c)</w:t>
            </w:r>
            <w:r w:rsidR="0011716C">
              <w:rPr>
                <w:rFonts w:ascii="Arial" w:eastAsia="Arial" w:hAnsi="Arial" w:cs="Arial"/>
              </w:rPr>
              <w:t xml:space="preserve"> </w:t>
            </w:r>
            <w:r>
              <w:rPr>
                <w:rFonts w:ascii="Arial" w:eastAsia="Arial" w:hAnsi="Arial" w:cs="Arial"/>
              </w:rPr>
              <w:t>Por actualizaciones o cambios en la Reglamentación Técnica específica;</w:t>
            </w:r>
          </w:p>
        </w:tc>
        <w:tc>
          <w:tcPr>
            <w:tcW w:w="183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Ajustar con etiqueta complementaria</w:t>
            </w:r>
          </w:p>
        </w:tc>
        <w:tc>
          <w:tcPr>
            <w:tcW w:w="1708"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12 meses máximo</w:t>
            </w:r>
          </w:p>
        </w:tc>
      </w:tr>
      <w:tr w:rsidR="002A0508" w:rsidTr="0011716C">
        <w:trPr>
          <w:trHeight w:val="1815"/>
        </w:trPr>
        <w:tc>
          <w:tcPr>
            <w:tcW w:w="523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ind w:left="360" w:hanging="360"/>
              <w:jc w:val="both"/>
              <w:rPr>
                <w:rFonts w:ascii="Arial" w:eastAsia="Arial" w:hAnsi="Arial" w:cs="Arial"/>
              </w:rPr>
            </w:pPr>
            <w:r>
              <w:rPr>
                <w:rFonts w:ascii="Arial" w:eastAsia="Arial" w:hAnsi="Arial" w:cs="Arial"/>
              </w:rPr>
              <w:t>d)</w:t>
            </w:r>
            <w:r>
              <w:rPr>
                <w:rFonts w:ascii="Arial" w:eastAsia="Arial" w:hAnsi="Arial" w:cs="Arial"/>
                <w:sz w:val="14"/>
                <w:szCs w:val="14"/>
              </w:rPr>
              <w:t xml:space="preserve"> </w:t>
            </w:r>
            <w:r w:rsidR="0011716C">
              <w:rPr>
                <w:rFonts w:ascii="Arial" w:eastAsia="Arial" w:hAnsi="Arial" w:cs="Arial"/>
                <w:sz w:val="14"/>
                <w:szCs w:val="14"/>
              </w:rPr>
              <w:t xml:space="preserve"> </w:t>
            </w:r>
            <w:r>
              <w:rPr>
                <w:rFonts w:ascii="Arial" w:eastAsia="Arial" w:hAnsi="Arial" w:cs="Arial"/>
              </w:rPr>
              <w:t>Por actualización de R.S.P.A., previamente autorizadas por la DINAVISA. que impliquen los cambios siguientes: denominación del producto, nombre o razón social del titular o fabricante, Cambio de titular, lista de ingredientes (siempre que no altere la naturaleza del alimento)</w:t>
            </w:r>
          </w:p>
        </w:tc>
        <w:tc>
          <w:tcPr>
            <w:tcW w:w="183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Ajustar con etiqueta complementaria</w:t>
            </w:r>
          </w:p>
        </w:tc>
        <w:tc>
          <w:tcPr>
            <w:tcW w:w="1708"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12 meses máximo</w:t>
            </w:r>
          </w:p>
        </w:tc>
      </w:tr>
      <w:tr w:rsidR="002A0508" w:rsidTr="0011716C">
        <w:trPr>
          <w:trHeight w:val="1215"/>
        </w:trPr>
        <w:tc>
          <w:tcPr>
            <w:tcW w:w="523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ind w:left="360" w:hanging="360"/>
              <w:rPr>
                <w:rFonts w:ascii="Arial" w:eastAsia="Arial" w:hAnsi="Arial" w:cs="Arial"/>
              </w:rPr>
            </w:pPr>
            <w:r>
              <w:rPr>
                <w:rFonts w:ascii="Arial" w:eastAsia="Arial" w:hAnsi="Arial" w:cs="Arial"/>
              </w:rPr>
              <w:t>e)</w:t>
            </w:r>
            <w:r>
              <w:rPr>
                <w:rFonts w:ascii="Arial" w:eastAsia="Arial" w:hAnsi="Arial" w:cs="Arial"/>
                <w:sz w:val="14"/>
                <w:szCs w:val="14"/>
              </w:rPr>
              <w:t xml:space="preserve">    </w:t>
            </w:r>
            <w:r>
              <w:rPr>
                <w:rFonts w:ascii="Arial" w:eastAsia="Arial" w:hAnsi="Arial" w:cs="Arial"/>
              </w:rPr>
              <w:t>Errores tipográficos y/o de impresión, siempre y cuando, no causen engaño al consumidor, ni percepción errónea del alimento con base a la información aprobada en el registro sanitario.</w:t>
            </w:r>
          </w:p>
        </w:tc>
        <w:tc>
          <w:tcPr>
            <w:tcW w:w="183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Ajustar con etiqueta complementaria</w:t>
            </w:r>
          </w:p>
        </w:tc>
        <w:tc>
          <w:tcPr>
            <w:tcW w:w="1708"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24 meses</w:t>
            </w:r>
          </w:p>
        </w:tc>
      </w:tr>
      <w:tr w:rsidR="002A0508" w:rsidTr="0011716C">
        <w:trPr>
          <w:trHeight w:val="1215"/>
        </w:trPr>
        <w:tc>
          <w:tcPr>
            <w:tcW w:w="523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ind w:left="360" w:hanging="360"/>
              <w:rPr>
                <w:rFonts w:ascii="Arial" w:eastAsia="Arial" w:hAnsi="Arial" w:cs="Arial"/>
              </w:rPr>
            </w:pPr>
            <w:r>
              <w:rPr>
                <w:rFonts w:ascii="Arial" w:eastAsia="Arial" w:hAnsi="Arial" w:cs="Arial"/>
              </w:rPr>
              <w:t>f)</w:t>
            </w:r>
            <w:r>
              <w:rPr>
                <w:rFonts w:ascii="Arial" w:eastAsia="Arial" w:hAnsi="Arial" w:cs="Arial"/>
                <w:sz w:val="14"/>
                <w:szCs w:val="14"/>
              </w:rPr>
              <w:t xml:space="preserve">      </w:t>
            </w:r>
            <w:r>
              <w:rPr>
                <w:rFonts w:ascii="Arial" w:eastAsia="Arial" w:hAnsi="Arial" w:cs="Arial"/>
              </w:rPr>
              <w:t>Otros que la DINAVISA considere pertinente, según sea el caso.</w:t>
            </w:r>
          </w:p>
        </w:tc>
        <w:tc>
          <w:tcPr>
            <w:tcW w:w="183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Ajustar con etiqueta complementaria</w:t>
            </w:r>
          </w:p>
        </w:tc>
        <w:tc>
          <w:tcPr>
            <w:tcW w:w="1708"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2A0508" w:rsidRDefault="005B31A0" w:rsidP="0011716C">
            <w:pPr>
              <w:spacing w:after="0" w:line="276" w:lineRule="auto"/>
              <w:jc w:val="center"/>
              <w:rPr>
                <w:rFonts w:ascii="Arial" w:eastAsia="Arial" w:hAnsi="Arial" w:cs="Arial"/>
              </w:rPr>
            </w:pPr>
            <w:r>
              <w:rPr>
                <w:rFonts w:ascii="Arial" w:eastAsia="Arial" w:hAnsi="Arial" w:cs="Arial"/>
              </w:rPr>
              <w:t>Según resultado de análisis técnico</w:t>
            </w:r>
          </w:p>
        </w:tc>
      </w:tr>
    </w:tbl>
    <w:p w:rsidR="002A0508" w:rsidRDefault="002A0508">
      <w:pPr>
        <w:pBdr>
          <w:top w:val="nil"/>
          <w:left w:val="nil"/>
          <w:bottom w:val="nil"/>
          <w:right w:val="nil"/>
          <w:between w:val="nil"/>
        </w:pBdr>
        <w:spacing w:line="240" w:lineRule="auto"/>
        <w:rPr>
          <w:rFonts w:ascii="Arial" w:eastAsia="Arial" w:hAnsi="Arial" w:cs="Arial"/>
        </w:rPr>
      </w:pPr>
    </w:p>
    <w:sectPr w:rsidR="002A0508" w:rsidSect="0011716C">
      <w:headerReference w:type="even" r:id="rId8"/>
      <w:headerReference w:type="default" r:id="rId9"/>
      <w:footerReference w:type="even" r:id="rId10"/>
      <w:footerReference w:type="default" r:id="rId11"/>
      <w:headerReference w:type="first" r:id="rId12"/>
      <w:footerReference w:type="first" r:id="rId13"/>
      <w:pgSz w:w="12240" w:h="18720" w:code="14"/>
      <w:pgMar w:top="1417" w:right="1701" w:bottom="2836"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742" w:rsidRDefault="00961742">
      <w:pPr>
        <w:spacing w:after="0" w:line="240" w:lineRule="auto"/>
      </w:pPr>
      <w:r>
        <w:separator/>
      </w:r>
    </w:p>
  </w:endnote>
  <w:endnote w:type="continuationSeparator" w:id="0">
    <w:p w:rsidR="00961742" w:rsidRDefault="0096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8" w:rsidRDefault="002A050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8" w:rsidRDefault="005B31A0">
    <w:pPr>
      <w:spacing w:after="0"/>
      <w:jc w:val="both"/>
      <w:rPr>
        <w:rFonts w:ascii="Arial" w:eastAsia="Arial" w:hAnsi="Arial" w:cs="Arial"/>
        <w:sz w:val="14"/>
        <w:szCs w:val="14"/>
      </w:rPr>
    </w:pPr>
    <w:r>
      <w:rPr>
        <w:rFonts w:ascii="Arial" w:eastAsia="Arial" w:hAnsi="Arial" w:cs="Arial"/>
        <w:b/>
        <w:sz w:val="14"/>
        <w:szCs w:val="14"/>
      </w:rPr>
      <w:t>Misión</w:t>
    </w:r>
    <w:r>
      <w:rPr>
        <w:rFonts w:ascii="Arial" w:eastAsia="Arial" w:hAnsi="Arial" w:cs="Arial"/>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rsidR="002A0508" w:rsidRDefault="005B31A0">
    <w:pPr>
      <w:spacing w:after="0"/>
      <w:jc w:val="both"/>
      <w:rPr>
        <w:rFonts w:ascii="Arial" w:eastAsia="Arial" w:hAnsi="Arial" w:cs="Arial"/>
        <w:sz w:val="14"/>
        <w:szCs w:val="14"/>
      </w:rPr>
    </w:pPr>
    <w:r>
      <w:rPr>
        <w:rFonts w:ascii="Arial" w:eastAsia="Arial" w:hAnsi="Arial" w:cs="Arial"/>
        <w:b/>
        <w:sz w:val="14"/>
        <w:szCs w:val="14"/>
      </w:rPr>
      <w:t xml:space="preserve">Visión: </w:t>
    </w:r>
    <w:r>
      <w:rPr>
        <w:rFonts w:ascii="Arial" w:eastAsia="Arial" w:hAnsi="Arial" w:cs="Arial"/>
        <w:sz w:val="14"/>
        <w:szCs w:val="14"/>
      </w:rPr>
      <w:t>Ser una institución reguladora y fiscalizadora de Referencia Nacional e Internacional reconocida por su capacidad técnica, credibilidad y compromiso con la protección de la salud de la población y el desarrollo nacional.</w:t>
    </w:r>
  </w:p>
  <w:p w:rsidR="002A0508" w:rsidRDefault="005B31A0">
    <w:pPr>
      <w:spacing w:after="0"/>
      <w:jc w:val="both"/>
      <w:rPr>
        <w:rFonts w:ascii="Arial" w:eastAsia="Arial" w:hAnsi="Arial" w:cs="Arial"/>
        <w:sz w:val="14"/>
        <w:szCs w:val="14"/>
      </w:rPr>
    </w:pPr>
    <w:r>
      <w:rPr>
        <w:rFonts w:ascii="Arial" w:eastAsia="Arial" w:hAnsi="Arial" w:cs="Arial"/>
        <w:sz w:val="14"/>
        <w:szCs w:val="14"/>
      </w:rPr>
      <w:t xml:space="preserve"> </w:t>
    </w:r>
  </w:p>
  <w:p w:rsidR="002A0508" w:rsidRDefault="005B31A0">
    <w:pPr>
      <w:spacing w:after="0"/>
      <w:jc w:val="center"/>
      <w:rPr>
        <w:rFonts w:ascii="Arial" w:eastAsia="Arial" w:hAnsi="Arial" w:cs="Arial"/>
        <w:b/>
        <w:sz w:val="14"/>
        <w:szCs w:val="14"/>
      </w:rPr>
    </w:pPr>
    <w:r>
      <w:rPr>
        <w:rFonts w:ascii="Arial" w:eastAsia="Arial" w:hAnsi="Arial" w:cs="Arial"/>
        <w:b/>
        <w:sz w:val="14"/>
        <w:szCs w:val="14"/>
      </w:rPr>
      <w:t xml:space="preserve">Iturbe </w:t>
    </w:r>
    <w:proofErr w:type="spellStart"/>
    <w:r>
      <w:rPr>
        <w:rFonts w:ascii="Arial" w:eastAsia="Arial" w:hAnsi="Arial" w:cs="Arial"/>
        <w:b/>
        <w:sz w:val="14"/>
        <w:szCs w:val="14"/>
      </w:rPr>
      <w:t>Nº</w:t>
    </w:r>
    <w:proofErr w:type="spellEnd"/>
    <w:r>
      <w:rPr>
        <w:rFonts w:ascii="Arial" w:eastAsia="Arial" w:hAnsi="Arial" w:cs="Arial"/>
        <w:b/>
        <w:sz w:val="14"/>
        <w:szCs w:val="14"/>
      </w:rPr>
      <w:t xml:space="preserve"> 883 e/ Manuel Domínguez y Fulgencio R. Moreno</w:t>
    </w:r>
  </w:p>
  <w:p w:rsidR="002A0508" w:rsidRDefault="005B31A0">
    <w:pPr>
      <w:spacing w:after="0"/>
      <w:jc w:val="center"/>
      <w:rPr>
        <w:b/>
        <w:sz w:val="16"/>
        <w:szCs w:val="16"/>
      </w:rPr>
    </w:pPr>
    <w:r>
      <w:rPr>
        <w:rFonts w:ascii="Arial" w:eastAsia="Arial" w:hAnsi="Arial" w:cs="Arial"/>
        <w:b/>
        <w:sz w:val="14"/>
        <w:szCs w:val="14"/>
      </w:rPr>
      <w:t>Asunción, Paraguay</w:t>
    </w:r>
  </w:p>
  <w:p w:rsidR="002A0508" w:rsidRDefault="005B31A0">
    <w:pPr>
      <w:tabs>
        <w:tab w:val="center" w:pos="4252"/>
        <w:tab w:val="right" w:pos="8504"/>
      </w:tabs>
      <w:spacing w:after="0" w:line="240" w:lineRule="auto"/>
      <w:jc w:val="right"/>
    </w:pPr>
    <w:r>
      <w:rPr>
        <w:rFonts w:ascii="Arial" w:eastAsia="Arial" w:hAnsi="Arial" w:cs="Arial"/>
        <w:sz w:val="14"/>
        <w:szCs w:val="14"/>
      </w:rPr>
      <w:t xml:space="preserve">Página </w:t>
    </w:r>
    <w:r>
      <w:rPr>
        <w:rFonts w:ascii="Arial" w:eastAsia="Arial" w:hAnsi="Arial" w:cs="Arial"/>
        <w:sz w:val="14"/>
        <w:szCs w:val="14"/>
      </w:rPr>
      <w:fldChar w:fldCharType="begin"/>
    </w:r>
    <w:r>
      <w:rPr>
        <w:rFonts w:ascii="Arial" w:eastAsia="Arial" w:hAnsi="Arial" w:cs="Arial"/>
        <w:sz w:val="14"/>
        <w:szCs w:val="14"/>
      </w:rPr>
      <w:instrText>PAGE</w:instrText>
    </w:r>
    <w:r>
      <w:rPr>
        <w:rFonts w:ascii="Arial" w:eastAsia="Arial" w:hAnsi="Arial" w:cs="Arial"/>
        <w:sz w:val="14"/>
        <w:szCs w:val="14"/>
      </w:rPr>
      <w:fldChar w:fldCharType="separate"/>
    </w:r>
    <w:r w:rsidR="0011716C">
      <w:rPr>
        <w:rFonts w:ascii="Arial" w:eastAsia="Arial" w:hAnsi="Arial" w:cs="Arial"/>
        <w:noProof/>
        <w:sz w:val="14"/>
        <w:szCs w:val="14"/>
      </w:rPr>
      <w:t>1</w:t>
    </w:r>
    <w:r>
      <w:rPr>
        <w:rFonts w:ascii="Arial" w:eastAsia="Arial" w:hAnsi="Arial" w:cs="Arial"/>
        <w:sz w:val="14"/>
        <w:szCs w:val="14"/>
      </w:rPr>
      <w:fldChar w:fldCharType="end"/>
    </w:r>
    <w:r>
      <w:rPr>
        <w:rFonts w:ascii="Arial" w:eastAsia="Arial" w:hAnsi="Arial" w:cs="Arial"/>
        <w:sz w:val="14"/>
        <w:szCs w:val="14"/>
      </w:rPr>
      <w:t xml:space="preserve"> de </w:t>
    </w:r>
    <w:r>
      <w:rPr>
        <w:rFonts w:ascii="Arial" w:eastAsia="Arial" w:hAnsi="Arial" w:cs="Arial"/>
        <w:sz w:val="14"/>
        <w:szCs w:val="14"/>
      </w:rPr>
      <w:fldChar w:fldCharType="begin"/>
    </w:r>
    <w:r>
      <w:rPr>
        <w:rFonts w:ascii="Arial" w:eastAsia="Arial" w:hAnsi="Arial" w:cs="Arial"/>
        <w:sz w:val="14"/>
        <w:szCs w:val="14"/>
      </w:rPr>
      <w:instrText>NUMPAGES</w:instrText>
    </w:r>
    <w:r>
      <w:rPr>
        <w:rFonts w:ascii="Arial" w:eastAsia="Arial" w:hAnsi="Arial" w:cs="Arial"/>
        <w:sz w:val="14"/>
        <w:szCs w:val="14"/>
      </w:rPr>
      <w:fldChar w:fldCharType="separate"/>
    </w:r>
    <w:r w:rsidR="0011716C">
      <w:rPr>
        <w:rFonts w:ascii="Arial" w:eastAsia="Arial" w:hAnsi="Arial" w:cs="Arial"/>
        <w:noProof/>
        <w:sz w:val="14"/>
        <w:szCs w:val="14"/>
      </w:rPr>
      <w:t>1</w:t>
    </w:r>
    <w:r>
      <w:rPr>
        <w:rFonts w:ascii="Arial" w:eastAsia="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8" w:rsidRDefault="002A050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742" w:rsidRDefault="00961742">
      <w:pPr>
        <w:spacing w:after="0" w:line="240" w:lineRule="auto"/>
      </w:pPr>
      <w:r>
        <w:separator/>
      </w:r>
    </w:p>
  </w:footnote>
  <w:footnote w:type="continuationSeparator" w:id="0">
    <w:p w:rsidR="00961742" w:rsidRDefault="00961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8" w:rsidRDefault="002A050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8" w:rsidRDefault="005B31A0">
    <w:pPr>
      <w:spacing w:after="0" w:line="240" w:lineRule="auto"/>
      <w:jc w:val="center"/>
      <w:rPr>
        <w:rFonts w:ascii="Times New Roman" w:eastAsia="Times New Roman" w:hAnsi="Times New Roman" w:cs="Times New Roman"/>
        <w:sz w:val="20"/>
        <w:szCs w:val="20"/>
      </w:rPr>
    </w:pPr>
    <w:r>
      <w:rPr>
        <w:rFonts w:ascii="Arial" w:eastAsia="Arial" w:hAnsi="Arial" w:cs="Arial"/>
        <w:i/>
        <w:color w:val="000000"/>
        <w:sz w:val="20"/>
        <w:szCs w:val="20"/>
      </w:rPr>
      <w:t>“Sesquicentenario de la Epopeya Nacional: 1864 – 1870”</w:t>
    </w:r>
  </w:p>
  <w:p w:rsidR="002A0508" w:rsidRDefault="005B31A0">
    <w:pPr>
      <w:spacing w:after="0" w:line="240" w:lineRule="auto"/>
      <w:jc w:val="center"/>
      <w:rPr>
        <w:rFonts w:ascii="Times New Roman" w:eastAsia="Times New Roman" w:hAnsi="Times New Roman" w:cs="Times New Roman"/>
        <w:sz w:val="24"/>
        <w:szCs w:val="24"/>
      </w:rPr>
    </w:pPr>
    <w:r>
      <w:rPr>
        <w:rFonts w:ascii="Arial" w:eastAsia="Arial" w:hAnsi="Arial" w:cs="Arial"/>
        <w:noProof/>
        <w:color w:val="000000"/>
      </w:rPr>
      <w:drawing>
        <wp:inline distT="0" distB="0" distL="0" distR="0">
          <wp:extent cx="600075" cy="533400"/>
          <wp:effectExtent l="0" t="0" r="0" b="0"/>
          <wp:docPr id="16" name="image1.png" descr="undefined"/>
          <wp:cNvGraphicFramePr/>
          <a:graphic xmlns:a="http://schemas.openxmlformats.org/drawingml/2006/main">
            <a:graphicData uri="http://schemas.openxmlformats.org/drawingml/2006/picture">
              <pic:pic xmlns:pic="http://schemas.openxmlformats.org/drawingml/2006/picture">
                <pic:nvPicPr>
                  <pic:cNvPr id="0" name="image1.png" descr="undefined"/>
                  <pic:cNvPicPr preferRelativeResize="0"/>
                </pic:nvPicPr>
                <pic:blipFill>
                  <a:blip r:embed="rId1"/>
                  <a:srcRect/>
                  <a:stretch>
                    <a:fillRect/>
                  </a:stretch>
                </pic:blipFill>
                <pic:spPr>
                  <a:xfrm>
                    <a:off x="0" y="0"/>
                    <a:ext cx="600075" cy="533400"/>
                  </a:xfrm>
                  <a:prstGeom prst="rect">
                    <a:avLst/>
                  </a:prstGeom>
                  <a:ln/>
                </pic:spPr>
              </pic:pic>
            </a:graphicData>
          </a:graphic>
        </wp:inline>
      </w:drawing>
    </w:r>
  </w:p>
  <w:p w:rsidR="002A0508" w:rsidRDefault="005B31A0">
    <w:pPr>
      <w:spacing w:after="0" w:line="240" w:lineRule="auto"/>
      <w:jc w:val="center"/>
      <w:rPr>
        <w:rFonts w:ascii="Times New Roman" w:eastAsia="Times New Roman" w:hAnsi="Times New Roman" w:cs="Times New Roman"/>
        <w:sz w:val="24"/>
        <w:szCs w:val="24"/>
      </w:rPr>
    </w:pPr>
    <w:r>
      <w:rPr>
        <w:rFonts w:ascii="Arial" w:eastAsia="Arial" w:hAnsi="Arial" w:cs="Arial"/>
        <w:b/>
        <w:i/>
        <w:color w:val="000000"/>
        <w:sz w:val="24"/>
        <w:szCs w:val="24"/>
      </w:rPr>
      <w:t>Poder Ejecutivo</w:t>
    </w:r>
  </w:p>
  <w:p w:rsidR="002A0508" w:rsidRDefault="005B31A0">
    <w:pPr>
      <w:spacing w:after="0" w:line="240" w:lineRule="auto"/>
      <w:jc w:val="center"/>
      <w:rPr>
        <w:rFonts w:ascii="Times New Roman" w:eastAsia="Times New Roman" w:hAnsi="Times New Roman" w:cs="Times New Roman"/>
        <w:sz w:val="24"/>
        <w:szCs w:val="24"/>
      </w:rPr>
    </w:pPr>
    <w:r>
      <w:rPr>
        <w:rFonts w:ascii="Arial" w:eastAsia="Arial" w:hAnsi="Arial" w:cs="Arial"/>
        <w:b/>
        <w:i/>
        <w:color w:val="000000"/>
        <w:sz w:val="24"/>
        <w:szCs w:val="24"/>
      </w:rPr>
      <w:t>Dirección Nacional de Vigilancia Sanitaria</w:t>
    </w:r>
  </w:p>
  <w:p w:rsidR="002A0508" w:rsidRDefault="002A0508">
    <w:pPr>
      <w:spacing w:after="0" w:line="240" w:lineRule="auto"/>
      <w:rPr>
        <w:rFonts w:ascii="Times New Roman" w:eastAsia="Times New Roman" w:hAnsi="Times New Roman" w:cs="Times New Roman"/>
        <w:sz w:val="24"/>
        <w:szCs w:val="24"/>
      </w:rPr>
    </w:pPr>
  </w:p>
  <w:p w:rsidR="002A0508" w:rsidRDefault="005B31A0">
    <w:pPr>
      <w:spacing w:after="0" w:line="240" w:lineRule="auto"/>
      <w:jc w:val="center"/>
      <w:rPr>
        <w:rFonts w:ascii="Times New Roman" w:eastAsia="Times New Roman" w:hAnsi="Times New Roman" w:cs="Times New Roman"/>
        <w:sz w:val="24"/>
        <w:szCs w:val="24"/>
      </w:rPr>
    </w:pPr>
    <w:r>
      <w:rPr>
        <w:rFonts w:ascii="Arial" w:eastAsia="Arial" w:hAnsi="Arial" w:cs="Arial"/>
        <w:b/>
        <w:i/>
        <w:sz w:val="24"/>
        <w:szCs w:val="24"/>
      </w:rPr>
      <w:t>Resolución DINAVISA N.º               /2025</w:t>
    </w:r>
  </w:p>
  <w:p w:rsidR="002A0508" w:rsidRDefault="005B31A0">
    <w:pPr>
      <w:widowControl w:val="0"/>
      <w:pBdr>
        <w:top w:val="nil"/>
        <w:left w:val="nil"/>
        <w:bottom w:val="nil"/>
        <w:right w:val="nil"/>
        <w:between w:val="nil"/>
      </w:pBdr>
      <w:spacing w:before="355"/>
      <w:ind w:right="16"/>
      <w:jc w:val="both"/>
      <w:rPr>
        <w:rFonts w:ascii="Arial" w:eastAsia="Arial" w:hAnsi="Arial" w:cs="Arial"/>
      </w:rPr>
    </w:pPr>
    <w:bookmarkStart w:id="1" w:name="_heading=h.93t7vdncui6" w:colFirst="0" w:colLast="0"/>
    <w:bookmarkEnd w:id="1"/>
    <w:r>
      <w:rPr>
        <w:rFonts w:ascii="Arial" w:eastAsia="Arial" w:hAnsi="Arial" w:cs="Arial"/>
        <w:b/>
      </w:rPr>
      <w:t>POR LA CUAL SE ESTABLECEN REQUISITOS Y CONDICIONES PARA LA AUTORIZACIÓN DE SOLICITUD DE AGOTAMIENTO DE STOCK DE ETIQUETAS DE PRODUCTOS ALIMENTICIOS PROCESADOS Y PARA EL USO DE ETIQUETAS COMPLEMENTARIAS, EN EL ÁMBITO DE LAS COMPETENCIAS DE LA DIRECCIÓN NACIONAL DE VIGILANCIA SANITARIA.</w:t>
    </w:r>
    <w:r>
      <w:rPr>
        <w:rFonts w:ascii="Arial" w:eastAsia="Arial" w:hAnsi="Arial" w:cs="Arial"/>
      </w:rPr>
      <w:t xml:space="preserve">                                                                                   </w:t>
    </w:r>
  </w:p>
  <w:p w:rsidR="002A0508" w:rsidRDefault="005B31A0">
    <w:pPr>
      <w:widowControl w:val="0"/>
      <w:spacing w:before="355"/>
      <w:ind w:right="16"/>
      <w:jc w:val="right"/>
      <w:rPr>
        <w:rFonts w:ascii="Arial" w:eastAsia="Arial" w:hAnsi="Arial" w:cs="Arial"/>
      </w:rPr>
    </w:pPr>
    <w:proofErr w:type="gramStart"/>
    <w:r>
      <w:rPr>
        <w:rFonts w:ascii="Arial" w:eastAsia="Arial" w:hAnsi="Arial" w:cs="Arial"/>
      </w:rPr>
      <w:t xml:space="preserve">Asunción,   </w:t>
    </w:r>
    <w:proofErr w:type="gramEnd"/>
    <w:r>
      <w:rPr>
        <w:rFonts w:ascii="Arial" w:eastAsia="Arial" w:hAnsi="Arial" w:cs="Arial"/>
      </w:rPr>
      <w:t xml:space="preserve">   de                     </w:t>
    </w:r>
    <w:proofErr w:type="spellStart"/>
    <w:r>
      <w:rPr>
        <w:rFonts w:ascii="Arial" w:eastAsia="Arial" w:hAnsi="Arial" w:cs="Arial"/>
      </w:rPr>
      <w:t>de</w:t>
    </w:r>
    <w:proofErr w:type="spellEnd"/>
    <w:r>
      <w:rPr>
        <w:rFonts w:ascii="Arial" w:eastAsia="Arial" w:hAnsi="Arial" w:cs="Arial"/>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8" w:rsidRDefault="002A050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D50EE"/>
    <w:multiLevelType w:val="multilevel"/>
    <w:tmpl w:val="20DCED82"/>
    <w:lvl w:ilvl="0">
      <w:start w:val="1"/>
      <w:numFmt w:val="lowerLetter"/>
      <w:lvlText w:val="%1)"/>
      <w:lvlJc w:val="left"/>
      <w:pPr>
        <w:ind w:left="2160" w:hanging="360"/>
      </w:pPr>
      <w:rPr>
        <w:rFonts w:ascii="Arial" w:eastAsia="Arial" w:hAnsi="Arial" w:cs="Arial"/>
        <w:b/>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2BD37C17"/>
    <w:multiLevelType w:val="multilevel"/>
    <w:tmpl w:val="9BA23C34"/>
    <w:lvl w:ilvl="0">
      <w:start w:val="1"/>
      <w:numFmt w:val="lowerLetter"/>
      <w:lvlText w:val="%1)"/>
      <w:lvlJc w:val="left"/>
      <w:pPr>
        <w:ind w:left="1080" w:hanging="229"/>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08"/>
    <w:rsid w:val="0011716C"/>
    <w:rsid w:val="0022308B"/>
    <w:rsid w:val="002A0508"/>
    <w:rsid w:val="005B31A0"/>
    <w:rsid w:val="00961742"/>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5D8ED-3AAE-4594-9BF8-66BB999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Y" w:eastAsia="es-P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B4621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4621A"/>
    <w:rPr>
      <w:b/>
      <w:bCs/>
    </w:rPr>
  </w:style>
  <w:style w:type="paragraph" w:styleId="Encabezado">
    <w:name w:val="header"/>
    <w:basedOn w:val="Normal"/>
    <w:link w:val="EncabezadoCar"/>
    <w:uiPriority w:val="99"/>
    <w:unhideWhenUsed/>
    <w:rsid w:val="00D34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41AB"/>
  </w:style>
  <w:style w:type="paragraph" w:styleId="Piedepgina">
    <w:name w:val="footer"/>
    <w:basedOn w:val="Normal"/>
    <w:link w:val="PiedepginaCar"/>
    <w:uiPriority w:val="99"/>
    <w:unhideWhenUsed/>
    <w:rsid w:val="00D34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41AB"/>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A07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750"/>
    <w:rPr>
      <w:rFonts w:ascii="Segoe UI" w:hAnsi="Segoe UI" w:cs="Segoe UI"/>
      <w:sz w:val="18"/>
      <w:szCs w:val="18"/>
    </w:rPr>
  </w:style>
  <w:style w:type="paragraph" w:styleId="Prrafodelista">
    <w:name w:val="List Paragraph"/>
    <w:basedOn w:val="Normal"/>
    <w:uiPriority w:val="34"/>
    <w:qFormat/>
    <w:rsid w:val="002F2A9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lRS1REH3Ju653YyaZ0lgzobTQ==">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2313</Words>
  <Characters>12724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dnvs82</dc:creator>
  <cp:lastModifiedBy>DELL</cp:lastModifiedBy>
  <cp:revision>2</cp:revision>
  <dcterms:created xsi:type="dcterms:W3CDTF">2025-11-11T15:36:00Z</dcterms:created>
  <dcterms:modified xsi:type="dcterms:W3CDTF">2025-11-11T15:36:00Z</dcterms:modified>
</cp:coreProperties>
</file>