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06E" w:rsidRDefault="00B66986">
      <w:pPr>
        <w:spacing w:before="240" w:after="240" w:line="276" w:lineRule="auto"/>
        <w:jc w:val="both"/>
        <w:rPr>
          <w:rFonts w:ascii="Arial" w:eastAsia="Arial" w:hAnsi="Arial" w:cs="Arial"/>
          <w:b/>
          <w:bCs/>
        </w:rPr>
      </w:pPr>
      <w:r>
        <w:rPr>
          <w:rFonts w:ascii="Arial" w:eastAsia="Arial" w:hAnsi="Arial" w:cs="Arial"/>
          <w:b/>
          <w:bCs/>
        </w:rPr>
        <w:t>VISTO:</w:t>
      </w:r>
    </w:p>
    <w:p w:rsidR="0055106E" w:rsidRDefault="00B66986">
      <w:pPr>
        <w:spacing w:before="240" w:after="240" w:line="240" w:lineRule="auto"/>
        <w:jc w:val="both"/>
        <w:rPr>
          <w:rFonts w:ascii="Arial" w:eastAsia="Arial" w:hAnsi="Arial" w:cs="Arial"/>
          <w:b/>
          <w:bCs/>
        </w:rPr>
      </w:pPr>
      <w:r>
        <w:rPr>
          <w:rFonts w:ascii="Arial" w:eastAsia="Arial" w:hAnsi="Arial" w:cs="Arial"/>
          <w:b/>
          <w:bCs/>
        </w:rPr>
        <w:t xml:space="preserve"> </w:t>
      </w:r>
    </w:p>
    <w:p w:rsidR="0055106E" w:rsidRDefault="00B66986">
      <w:pPr>
        <w:spacing w:before="240" w:after="240" w:line="240" w:lineRule="auto"/>
        <w:ind w:firstLine="20"/>
        <w:jc w:val="both"/>
        <w:rPr>
          <w:rFonts w:ascii="Arial" w:eastAsia="Arial" w:hAnsi="Arial" w:cs="Arial"/>
        </w:rPr>
      </w:pPr>
      <w:r>
        <w:rPr>
          <w:rFonts w:ascii="Arial" w:eastAsia="Arial" w:hAnsi="Arial" w:cs="Arial"/>
        </w:rPr>
        <w:t xml:space="preserve">El Memorando DINAVISA/DGHE </w:t>
      </w:r>
      <w:proofErr w:type="spellStart"/>
      <w:r>
        <w:rPr>
          <w:rFonts w:ascii="Arial" w:eastAsia="Arial" w:hAnsi="Arial" w:cs="Arial"/>
        </w:rPr>
        <w:t>N°</w:t>
      </w:r>
      <w:proofErr w:type="spellEnd"/>
      <w:r>
        <w:rPr>
          <w:rFonts w:ascii="Arial" w:eastAsia="Arial" w:hAnsi="Arial" w:cs="Arial"/>
        </w:rPr>
        <w:t xml:space="preserve"> 17/2026, de la Dirección General de </w:t>
      </w:r>
      <w:r w:rsidR="00F65F1D">
        <w:rPr>
          <w:rFonts w:ascii="Arial" w:eastAsia="Arial" w:hAnsi="Arial" w:cs="Arial"/>
        </w:rPr>
        <w:t>Habilitación</w:t>
      </w:r>
      <w:bookmarkStart w:id="0" w:name="_GoBack"/>
      <w:bookmarkEnd w:id="0"/>
      <w:r>
        <w:rPr>
          <w:rFonts w:ascii="Arial" w:eastAsia="Arial" w:hAnsi="Arial" w:cs="Arial"/>
        </w:rPr>
        <w:t xml:space="preserve"> de Establecimientos por el cual eleva propuesta para reglamentar los procesos relacionados al cambio de razón social, cambio de denominación y transferencia de RE y se disponen</w:t>
      </w:r>
      <w:r>
        <w:rPr>
          <w:rFonts w:ascii="Arial" w:eastAsia="Arial" w:hAnsi="Arial" w:cs="Arial"/>
        </w:rPr>
        <w:t xml:space="preserve"> reglas complementarias.</w:t>
      </w:r>
    </w:p>
    <w:p w:rsidR="0055106E" w:rsidRDefault="00B66986">
      <w:pPr>
        <w:spacing w:before="240" w:after="240" w:line="276" w:lineRule="auto"/>
        <w:jc w:val="both"/>
        <w:rPr>
          <w:rFonts w:ascii="Arial" w:eastAsia="Arial" w:hAnsi="Arial" w:cs="Arial"/>
          <w:b/>
          <w:bCs/>
        </w:rPr>
      </w:pPr>
      <w:r>
        <w:rPr>
          <w:rFonts w:ascii="Arial" w:eastAsia="Arial" w:hAnsi="Arial" w:cs="Arial"/>
          <w:b/>
          <w:bCs/>
        </w:rPr>
        <w:t xml:space="preserve">CONSIDERANDO: </w:t>
      </w:r>
    </w:p>
    <w:p w:rsidR="0055106E" w:rsidRDefault="00B66986">
      <w:pPr>
        <w:spacing w:before="240" w:after="240" w:line="240" w:lineRule="auto"/>
        <w:ind w:firstLine="20"/>
        <w:jc w:val="both"/>
        <w:rPr>
          <w:rFonts w:ascii="Arial" w:eastAsia="Arial" w:hAnsi="Arial" w:cs="Arial"/>
        </w:rPr>
      </w:pPr>
      <w:r>
        <w:rPr>
          <w:rFonts w:ascii="Arial" w:eastAsia="Arial" w:hAnsi="Arial" w:cs="Arial"/>
        </w:rPr>
        <w:t>Que la Constitución de la República del Paraguay en su Capítulo VI “</w:t>
      </w:r>
      <w:r>
        <w:rPr>
          <w:rFonts w:ascii="Arial" w:eastAsia="Arial" w:hAnsi="Arial" w:cs="Arial"/>
          <w:i/>
          <w:iCs/>
        </w:rPr>
        <w:t>De la Salud</w:t>
      </w:r>
      <w:r>
        <w:rPr>
          <w:rFonts w:ascii="Arial" w:eastAsia="Arial" w:hAnsi="Arial" w:cs="Arial"/>
        </w:rPr>
        <w:t>”, Artículo 72. “Del control de calidad” dispone que: “</w:t>
      </w:r>
      <w:r>
        <w:rPr>
          <w:rFonts w:ascii="Arial" w:eastAsia="Arial" w:hAnsi="Arial" w:cs="Arial"/>
          <w:i/>
          <w:iCs/>
        </w:rPr>
        <w:t>El Estado velará por el control de la calidad de los productos alimenticios, quími</w:t>
      </w:r>
      <w:r>
        <w:rPr>
          <w:rFonts w:ascii="Arial" w:eastAsia="Arial" w:hAnsi="Arial" w:cs="Arial"/>
          <w:i/>
          <w:iCs/>
        </w:rPr>
        <w:t>cos, farmacéuticos y biológicos, en las etapas de producción, importación y comercialización. Asimismo, facilitará el acceso de sectores de escasos recursos a los medicamentos considerados esenciales</w:t>
      </w:r>
      <w:r>
        <w:rPr>
          <w:rFonts w:ascii="Arial" w:eastAsia="Arial" w:hAnsi="Arial" w:cs="Arial"/>
        </w:rPr>
        <w:t xml:space="preserve">”. </w:t>
      </w:r>
    </w:p>
    <w:p w:rsidR="0055106E" w:rsidRDefault="00B66986">
      <w:pPr>
        <w:spacing w:before="240" w:after="240" w:line="240" w:lineRule="auto"/>
        <w:ind w:firstLine="20"/>
        <w:jc w:val="both"/>
        <w:rPr>
          <w:rFonts w:ascii="Arial" w:eastAsia="Arial" w:hAnsi="Arial" w:cs="Arial"/>
          <w:i/>
          <w:iCs/>
        </w:rPr>
      </w:pPr>
      <w:r>
        <w:rPr>
          <w:rFonts w:ascii="Arial" w:eastAsia="Arial" w:hAnsi="Arial" w:cs="Arial"/>
        </w:rPr>
        <w:t xml:space="preserve">Que la Ley </w:t>
      </w:r>
      <w:proofErr w:type="spellStart"/>
      <w:r>
        <w:rPr>
          <w:rFonts w:ascii="Arial" w:eastAsia="Arial" w:hAnsi="Arial" w:cs="Arial"/>
        </w:rPr>
        <w:t>N°</w:t>
      </w:r>
      <w:proofErr w:type="spellEnd"/>
      <w:r>
        <w:rPr>
          <w:rFonts w:ascii="Arial" w:eastAsia="Arial" w:hAnsi="Arial" w:cs="Arial"/>
        </w:rPr>
        <w:t xml:space="preserve"> 6788/2021, modificada por la Ley </w:t>
      </w:r>
      <w:proofErr w:type="spellStart"/>
      <w:r>
        <w:rPr>
          <w:rFonts w:ascii="Arial" w:eastAsia="Arial" w:hAnsi="Arial" w:cs="Arial"/>
        </w:rPr>
        <w:t>N°</w:t>
      </w:r>
      <w:proofErr w:type="spellEnd"/>
      <w:r>
        <w:rPr>
          <w:rFonts w:ascii="Arial" w:eastAsia="Arial" w:hAnsi="Arial" w:cs="Arial"/>
        </w:rPr>
        <w:t xml:space="preserve"> 736</w:t>
      </w:r>
      <w:r>
        <w:rPr>
          <w:rFonts w:ascii="Arial" w:eastAsia="Arial" w:hAnsi="Arial" w:cs="Arial"/>
        </w:rPr>
        <w:t>1/2024, dispone la autonomía de la Dirección Nacional de Vigilancia Sanitaria y establece que la Dirección Nacional de Vigilancia Sanitaria (DINAVISA) será la autoridad responsable en materia de regulación sanitaria de productos para la salud como medicame</w:t>
      </w:r>
      <w:r>
        <w:rPr>
          <w:rFonts w:ascii="Arial" w:eastAsia="Arial" w:hAnsi="Arial" w:cs="Arial"/>
        </w:rPr>
        <w:t>ntos y afines, así como también en materia de alimentos y afines, y en su Art. 3° establece la competencia y objetivos: “…</w:t>
      </w:r>
      <w:r>
        <w:rPr>
          <w:rFonts w:ascii="Arial" w:eastAsia="Arial" w:hAnsi="Arial" w:cs="Arial"/>
          <w:i/>
          <w:iCs/>
        </w:rPr>
        <w:t xml:space="preserve"> c) La regulación, control y </w:t>
      </w:r>
      <w:proofErr w:type="spellStart"/>
      <w:r>
        <w:rPr>
          <w:rFonts w:ascii="Arial" w:eastAsia="Arial" w:hAnsi="Arial" w:cs="Arial"/>
          <w:i/>
          <w:iCs/>
        </w:rPr>
        <w:t>ﬁscalización</w:t>
      </w:r>
      <w:proofErr w:type="spellEnd"/>
      <w:r>
        <w:rPr>
          <w:rFonts w:ascii="Arial" w:eastAsia="Arial" w:hAnsi="Arial" w:cs="Arial"/>
          <w:i/>
          <w:iCs/>
        </w:rPr>
        <w:t xml:space="preserve"> de los alimentos, de otras sustancias relacionadas con los alimentos, bebidas, aditivos y co</w:t>
      </w:r>
      <w:r>
        <w:rPr>
          <w:rFonts w:ascii="Arial" w:eastAsia="Arial" w:hAnsi="Arial" w:cs="Arial"/>
          <w:i/>
          <w:iCs/>
        </w:rPr>
        <w:t xml:space="preserve">adyuvantes alimentarios, alimentos dietéticos, ingredientes o materias primas a ser utilizadas en alimentos, envases en contacto con alimentos o artículos similares destinados a la alimentación humana. d) La regulación, control, habilitación y </w:t>
      </w:r>
      <w:proofErr w:type="spellStart"/>
      <w:r>
        <w:rPr>
          <w:rFonts w:ascii="Arial" w:eastAsia="Arial" w:hAnsi="Arial" w:cs="Arial"/>
          <w:i/>
          <w:iCs/>
        </w:rPr>
        <w:t>ﬁscalización</w:t>
      </w:r>
      <w:proofErr w:type="spellEnd"/>
      <w:r>
        <w:rPr>
          <w:rFonts w:ascii="Arial" w:eastAsia="Arial" w:hAnsi="Arial" w:cs="Arial"/>
          <w:i/>
          <w:iCs/>
        </w:rPr>
        <w:t xml:space="preserve"> de los establecimientos, y de las actividades desarrolladas por las personas físicas o jurídicas que intervienen durante las etapas de: manipulación de alimentos, fabricación, elaboración, almacenamiento, fraccionamiento, control de calidad, distribución,</w:t>
      </w:r>
      <w:r>
        <w:rPr>
          <w:rFonts w:ascii="Arial" w:eastAsia="Arial" w:hAnsi="Arial" w:cs="Arial"/>
          <w:i/>
          <w:iCs/>
        </w:rPr>
        <w:t xml:space="preserve"> expendio, comercialización, transporte, representación, importación, exportación, empaquetado, etiquetado, información y publicidad de alimentos y las tecnologías aplicadas a la industria alimentaria. e) La regulación, control y </w:t>
      </w:r>
      <w:proofErr w:type="spellStart"/>
      <w:r>
        <w:rPr>
          <w:rFonts w:ascii="Arial" w:eastAsia="Arial" w:hAnsi="Arial" w:cs="Arial"/>
          <w:i/>
          <w:iCs/>
        </w:rPr>
        <w:t>ﬁscalización</w:t>
      </w:r>
      <w:proofErr w:type="spellEnd"/>
      <w:r>
        <w:rPr>
          <w:rFonts w:ascii="Arial" w:eastAsia="Arial" w:hAnsi="Arial" w:cs="Arial"/>
          <w:i/>
          <w:iCs/>
        </w:rPr>
        <w:t xml:space="preserve"> de todos aque</w:t>
      </w:r>
      <w:r>
        <w:rPr>
          <w:rFonts w:ascii="Arial" w:eastAsia="Arial" w:hAnsi="Arial" w:cs="Arial"/>
          <w:i/>
          <w:iCs/>
        </w:rPr>
        <w:t xml:space="preserve">llos productos cuya regulación y control le sean asignados por ley o por decreto reglamentario. f) El aseguramiento de la calidad, seguridad y </w:t>
      </w:r>
      <w:proofErr w:type="spellStart"/>
      <w:r>
        <w:rPr>
          <w:rFonts w:ascii="Arial" w:eastAsia="Arial" w:hAnsi="Arial" w:cs="Arial"/>
          <w:i/>
          <w:iCs/>
        </w:rPr>
        <w:t>eﬁcacia</w:t>
      </w:r>
      <w:proofErr w:type="spellEnd"/>
      <w:r>
        <w:rPr>
          <w:rFonts w:ascii="Arial" w:eastAsia="Arial" w:hAnsi="Arial" w:cs="Arial"/>
          <w:i/>
          <w:iCs/>
        </w:rPr>
        <w:t xml:space="preserve"> de los productos mencionados en los apartados antecedentes, pudiendo sancionar las infracciones que se de</w:t>
      </w:r>
      <w:r>
        <w:rPr>
          <w:rFonts w:ascii="Arial" w:eastAsia="Arial" w:hAnsi="Arial" w:cs="Arial"/>
          <w:i/>
          <w:iCs/>
        </w:rPr>
        <w:t>tecten…”. E</w:t>
      </w:r>
      <w:r>
        <w:rPr>
          <w:rFonts w:ascii="Arial" w:eastAsia="Arial" w:hAnsi="Arial" w:cs="Arial"/>
        </w:rPr>
        <w:t>l Art. 5° de la citada Ley establece que:</w:t>
      </w:r>
      <w:r>
        <w:rPr>
          <w:rFonts w:ascii="Arial" w:eastAsia="Arial" w:hAnsi="Arial" w:cs="Arial"/>
          <w:i/>
          <w:iCs/>
        </w:rPr>
        <w:t xml:space="preserve"> “…De las funciones. La Dirección Nacional de Vigilancia Sanitaria, tiene por finalidad velar por la protección de la salud humana. A tal efecto, deberá cumplir las siguientes funciones: “…8) Otorgar la h</w:t>
      </w:r>
      <w:r>
        <w:rPr>
          <w:rFonts w:ascii="Arial" w:eastAsia="Arial" w:hAnsi="Arial" w:cs="Arial"/>
          <w:i/>
          <w:iCs/>
        </w:rPr>
        <w:t xml:space="preserve">abilitación o registro, regular y ejercer el control y la </w:t>
      </w:r>
      <w:proofErr w:type="spellStart"/>
      <w:r>
        <w:rPr>
          <w:rFonts w:ascii="Arial" w:eastAsia="Arial" w:hAnsi="Arial" w:cs="Arial"/>
          <w:i/>
          <w:iCs/>
        </w:rPr>
        <w:t>ﬁscalización</w:t>
      </w:r>
      <w:proofErr w:type="spellEnd"/>
      <w:r>
        <w:rPr>
          <w:rFonts w:ascii="Arial" w:eastAsia="Arial" w:hAnsi="Arial" w:cs="Arial"/>
          <w:i/>
          <w:iCs/>
        </w:rPr>
        <w:t xml:space="preserve"> de los establecimientos dedicados a las actividades relacionadas a los productos del ámbito de su competencia…33) Regular y </w:t>
      </w:r>
      <w:proofErr w:type="spellStart"/>
      <w:r>
        <w:rPr>
          <w:rFonts w:ascii="Arial" w:eastAsia="Arial" w:hAnsi="Arial" w:cs="Arial"/>
          <w:i/>
          <w:iCs/>
        </w:rPr>
        <w:t>ﬁscalizar</w:t>
      </w:r>
      <w:proofErr w:type="spellEnd"/>
      <w:r>
        <w:rPr>
          <w:rFonts w:ascii="Arial" w:eastAsia="Arial" w:hAnsi="Arial" w:cs="Arial"/>
          <w:i/>
          <w:iCs/>
        </w:rPr>
        <w:t xml:space="preserve"> las actividades realizadas por las personas físicas</w:t>
      </w:r>
      <w:r>
        <w:rPr>
          <w:rFonts w:ascii="Arial" w:eastAsia="Arial" w:hAnsi="Arial" w:cs="Arial"/>
          <w:i/>
          <w:iCs/>
        </w:rPr>
        <w:t xml:space="preserve"> o jurídicas que intervienen durante las etapas de la fabricación, elaboración, fraccionamiento, control de calidad, distribución, dispensación, comercialización, representación, </w:t>
      </w:r>
      <w:r>
        <w:rPr>
          <w:rFonts w:ascii="Arial" w:eastAsia="Arial" w:hAnsi="Arial" w:cs="Arial"/>
          <w:i/>
          <w:iCs/>
        </w:rPr>
        <w:lastRenderedPageBreak/>
        <w:t>importación, exportación, almacenamiento, información y publicidad de los pro</w:t>
      </w:r>
      <w:r>
        <w:rPr>
          <w:rFonts w:ascii="Arial" w:eastAsia="Arial" w:hAnsi="Arial" w:cs="Arial"/>
          <w:i/>
          <w:iCs/>
        </w:rPr>
        <w:t>ductos alimenticios y otros que recaen bajo su competencia….”.</w:t>
      </w:r>
    </w:p>
    <w:p w:rsidR="0055106E" w:rsidRDefault="00B66986">
      <w:pPr>
        <w:spacing w:before="240" w:after="240" w:line="240" w:lineRule="auto"/>
        <w:ind w:firstLine="20"/>
        <w:jc w:val="both"/>
        <w:rPr>
          <w:rFonts w:ascii="Arial" w:eastAsia="Arial" w:hAnsi="Arial" w:cs="Arial"/>
        </w:rPr>
      </w:pPr>
      <w:bookmarkStart w:id="1" w:name="_heading=h.y58d68hfdj6d" w:colFirst="0" w:colLast="0"/>
      <w:bookmarkEnd w:id="1"/>
      <w:r>
        <w:rPr>
          <w:rFonts w:ascii="Arial" w:eastAsia="Arial" w:hAnsi="Arial" w:cs="Arial"/>
        </w:rPr>
        <w:t>Que la Ley 6788/2021, en su Artículo 7° establece que la dirección, administración y representación legal de la Dirección Nacional de Vigilancia Sanitaria (DINAVISA), estará a cargo de un Direc</w:t>
      </w:r>
      <w:r>
        <w:rPr>
          <w:rFonts w:ascii="Arial" w:eastAsia="Arial" w:hAnsi="Arial" w:cs="Arial"/>
        </w:rPr>
        <w:t xml:space="preserve">tor Nacional, el cual será su máxima autoridad y en tal carácter será el responsable directo de la gestión técnica, financiera y administrativa de la entidad. </w:t>
      </w:r>
    </w:p>
    <w:p w:rsidR="0055106E" w:rsidRDefault="00B66986">
      <w:pPr>
        <w:pBdr>
          <w:top w:val="nil"/>
          <w:left w:val="nil"/>
          <w:bottom w:val="nil"/>
          <w:right w:val="nil"/>
          <w:between w:val="nil"/>
        </w:pBdr>
        <w:spacing w:before="240" w:after="240" w:line="240" w:lineRule="auto"/>
        <w:ind w:firstLine="20"/>
        <w:jc w:val="both"/>
        <w:rPr>
          <w:rFonts w:ascii="Arial" w:eastAsia="Arial" w:hAnsi="Arial" w:cs="Arial"/>
        </w:rPr>
      </w:pPr>
      <w:bookmarkStart w:id="2" w:name="_heading=h.9qntc2vogbtp" w:colFirst="0" w:colLast="0"/>
      <w:bookmarkEnd w:id="2"/>
      <w:r>
        <w:rPr>
          <w:rFonts w:ascii="Arial" w:eastAsia="Arial" w:hAnsi="Arial" w:cs="Arial"/>
        </w:rPr>
        <w:t>Que de la casuística relacionadas a estos trámites emerge la necesidad de reglamentar estos proc</w:t>
      </w:r>
      <w:r>
        <w:rPr>
          <w:rFonts w:ascii="Arial" w:eastAsia="Arial" w:hAnsi="Arial" w:cs="Arial"/>
        </w:rPr>
        <w:t>esos de manera a ofrecer mayor claridad respecto a los alcances de los mismos.</w:t>
      </w:r>
    </w:p>
    <w:p w:rsidR="0055106E" w:rsidRDefault="00B66986">
      <w:pPr>
        <w:pBdr>
          <w:top w:val="nil"/>
          <w:left w:val="nil"/>
          <w:bottom w:val="nil"/>
          <w:right w:val="nil"/>
          <w:between w:val="nil"/>
        </w:pBdr>
        <w:spacing w:before="240" w:after="240" w:line="240" w:lineRule="auto"/>
        <w:ind w:firstLine="20"/>
        <w:jc w:val="both"/>
        <w:rPr>
          <w:rFonts w:ascii="Arial" w:eastAsia="Arial" w:hAnsi="Arial" w:cs="Arial"/>
        </w:rPr>
      </w:pPr>
      <w:bookmarkStart w:id="3" w:name="_heading=h.y0hqhjog4owc" w:colFirst="0" w:colLast="0"/>
      <w:bookmarkEnd w:id="3"/>
      <w:r>
        <w:rPr>
          <w:rFonts w:ascii="Arial" w:eastAsia="Arial" w:hAnsi="Arial" w:cs="Arial"/>
        </w:rPr>
        <w:t xml:space="preserve">POR TANTO, en ejercicio de sus funciones legales; </w:t>
      </w:r>
    </w:p>
    <w:p w:rsidR="0055106E" w:rsidRDefault="00B66986">
      <w:pPr>
        <w:pBdr>
          <w:top w:val="nil"/>
          <w:left w:val="nil"/>
          <w:bottom w:val="nil"/>
          <w:right w:val="nil"/>
          <w:between w:val="nil"/>
        </w:pBdr>
        <w:spacing w:before="240" w:after="240" w:line="240" w:lineRule="auto"/>
        <w:ind w:firstLine="20"/>
        <w:jc w:val="center"/>
        <w:rPr>
          <w:rFonts w:ascii="Arial" w:eastAsia="Arial" w:hAnsi="Arial" w:cs="Arial"/>
          <w:b/>
          <w:bCs/>
        </w:rPr>
      </w:pPr>
      <w:bookmarkStart w:id="4" w:name="_heading=h.2wbsv6rokcc2" w:colFirst="0" w:colLast="0"/>
      <w:bookmarkEnd w:id="4"/>
      <w:r>
        <w:rPr>
          <w:rFonts w:ascii="Arial" w:eastAsia="Arial" w:hAnsi="Arial" w:cs="Arial"/>
          <w:b/>
          <w:bCs/>
        </w:rPr>
        <w:t>EL DIRECTOR NACIONAL INTERINO DE LA DIRECCIÓN NACIONAL DE</w:t>
      </w:r>
    </w:p>
    <w:p w:rsidR="0055106E" w:rsidRDefault="00B66986">
      <w:pPr>
        <w:pBdr>
          <w:top w:val="nil"/>
          <w:left w:val="nil"/>
          <w:bottom w:val="nil"/>
          <w:right w:val="nil"/>
          <w:between w:val="nil"/>
        </w:pBdr>
        <w:spacing w:before="240" w:after="240" w:line="240" w:lineRule="auto"/>
        <w:ind w:firstLine="20"/>
        <w:jc w:val="center"/>
        <w:rPr>
          <w:rFonts w:ascii="Arial" w:eastAsia="Arial" w:hAnsi="Arial" w:cs="Arial"/>
          <w:b/>
          <w:bCs/>
        </w:rPr>
      </w:pPr>
      <w:bookmarkStart w:id="5" w:name="_heading=h.s1yd813eu2rg" w:colFirst="0" w:colLast="0"/>
      <w:bookmarkEnd w:id="5"/>
      <w:r>
        <w:rPr>
          <w:rFonts w:ascii="Arial" w:eastAsia="Arial" w:hAnsi="Arial" w:cs="Arial"/>
          <w:b/>
          <w:bCs/>
        </w:rPr>
        <w:t>VIGILANCIA SANITARIA</w:t>
      </w:r>
    </w:p>
    <w:p w:rsidR="0055106E" w:rsidRDefault="00B66986">
      <w:pPr>
        <w:pBdr>
          <w:top w:val="nil"/>
          <w:left w:val="nil"/>
          <w:bottom w:val="nil"/>
          <w:right w:val="nil"/>
          <w:between w:val="nil"/>
        </w:pBdr>
        <w:spacing w:before="240" w:after="240" w:line="240" w:lineRule="auto"/>
        <w:ind w:firstLine="20"/>
        <w:jc w:val="center"/>
        <w:rPr>
          <w:rFonts w:ascii="Arial" w:eastAsia="Arial" w:hAnsi="Arial" w:cs="Arial"/>
          <w:b/>
          <w:bCs/>
        </w:rPr>
      </w:pPr>
      <w:bookmarkStart w:id="6" w:name="_heading=h.hb1p2gv0cz9h" w:colFirst="0" w:colLast="0"/>
      <w:bookmarkEnd w:id="6"/>
      <w:r>
        <w:rPr>
          <w:rFonts w:ascii="Arial" w:eastAsia="Arial" w:hAnsi="Arial" w:cs="Arial"/>
          <w:b/>
          <w:bCs/>
        </w:rPr>
        <w:t>RESUELVE</w:t>
      </w:r>
    </w:p>
    <w:p w:rsidR="0055106E" w:rsidRDefault="00B66986">
      <w:pPr>
        <w:pBdr>
          <w:top w:val="nil"/>
          <w:left w:val="nil"/>
          <w:bottom w:val="nil"/>
          <w:right w:val="nil"/>
          <w:between w:val="nil"/>
        </w:pBdr>
        <w:spacing w:before="240" w:after="240" w:line="240" w:lineRule="auto"/>
        <w:ind w:left="1417" w:hanging="1417"/>
        <w:jc w:val="both"/>
        <w:rPr>
          <w:rFonts w:ascii="Arial" w:eastAsia="Arial" w:hAnsi="Arial" w:cs="Arial"/>
        </w:rPr>
      </w:pPr>
      <w:bookmarkStart w:id="7" w:name="_heading=h.qequbjwmznbl" w:colFirst="0" w:colLast="0"/>
      <w:bookmarkEnd w:id="7"/>
      <w:r>
        <w:rPr>
          <w:rFonts w:ascii="Arial" w:eastAsia="Arial" w:hAnsi="Arial" w:cs="Arial"/>
          <w:b/>
          <w:bCs/>
        </w:rPr>
        <w:t>Artículo 1</w:t>
      </w:r>
      <w:proofErr w:type="gramStart"/>
      <w:r>
        <w:rPr>
          <w:rFonts w:ascii="Arial" w:eastAsia="Arial" w:hAnsi="Arial" w:cs="Arial"/>
          <w:b/>
          <w:bCs/>
        </w:rPr>
        <w:t>°.-</w:t>
      </w:r>
      <w:proofErr w:type="gramEnd"/>
      <w:r>
        <w:rPr>
          <w:rFonts w:ascii="Arial" w:eastAsia="Arial" w:hAnsi="Arial" w:cs="Arial"/>
        </w:rPr>
        <w:tab/>
      </w:r>
      <w:r>
        <w:rPr>
          <w:rFonts w:ascii="Arial" w:eastAsia="Arial" w:hAnsi="Arial" w:cs="Arial"/>
        </w:rPr>
        <w:t>Reglamentar los procedimientos de transferencia de Registro de Establecimiento (RE) , cambio de razón social del establecimiento y cambio de nombre del establecimiento, conforme a lo establecido en la presente resolución.</w:t>
      </w:r>
    </w:p>
    <w:p w:rsidR="0055106E" w:rsidRDefault="00B66986">
      <w:pPr>
        <w:pBdr>
          <w:top w:val="nil"/>
          <w:left w:val="nil"/>
          <w:bottom w:val="nil"/>
          <w:right w:val="nil"/>
          <w:between w:val="nil"/>
        </w:pBdr>
        <w:spacing w:before="240" w:after="240" w:line="240" w:lineRule="auto"/>
        <w:ind w:left="1417" w:hanging="1417"/>
        <w:jc w:val="both"/>
        <w:rPr>
          <w:rFonts w:ascii="Arial" w:eastAsia="Arial" w:hAnsi="Arial" w:cs="Arial"/>
        </w:rPr>
      </w:pPr>
      <w:bookmarkStart w:id="8" w:name="_heading=h.hvq91he8xmpq" w:colFirst="0" w:colLast="0"/>
      <w:bookmarkEnd w:id="8"/>
      <w:r>
        <w:rPr>
          <w:rFonts w:ascii="Arial" w:eastAsia="Arial" w:hAnsi="Arial" w:cs="Arial"/>
          <w:b/>
          <w:bCs/>
        </w:rPr>
        <w:t>Artículo 2</w:t>
      </w:r>
      <w:proofErr w:type="gramStart"/>
      <w:r>
        <w:rPr>
          <w:rFonts w:ascii="Arial" w:eastAsia="Arial" w:hAnsi="Arial" w:cs="Arial"/>
          <w:b/>
          <w:bCs/>
        </w:rPr>
        <w:t>°.-</w:t>
      </w:r>
      <w:proofErr w:type="gramEnd"/>
      <w:r>
        <w:rPr>
          <w:rFonts w:ascii="Arial" w:eastAsia="Arial" w:hAnsi="Arial" w:cs="Arial"/>
        </w:rPr>
        <w:t xml:space="preserve"> Establecer que a los</w:t>
      </w:r>
      <w:r>
        <w:rPr>
          <w:rFonts w:ascii="Arial" w:eastAsia="Arial" w:hAnsi="Arial" w:cs="Arial"/>
        </w:rPr>
        <w:t xml:space="preserve"> efectos de la presente resolución se aplicarán los siguientes conceptos:</w:t>
      </w:r>
    </w:p>
    <w:p w:rsidR="0055106E" w:rsidRDefault="00B66986">
      <w:pPr>
        <w:spacing w:after="200" w:line="240" w:lineRule="auto"/>
        <w:ind w:left="1417"/>
        <w:jc w:val="both"/>
        <w:rPr>
          <w:rFonts w:ascii="Arial" w:eastAsia="Arial" w:hAnsi="Arial" w:cs="Arial"/>
        </w:rPr>
      </w:pPr>
      <w:bookmarkStart w:id="9" w:name="_heading=h.cyiujgmf62fr" w:colFirst="0" w:colLast="0"/>
      <w:bookmarkEnd w:id="9"/>
      <w:r>
        <w:rPr>
          <w:rFonts w:ascii="Arial" w:eastAsia="Arial" w:hAnsi="Arial" w:cs="Arial"/>
          <w:b/>
          <w:bCs/>
        </w:rPr>
        <w:t xml:space="preserve">a) </w:t>
      </w:r>
      <w:r>
        <w:rPr>
          <w:rFonts w:ascii="Arial" w:eastAsia="Arial" w:hAnsi="Arial" w:cs="Arial"/>
        </w:rPr>
        <w:t xml:space="preserve"> </w:t>
      </w:r>
      <w:r>
        <w:rPr>
          <w:rFonts w:ascii="Arial" w:eastAsia="Arial" w:hAnsi="Arial" w:cs="Arial"/>
          <w:b/>
          <w:bCs/>
        </w:rPr>
        <w:t xml:space="preserve">Cambio de Razón Social: </w:t>
      </w:r>
      <w:r>
        <w:rPr>
          <w:rFonts w:ascii="Arial" w:eastAsia="Arial" w:hAnsi="Arial" w:cs="Arial"/>
        </w:rPr>
        <w:t>Modificación oficial del nombre legal de la entidad jurídica que figura como titular de un establecimiento sanitario ante los registros públicos y autorid</w:t>
      </w:r>
      <w:r>
        <w:rPr>
          <w:rFonts w:ascii="Arial" w:eastAsia="Arial" w:hAnsi="Arial" w:cs="Arial"/>
        </w:rPr>
        <w:t>ades sanitarias. Se realiza mediante modificación estatutaria o escritura pública inscrita en el registro público; puede o no implicar cambios en la titularidad real del establecimiento (puede seguir siendo la misma entidad con otro nombre).</w:t>
      </w:r>
    </w:p>
    <w:p w:rsidR="0055106E" w:rsidRDefault="00B66986">
      <w:pPr>
        <w:spacing w:after="200" w:line="240" w:lineRule="auto"/>
        <w:ind w:left="1417"/>
        <w:jc w:val="both"/>
        <w:rPr>
          <w:rFonts w:ascii="Arial" w:eastAsia="Arial" w:hAnsi="Arial" w:cs="Arial"/>
          <w:b/>
          <w:bCs/>
        </w:rPr>
      </w:pPr>
      <w:bookmarkStart w:id="10" w:name="_heading=h.8ugb07zd2z71" w:colFirst="0" w:colLast="0"/>
      <w:bookmarkEnd w:id="10"/>
      <w:r>
        <w:rPr>
          <w:rFonts w:ascii="Arial" w:eastAsia="Arial" w:hAnsi="Arial" w:cs="Arial"/>
          <w:b/>
          <w:bCs/>
        </w:rPr>
        <w:t>b) Transferenc</w:t>
      </w:r>
      <w:r>
        <w:rPr>
          <w:rFonts w:ascii="Arial" w:eastAsia="Arial" w:hAnsi="Arial" w:cs="Arial"/>
          <w:b/>
          <w:bCs/>
        </w:rPr>
        <w:t xml:space="preserve">ia de Establecimiento (cambio de titularidad o cambio de propietario): </w:t>
      </w:r>
      <w:r>
        <w:rPr>
          <w:rFonts w:ascii="Arial" w:eastAsia="Arial" w:hAnsi="Arial" w:cs="Arial"/>
        </w:rPr>
        <w:t>Acto jurídico mediante el cual se produce el traspaso de la titularidad y responsabilidad legal de un establecimiento sanitario a una persona física o jurídica distinta del titular orig</w:t>
      </w:r>
      <w:r>
        <w:rPr>
          <w:rFonts w:ascii="Arial" w:eastAsia="Arial" w:hAnsi="Arial" w:cs="Arial"/>
        </w:rPr>
        <w:t>inalmente habilitado, debiendo comunicarse y registrarse ante la autoridad sanitaria.</w:t>
      </w:r>
    </w:p>
    <w:p w:rsidR="0055106E" w:rsidRDefault="00B66986">
      <w:pPr>
        <w:spacing w:after="200" w:line="240" w:lineRule="auto"/>
        <w:ind w:left="1417"/>
        <w:jc w:val="both"/>
        <w:rPr>
          <w:rFonts w:ascii="Arial" w:eastAsia="Arial" w:hAnsi="Arial" w:cs="Arial"/>
        </w:rPr>
      </w:pPr>
      <w:bookmarkStart w:id="11" w:name="_heading=h.c6usm4yz5syo" w:colFirst="0" w:colLast="0"/>
      <w:bookmarkEnd w:id="11"/>
      <w:r>
        <w:rPr>
          <w:rFonts w:ascii="Arial" w:eastAsia="Arial" w:hAnsi="Arial" w:cs="Arial"/>
          <w:b/>
          <w:bCs/>
        </w:rPr>
        <w:t xml:space="preserve">c) Cambio de Nombre o Identificación del Establecimiento: </w:t>
      </w:r>
      <w:r>
        <w:rPr>
          <w:rFonts w:ascii="Arial" w:eastAsia="Arial" w:hAnsi="Arial" w:cs="Arial"/>
        </w:rPr>
        <w:t>Modificación de la denominación o identificación comercial del establecimiento sanitario con la cual este se pre</w:t>
      </w:r>
      <w:r>
        <w:rPr>
          <w:rFonts w:ascii="Arial" w:eastAsia="Arial" w:hAnsi="Arial" w:cs="Arial"/>
        </w:rPr>
        <w:t>senta y es reconocido ante la autoridad sanitaria y el público en general, sin que ello implique necesariamente un cambio en la razón social ni en la titularidad del establecimiento.</w:t>
      </w:r>
    </w:p>
    <w:p w:rsidR="0055106E" w:rsidRDefault="00B66986">
      <w:pPr>
        <w:spacing w:after="200" w:line="240" w:lineRule="auto"/>
        <w:ind w:left="1417"/>
        <w:jc w:val="both"/>
        <w:rPr>
          <w:rFonts w:ascii="Arial" w:eastAsia="Arial" w:hAnsi="Arial" w:cs="Arial"/>
        </w:rPr>
      </w:pPr>
      <w:bookmarkStart w:id="12" w:name="_heading=h.4oh0e14mfssh" w:colFirst="0" w:colLast="0"/>
      <w:bookmarkEnd w:id="12"/>
      <w:r>
        <w:rPr>
          <w:rFonts w:ascii="Arial" w:eastAsia="Arial" w:hAnsi="Arial" w:cs="Arial"/>
          <w:b/>
          <w:bCs/>
        </w:rPr>
        <w:lastRenderedPageBreak/>
        <w:t xml:space="preserve">d) Nombre o Identificación del Establecimiento: </w:t>
      </w:r>
      <w:r>
        <w:rPr>
          <w:rFonts w:ascii="Arial" w:eastAsia="Arial" w:hAnsi="Arial" w:cs="Arial"/>
        </w:rPr>
        <w:t>Se entiende por el nombre</w:t>
      </w:r>
      <w:r>
        <w:rPr>
          <w:rFonts w:ascii="Arial" w:eastAsia="Arial" w:hAnsi="Arial" w:cs="Arial"/>
        </w:rPr>
        <w:t xml:space="preserve"> o denominación comercial o de fantasía, con el que el establecimiento se identifica, puede o no guardar correspondencia con la razón social. Cuando un mismo titular posee más de un establecimiento en los casos de sucursales deben ser identificadas como ta</w:t>
      </w:r>
      <w:r>
        <w:rPr>
          <w:rFonts w:ascii="Arial" w:eastAsia="Arial" w:hAnsi="Arial" w:cs="Arial"/>
        </w:rPr>
        <w:t>les agregando un elemento diferencial. Asimismo, si posee más de un establecimiento con diferentes RE y diferentes rubros si bien tendrán la misma Razón Social deberá diferenciar los establecimientos en su denominación comercial.</w:t>
      </w:r>
    </w:p>
    <w:p w:rsidR="0055106E" w:rsidRDefault="00B66986">
      <w:pPr>
        <w:spacing w:after="200" w:line="240" w:lineRule="auto"/>
        <w:ind w:left="1417"/>
        <w:jc w:val="both"/>
        <w:rPr>
          <w:rFonts w:ascii="Arial" w:eastAsia="Arial" w:hAnsi="Arial" w:cs="Arial"/>
        </w:rPr>
      </w:pPr>
      <w:bookmarkStart w:id="13" w:name="_heading=h.4u36517yrtq6" w:colFirst="0" w:colLast="0"/>
      <w:bookmarkEnd w:id="13"/>
      <w:r>
        <w:rPr>
          <w:rFonts w:ascii="Arial" w:eastAsia="Arial" w:hAnsi="Arial" w:cs="Arial"/>
          <w:b/>
          <w:bCs/>
        </w:rPr>
        <w:t>e) Titular del Establecimi</w:t>
      </w:r>
      <w:r>
        <w:rPr>
          <w:rFonts w:ascii="Arial" w:eastAsia="Arial" w:hAnsi="Arial" w:cs="Arial"/>
          <w:b/>
          <w:bCs/>
        </w:rPr>
        <w:t>ento:</w:t>
      </w:r>
      <w:r>
        <w:rPr>
          <w:rFonts w:ascii="Arial" w:eastAsia="Arial" w:hAnsi="Arial" w:cs="Arial"/>
        </w:rPr>
        <w:t xml:space="preserve"> Se entiende por la persona física o jurídica propietario del establecimiento.</w:t>
      </w:r>
    </w:p>
    <w:p w:rsidR="0055106E" w:rsidRDefault="00B66986">
      <w:pPr>
        <w:spacing w:after="200" w:line="240" w:lineRule="auto"/>
        <w:ind w:left="1417"/>
        <w:jc w:val="both"/>
        <w:rPr>
          <w:rFonts w:ascii="Arial" w:eastAsia="Arial" w:hAnsi="Arial" w:cs="Arial"/>
        </w:rPr>
      </w:pPr>
      <w:bookmarkStart w:id="14" w:name="_heading=h.jaydgiapahjl" w:colFirst="0" w:colLast="0"/>
      <w:bookmarkEnd w:id="14"/>
      <w:r>
        <w:rPr>
          <w:rFonts w:ascii="Arial" w:eastAsia="Arial" w:hAnsi="Arial" w:cs="Arial"/>
          <w:b/>
          <w:bCs/>
        </w:rPr>
        <w:t xml:space="preserve">f) Razón Social: </w:t>
      </w:r>
      <w:r>
        <w:rPr>
          <w:rFonts w:ascii="Arial" w:eastAsia="Arial" w:hAnsi="Arial" w:cs="Arial"/>
        </w:rPr>
        <w:t>debe corresponder al titular del establecimiento, si se trata de una persona física: se considerará como tal su nombre y apellidos, y para las personas jur</w:t>
      </w:r>
      <w:r>
        <w:rPr>
          <w:rFonts w:ascii="Arial" w:eastAsia="Arial" w:hAnsi="Arial" w:cs="Arial"/>
        </w:rPr>
        <w:t xml:space="preserve">ídicas: el </w:t>
      </w:r>
      <w:r>
        <w:rPr>
          <w:rFonts w:ascii="Arial" w:eastAsia="Arial" w:hAnsi="Arial" w:cs="Arial"/>
          <w:highlight w:val="white"/>
        </w:rPr>
        <w:t xml:space="preserve">nombre oficial y legal </w:t>
      </w:r>
      <w:r>
        <w:rPr>
          <w:rFonts w:ascii="Arial" w:eastAsia="Arial" w:hAnsi="Arial" w:cs="Arial"/>
          <w:color w:val="0A0A0A"/>
          <w:highlight w:val="white"/>
        </w:rPr>
        <w:t>registrada en los estatutos y en los registros públicos.</w:t>
      </w:r>
    </w:p>
    <w:p w:rsidR="0055106E" w:rsidRDefault="00B66986">
      <w:pPr>
        <w:spacing w:before="240" w:after="240" w:line="240" w:lineRule="auto"/>
        <w:ind w:left="1417" w:hanging="1417"/>
        <w:jc w:val="both"/>
        <w:rPr>
          <w:rFonts w:ascii="Arial" w:eastAsia="Arial" w:hAnsi="Arial" w:cs="Arial"/>
        </w:rPr>
      </w:pPr>
      <w:bookmarkStart w:id="15" w:name="_heading=h.fi0j973372ge" w:colFirst="0" w:colLast="0"/>
      <w:bookmarkEnd w:id="15"/>
      <w:r>
        <w:rPr>
          <w:rFonts w:ascii="Arial" w:eastAsia="Arial" w:hAnsi="Arial" w:cs="Arial"/>
          <w:b/>
          <w:bCs/>
        </w:rPr>
        <w:t>Artículo 3</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rPr>
        <w:tab/>
        <w:t xml:space="preserve">Disponer que el cambio de </w:t>
      </w:r>
      <w:r>
        <w:rPr>
          <w:rFonts w:ascii="Arial" w:eastAsia="Arial" w:hAnsi="Arial" w:cs="Arial"/>
          <w:b/>
          <w:bCs/>
        </w:rPr>
        <w:t>Nombre o Identificación de un Establecimiento regulado y habilitado ante la DINAVISA, deberá</w:t>
      </w:r>
      <w:r>
        <w:rPr>
          <w:rFonts w:ascii="Arial" w:eastAsia="Arial" w:hAnsi="Arial" w:cs="Arial"/>
        </w:rPr>
        <w:t xml:space="preserve"> contar con autorización previa de la autoridad, a dicho efecto el solicitante deberá acreditar el cumplimiento de los siguientes requisitos:</w:t>
      </w:r>
    </w:p>
    <w:p w:rsidR="0055106E" w:rsidRDefault="00B66986">
      <w:pPr>
        <w:numPr>
          <w:ilvl w:val="0"/>
          <w:numId w:val="3"/>
        </w:numPr>
        <w:spacing w:after="200" w:line="240" w:lineRule="auto"/>
        <w:ind w:left="1560" w:hanging="284"/>
        <w:jc w:val="both"/>
        <w:rPr>
          <w:rFonts w:ascii="Arial" w:eastAsia="Arial" w:hAnsi="Arial" w:cs="Arial"/>
        </w:rPr>
      </w:pPr>
      <w:bookmarkStart w:id="16" w:name="_heading=h.jezz1wg6ullx" w:colFirst="0" w:colLast="0"/>
      <w:bookmarkEnd w:id="16"/>
      <w:r>
        <w:rPr>
          <w:rFonts w:ascii="Arial" w:eastAsia="Arial" w:hAnsi="Arial" w:cs="Arial"/>
        </w:rPr>
        <w:t>2 FOR-DRVS-05 con sello y firma original, del regente y del propietario/representante legal.</w:t>
      </w:r>
    </w:p>
    <w:p w:rsidR="0055106E" w:rsidRDefault="00B66986">
      <w:pPr>
        <w:numPr>
          <w:ilvl w:val="0"/>
          <w:numId w:val="3"/>
        </w:numPr>
        <w:spacing w:after="200" w:line="240" w:lineRule="auto"/>
        <w:ind w:left="1560" w:hanging="284"/>
        <w:jc w:val="both"/>
        <w:rPr>
          <w:rFonts w:ascii="Arial" w:eastAsia="Arial" w:hAnsi="Arial" w:cs="Arial"/>
        </w:rPr>
      </w:pPr>
      <w:r>
        <w:rPr>
          <w:rFonts w:ascii="Arial" w:eastAsia="Arial" w:hAnsi="Arial" w:cs="Arial"/>
        </w:rPr>
        <w:t>Declarar Correo electrónico y admisión de notificación vía email dentro del trámite.</w:t>
      </w:r>
    </w:p>
    <w:p w:rsidR="0055106E" w:rsidRDefault="00B66986">
      <w:pPr>
        <w:numPr>
          <w:ilvl w:val="0"/>
          <w:numId w:val="3"/>
        </w:numPr>
        <w:spacing w:after="200" w:line="240" w:lineRule="auto"/>
        <w:ind w:left="1560" w:hanging="284"/>
        <w:jc w:val="both"/>
        <w:rPr>
          <w:rFonts w:ascii="Arial" w:eastAsia="Arial" w:hAnsi="Arial" w:cs="Arial"/>
        </w:rPr>
      </w:pPr>
      <w:bookmarkStart w:id="17" w:name="_heading=h.i673gxm0ldtz" w:colFirst="0" w:colLast="0"/>
      <w:bookmarkEnd w:id="17"/>
      <w:r>
        <w:rPr>
          <w:rFonts w:ascii="Arial" w:eastAsia="Arial" w:hAnsi="Arial" w:cs="Arial"/>
        </w:rPr>
        <w:t>1 copia autenticada de la CI del Regente.</w:t>
      </w:r>
    </w:p>
    <w:p w:rsidR="0055106E" w:rsidRDefault="00B66986">
      <w:pPr>
        <w:numPr>
          <w:ilvl w:val="0"/>
          <w:numId w:val="3"/>
        </w:numPr>
        <w:spacing w:after="200" w:line="240" w:lineRule="auto"/>
        <w:ind w:left="1560" w:hanging="284"/>
        <w:jc w:val="both"/>
        <w:rPr>
          <w:rFonts w:ascii="Arial" w:eastAsia="Arial" w:hAnsi="Arial" w:cs="Arial"/>
        </w:rPr>
      </w:pPr>
      <w:bookmarkStart w:id="18" w:name="_heading=h.i2i3buwup29x" w:colFirst="0" w:colLast="0"/>
      <w:bookmarkEnd w:id="18"/>
      <w:r>
        <w:rPr>
          <w:rFonts w:ascii="Arial" w:eastAsia="Arial" w:hAnsi="Arial" w:cs="Arial"/>
        </w:rPr>
        <w:t>1 copia autenticada de la CI del Propietario o Representante Legal,</w:t>
      </w:r>
    </w:p>
    <w:p w:rsidR="0055106E" w:rsidRDefault="00B66986">
      <w:pPr>
        <w:numPr>
          <w:ilvl w:val="0"/>
          <w:numId w:val="3"/>
        </w:numPr>
        <w:spacing w:after="200" w:line="240" w:lineRule="auto"/>
        <w:ind w:left="1560" w:hanging="284"/>
        <w:jc w:val="both"/>
        <w:rPr>
          <w:rFonts w:ascii="Arial" w:eastAsia="Arial" w:hAnsi="Arial" w:cs="Arial"/>
        </w:rPr>
      </w:pPr>
      <w:bookmarkStart w:id="19" w:name="_heading=h.p323br4ndnuh" w:colFirst="0" w:colLast="0"/>
      <w:bookmarkEnd w:id="19"/>
      <w:r>
        <w:rPr>
          <w:rFonts w:ascii="Arial" w:eastAsia="Arial" w:hAnsi="Arial" w:cs="Arial"/>
        </w:rPr>
        <w:t xml:space="preserve">1 copia autenticada de cédula tributaria o constancia de RUC </w:t>
      </w:r>
      <w:r>
        <w:rPr>
          <w:rFonts w:ascii="Arial" w:eastAsia="Arial" w:hAnsi="Arial" w:cs="Arial"/>
        </w:rPr>
        <w:t>del Propietario/Representante Legal del establecimiento.</w:t>
      </w:r>
    </w:p>
    <w:p w:rsidR="0055106E" w:rsidRDefault="00B66986">
      <w:pPr>
        <w:numPr>
          <w:ilvl w:val="0"/>
          <w:numId w:val="3"/>
        </w:numPr>
        <w:spacing w:after="200" w:line="240" w:lineRule="auto"/>
        <w:ind w:left="1560" w:hanging="284"/>
        <w:jc w:val="both"/>
        <w:rPr>
          <w:rFonts w:ascii="Arial" w:eastAsia="Arial" w:hAnsi="Arial" w:cs="Arial"/>
        </w:rPr>
      </w:pPr>
      <w:bookmarkStart w:id="20" w:name="_heading=h.ugarnn2js0mu" w:colFirst="0" w:colLast="0"/>
      <w:bookmarkEnd w:id="20"/>
      <w:r>
        <w:rPr>
          <w:rFonts w:ascii="Arial" w:eastAsia="Arial" w:hAnsi="Arial" w:cs="Arial"/>
        </w:rPr>
        <w:t>1 copia autenticada de la Autorización de Apertura o Renovación de Apertura del Establecimiento y de las modificaciones que haya habido posterior a la última habilitación en caso de establecimiento h</w:t>
      </w:r>
      <w:r>
        <w:rPr>
          <w:rFonts w:ascii="Arial" w:eastAsia="Arial" w:hAnsi="Arial" w:cs="Arial"/>
        </w:rPr>
        <w:t>abilitado.</w:t>
      </w:r>
    </w:p>
    <w:p w:rsidR="0055106E" w:rsidRDefault="00B66986">
      <w:pPr>
        <w:numPr>
          <w:ilvl w:val="0"/>
          <w:numId w:val="3"/>
        </w:numPr>
        <w:spacing w:after="200" w:line="240" w:lineRule="auto"/>
        <w:ind w:left="1560" w:hanging="284"/>
        <w:jc w:val="both"/>
        <w:rPr>
          <w:rFonts w:ascii="Arial" w:eastAsia="Arial" w:hAnsi="Arial" w:cs="Arial"/>
        </w:rPr>
      </w:pPr>
      <w:bookmarkStart w:id="21" w:name="_heading=h.xtpajynef3xq" w:colFirst="0" w:colLast="0"/>
      <w:bookmarkEnd w:id="21"/>
      <w:r>
        <w:rPr>
          <w:rFonts w:ascii="Arial" w:eastAsia="Arial" w:hAnsi="Arial" w:cs="Arial"/>
        </w:rPr>
        <w:t>1 copia autenticada del documento que acredita la representación legal invocada (según corresponda podrá presentarse: poder, estatuto social, comunicación del acta de directorio o asamblea de elección de autoridades)</w:t>
      </w:r>
    </w:p>
    <w:p w:rsidR="0055106E" w:rsidRDefault="00B66986">
      <w:pPr>
        <w:numPr>
          <w:ilvl w:val="0"/>
          <w:numId w:val="3"/>
        </w:numPr>
        <w:spacing w:after="200" w:line="240" w:lineRule="auto"/>
        <w:ind w:left="1560" w:hanging="284"/>
        <w:jc w:val="both"/>
        <w:rPr>
          <w:rFonts w:ascii="Arial" w:eastAsia="Arial" w:hAnsi="Arial" w:cs="Arial"/>
        </w:rPr>
      </w:pPr>
      <w:bookmarkStart w:id="22" w:name="_heading=h.7wmicqya94hw" w:colFirst="0" w:colLast="0"/>
      <w:bookmarkEnd w:id="22"/>
      <w:r>
        <w:rPr>
          <w:rFonts w:ascii="Arial" w:eastAsia="Arial" w:hAnsi="Arial" w:cs="Arial"/>
        </w:rPr>
        <w:t>1 copia autenticada del Acta</w:t>
      </w:r>
      <w:r>
        <w:rPr>
          <w:rFonts w:ascii="Arial" w:eastAsia="Arial" w:hAnsi="Arial" w:cs="Arial"/>
        </w:rPr>
        <w:t xml:space="preserve"> de directorio o análogos en el que deciden el cambio solicitado, solo para personas jurídicas.</w:t>
      </w:r>
    </w:p>
    <w:p w:rsidR="0055106E" w:rsidRDefault="00B66986">
      <w:pPr>
        <w:numPr>
          <w:ilvl w:val="0"/>
          <w:numId w:val="3"/>
        </w:numPr>
        <w:spacing w:after="200" w:line="240" w:lineRule="auto"/>
        <w:ind w:left="1560" w:hanging="284"/>
        <w:jc w:val="both"/>
        <w:rPr>
          <w:rFonts w:ascii="Arial" w:eastAsia="Arial" w:hAnsi="Arial" w:cs="Arial"/>
        </w:rPr>
      </w:pPr>
      <w:bookmarkStart w:id="23" w:name="_heading=h.3y52tkv246ko" w:colFirst="0" w:colLast="0"/>
      <w:bookmarkEnd w:id="23"/>
      <w:r>
        <w:rPr>
          <w:rFonts w:ascii="Arial" w:eastAsia="Arial" w:hAnsi="Arial" w:cs="Arial"/>
        </w:rPr>
        <w:lastRenderedPageBreak/>
        <w:t>1 copia del comprobante de ingreso por el pago de arancel correspondiente.</w:t>
      </w:r>
    </w:p>
    <w:p w:rsidR="0055106E" w:rsidRDefault="00B66986">
      <w:pPr>
        <w:spacing w:line="240" w:lineRule="auto"/>
        <w:ind w:left="1417" w:hanging="1417"/>
        <w:jc w:val="both"/>
        <w:rPr>
          <w:rFonts w:ascii="Arial" w:eastAsia="Arial" w:hAnsi="Arial" w:cs="Arial"/>
        </w:rPr>
      </w:pPr>
      <w:bookmarkStart w:id="24" w:name="_heading=h.93mx7bxe9clj" w:colFirst="0" w:colLast="0"/>
      <w:bookmarkEnd w:id="24"/>
      <w:r>
        <w:rPr>
          <w:rFonts w:ascii="Arial" w:eastAsia="Arial" w:hAnsi="Arial" w:cs="Arial"/>
          <w:b/>
          <w:bCs/>
        </w:rPr>
        <w:t>Artículo 4</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b/>
          <w:bCs/>
        </w:rPr>
        <w:t xml:space="preserve"> </w:t>
      </w:r>
      <w:r>
        <w:rPr>
          <w:rFonts w:ascii="Arial" w:eastAsia="Arial" w:hAnsi="Arial" w:cs="Arial"/>
          <w:b/>
          <w:bCs/>
        </w:rPr>
        <w:tab/>
      </w:r>
      <w:r>
        <w:rPr>
          <w:rFonts w:ascii="Arial" w:eastAsia="Arial" w:hAnsi="Arial" w:cs="Arial"/>
        </w:rPr>
        <w:t xml:space="preserve">Disponer que el </w:t>
      </w:r>
      <w:r>
        <w:rPr>
          <w:rFonts w:ascii="Arial" w:eastAsia="Arial" w:hAnsi="Arial" w:cs="Arial"/>
          <w:b/>
          <w:bCs/>
        </w:rPr>
        <w:t>Cambio de Razón Social</w:t>
      </w:r>
      <w:r>
        <w:rPr>
          <w:rFonts w:ascii="Arial" w:eastAsia="Arial" w:hAnsi="Arial" w:cs="Arial"/>
        </w:rPr>
        <w:t xml:space="preserve"> de un establecimiento regulado </w:t>
      </w:r>
      <w:r>
        <w:rPr>
          <w:rFonts w:ascii="Arial" w:eastAsia="Arial" w:hAnsi="Arial" w:cs="Arial"/>
        </w:rPr>
        <w:t>y habilitado ante la DINAVISA, deberá contar con autorización previa de la autoridad, a dicho efecto el solicitante deberá acreditar el cumplimiento de los siguientes requisitos:</w:t>
      </w:r>
    </w:p>
    <w:p w:rsidR="0055106E" w:rsidRDefault="00B66986">
      <w:pPr>
        <w:numPr>
          <w:ilvl w:val="0"/>
          <w:numId w:val="2"/>
        </w:numPr>
        <w:spacing w:after="200" w:line="240" w:lineRule="auto"/>
        <w:ind w:left="1560" w:hanging="284"/>
        <w:jc w:val="both"/>
        <w:rPr>
          <w:rFonts w:ascii="Arial" w:eastAsia="Arial" w:hAnsi="Arial" w:cs="Arial"/>
        </w:rPr>
      </w:pPr>
      <w:bookmarkStart w:id="25" w:name="_heading=h.yjytniejdj41" w:colFirst="0" w:colLast="0"/>
      <w:bookmarkEnd w:id="25"/>
      <w:r>
        <w:rPr>
          <w:rFonts w:ascii="Arial" w:eastAsia="Arial" w:hAnsi="Arial" w:cs="Arial"/>
        </w:rPr>
        <w:t>2 FOR-DRVS-05 con sello y firma original, del Regente y del Propietario/Repre</w:t>
      </w:r>
      <w:r>
        <w:rPr>
          <w:rFonts w:ascii="Arial" w:eastAsia="Arial" w:hAnsi="Arial" w:cs="Arial"/>
        </w:rPr>
        <w:t>sentante Legal.</w:t>
      </w:r>
    </w:p>
    <w:p w:rsidR="0055106E" w:rsidRDefault="00B66986">
      <w:pPr>
        <w:numPr>
          <w:ilvl w:val="0"/>
          <w:numId w:val="2"/>
        </w:numPr>
        <w:spacing w:after="200" w:line="240" w:lineRule="auto"/>
        <w:ind w:left="1560" w:hanging="284"/>
        <w:jc w:val="both"/>
        <w:rPr>
          <w:rFonts w:ascii="Arial" w:eastAsia="Arial" w:hAnsi="Arial" w:cs="Arial"/>
        </w:rPr>
      </w:pPr>
      <w:r>
        <w:rPr>
          <w:rFonts w:ascii="Arial" w:eastAsia="Arial" w:hAnsi="Arial" w:cs="Arial"/>
        </w:rPr>
        <w:t>Declarar Correo electrónico y admisión de notificación vía email dentro del trámite.</w:t>
      </w:r>
    </w:p>
    <w:p w:rsidR="0055106E" w:rsidRDefault="00B66986">
      <w:pPr>
        <w:numPr>
          <w:ilvl w:val="0"/>
          <w:numId w:val="2"/>
        </w:numPr>
        <w:spacing w:after="200" w:line="240" w:lineRule="auto"/>
        <w:ind w:left="1560" w:hanging="284"/>
        <w:jc w:val="both"/>
        <w:rPr>
          <w:rFonts w:ascii="Arial" w:eastAsia="Arial" w:hAnsi="Arial" w:cs="Arial"/>
        </w:rPr>
      </w:pPr>
      <w:bookmarkStart w:id="26" w:name="_heading=h.kjd22k6eplmy" w:colFirst="0" w:colLast="0"/>
      <w:bookmarkEnd w:id="26"/>
      <w:r>
        <w:rPr>
          <w:rFonts w:ascii="Arial" w:eastAsia="Arial" w:hAnsi="Arial" w:cs="Arial"/>
        </w:rPr>
        <w:t>1 copia autenticada de la CI del Regente.</w:t>
      </w:r>
    </w:p>
    <w:p w:rsidR="0055106E" w:rsidRDefault="00B66986">
      <w:pPr>
        <w:numPr>
          <w:ilvl w:val="0"/>
          <w:numId w:val="2"/>
        </w:numPr>
        <w:spacing w:after="200" w:line="240" w:lineRule="auto"/>
        <w:ind w:left="1560" w:hanging="284"/>
        <w:jc w:val="both"/>
        <w:rPr>
          <w:rFonts w:ascii="Arial" w:eastAsia="Arial" w:hAnsi="Arial" w:cs="Arial"/>
        </w:rPr>
      </w:pPr>
      <w:bookmarkStart w:id="27" w:name="_heading=h.ihkhqjxs3aje" w:colFirst="0" w:colLast="0"/>
      <w:bookmarkEnd w:id="27"/>
      <w:r>
        <w:rPr>
          <w:rFonts w:ascii="Arial" w:eastAsia="Arial" w:hAnsi="Arial" w:cs="Arial"/>
        </w:rPr>
        <w:t>1 copia autenticada de la CI del Propietario o Representante Legal.</w:t>
      </w:r>
    </w:p>
    <w:p w:rsidR="0055106E" w:rsidRDefault="00B66986">
      <w:pPr>
        <w:numPr>
          <w:ilvl w:val="0"/>
          <w:numId w:val="2"/>
        </w:numPr>
        <w:spacing w:after="200" w:line="240" w:lineRule="auto"/>
        <w:ind w:left="1560" w:hanging="284"/>
        <w:jc w:val="both"/>
        <w:rPr>
          <w:rFonts w:ascii="Arial" w:eastAsia="Arial" w:hAnsi="Arial" w:cs="Arial"/>
        </w:rPr>
      </w:pPr>
      <w:bookmarkStart w:id="28" w:name="_heading=h.ibrrrcrcdm02" w:colFirst="0" w:colLast="0"/>
      <w:bookmarkEnd w:id="28"/>
      <w:r>
        <w:rPr>
          <w:rFonts w:ascii="Arial" w:eastAsia="Arial" w:hAnsi="Arial" w:cs="Arial"/>
        </w:rPr>
        <w:t>1 copia autenticada de cédula tributaria o co</w:t>
      </w:r>
      <w:r>
        <w:rPr>
          <w:rFonts w:ascii="Arial" w:eastAsia="Arial" w:hAnsi="Arial" w:cs="Arial"/>
        </w:rPr>
        <w:t>nstancia de RUC del Propietario/Representante Legal del establecimiento de la empresa o Propietario.</w:t>
      </w:r>
    </w:p>
    <w:p w:rsidR="0055106E" w:rsidRDefault="00B66986">
      <w:pPr>
        <w:numPr>
          <w:ilvl w:val="0"/>
          <w:numId w:val="2"/>
        </w:numPr>
        <w:spacing w:after="200" w:line="240" w:lineRule="auto"/>
        <w:ind w:left="1560" w:hanging="284"/>
        <w:jc w:val="both"/>
        <w:rPr>
          <w:rFonts w:ascii="Arial" w:eastAsia="Arial" w:hAnsi="Arial" w:cs="Arial"/>
        </w:rPr>
      </w:pPr>
      <w:bookmarkStart w:id="29" w:name="_heading=h.xol61g7ws9xm" w:colFirst="0" w:colLast="0"/>
      <w:bookmarkEnd w:id="29"/>
      <w:r>
        <w:rPr>
          <w:rFonts w:ascii="Arial" w:eastAsia="Arial" w:hAnsi="Arial" w:cs="Arial"/>
        </w:rPr>
        <w:t>1 copia autenticada de la autorización de Apertura o Renovación de Apertura del Establecimiento y de las modificaciones que haya habido posterior a la últi</w:t>
      </w:r>
      <w:r>
        <w:rPr>
          <w:rFonts w:ascii="Arial" w:eastAsia="Arial" w:hAnsi="Arial" w:cs="Arial"/>
        </w:rPr>
        <w:t>ma habilitación en caso de establecimiento habilitado.</w:t>
      </w:r>
    </w:p>
    <w:p w:rsidR="0055106E" w:rsidRDefault="00B66986">
      <w:pPr>
        <w:numPr>
          <w:ilvl w:val="0"/>
          <w:numId w:val="2"/>
        </w:numPr>
        <w:spacing w:after="200" w:line="240" w:lineRule="auto"/>
        <w:ind w:left="1560" w:hanging="284"/>
        <w:jc w:val="both"/>
        <w:rPr>
          <w:rFonts w:ascii="Arial" w:eastAsia="Arial" w:hAnsi="Arial" w:cs="Arial"/>
        </w:rPr>
      </w:pPr>
      <w:bookmarkStart w:id="30" w:name="_heading=h.fbdccy2c8e1d" w:colFirst="0" w:colLast="0"/>
      <w:bookmarkEnd w:id="30"/>
      <w:r>
        <w:rPr>
          <w:rFonts w:ascii="Arial" w:eastAsia="Arial" w:hAnsi="Arial" w:cs="Arial"/>
        </w:rPr>
        <w:t xml:space="preserve">1 copia autenticada del documento que acredita la representación legal invocada (según corresponda podrá presentarse: poder, estatuto social, comunicación del acta de directorio o asamblea de elección </w:t>
      </w:r>
      <w:r>
        <w:rPr>
          <w:rFonts w:ascii="Arial" w:eastAsia="Arial" w:hAnsi="Arial" w:cs="Arial"/>
        </w:rPr>
        <w:t>de autoridades).</w:t>
      </w:r>
    </w:p>
    <w:p w:rsidR="0055106E" w:rsidRDefault="00B66986">
      <w:pPr>
        <w:numPr>
          <w:ilvl w:val="0"/>
          <w:numId w:val="2"/>
        </w:numPr>
        <w:spacing w:after="200" w:line="240" w:lineRule="auto"/>
        <w:ind w:left="1560" w:hanging="284"/>
        <w:jc w:val="both"/>
        <w:rPr>
          <w:rFonts w:ascii="Arial" w:eastAsia="Arial" w:hAnsi="Arial" w:cs="Arial"/>
        </w:rPr>
      </w:pPr>
      <w:bookmarkStart w:id="31" w:name="_heading=h.msvilzv2r71u" w:colFirst="0" w:colLast="0"/>
      <w:bookmarkEnd w:id="31"/>
      <w:r>
        <w:rPr>
          <w:rFonts w:ascii="Arial" w:eastAsia="Arial" w:hAnsi="Arial" w:cs="Arial"/>
        </w:rPr>
        <w:t>1 copia autenticada del Acta de directorio o análogos en el que deciden el cambio solicitado, solo para personas jurídicas.</w:t>
      </w:r>
    </w:p>
    <w:p w:rsidR="0055106E" w:rsidRDefault="00B66986">
      <w:pPr>
        <w:numPr>
          <w:ilvl w:val="0"/>
          <w:numId w:val="2"/>
        </w:numPr>
        <w:spacing w:after="200" w:line="240" w:lineRule="auto"/>
        <w:ind w:left="1560" w:hanging="284"/>
        <w:jc w:val="both"/>
        <w:rPr>
          <w:rFonts w:ascii="Arial" w:eastAsia="Arial" w:hAnsi="Arial" w:cs="Arial"/>
        </w:rPr>
      </w:pPr>
      <w:bookmarkStart w:id="32" w:name="_heading=h.yvb8r2vxek9x" w:colFirst="0" w:colLast="0"/>
      <w:bookmarkEnd w:id="32"/>
      <w:r>
        <w:rPr>
          <w:rFonts w:ascii="Arial" w:eastAsia="Arial" w:hAnsi="Arial" w:cs="Arial"/>
        </w:rPr>
        <w:t xml:space="preserve">1 copia autenticada del documento que acredita el cambio de la razón social: modificación de estatutos sociales en </w:t>
      </w:r>
      <w:r>
        <w:rPr>
          <w:rFonts w:ascii="Arial" w:eastAsia="Arial" w:hAnsi="Arial" w:cs="Arial"/>
        </w:rPr>
        <w:t>el caso de las personas jurídicas donde se dispone el cambio solicitado, y en el caso de personas físicas la sentencia judicial que autorice el cambio de nombre.</w:t>
      </w:r>
    </w:p>
    <w:p w:rsidR="0055106E" w:rsidRDefault="00B66986">
      <w:pPr>
        <w:numPr>
          <w:ilvl w:val="0"/>
          <w:numId w:val="2"/>
        </w:numPr>
        <w:spacing w:after="200" w:line="240" w:lineRule="auto"/>
        <w:ind w:left="1560" w:hanging="284"/>
        <w:jc w:val="both"/>
        <w:rPr>
          <w:rFonts w:ascii="Arial" w:eastAsia="Arial" w:hAnsi="Arial" w:cs="Arial"/>
        </w:rPr>
      </w:pPr>
      <w:bookmarkStart w:id="33" w:name="_heading=h.kowvsrf6nevq" w:colFirst="0" w:colLast="0"/>
      <w:bookmarkEnd w:id="33"/>
      <w:r>
        <w:rPr>
          <w:rFonts w:ascii="Arial" w:eastAsia="Arial" w:hAnsi="Arial" w:cs="Arial"/>
        </w:rPr>
        <w:t>1 copia del comprobante de ingreso por el pago de arancel correspondiente.</w:t>
      </w:r>
    </w:p>
    <w:p w:rsidR="0055106E" w:rsidRDefault="00B66986">
      <w:pPr>
        <w:spacing w:line="240" w:lineRule="auto"/>
        <w:ind w:left="1417" w:hanging="1417"/>
        <w:jc w:val="both"/>
        <w:rPr>
          <w:rFonts w:ascii="Arial" w:eastAsia="Arial" w:hAnsi="Arial" w:cs="Arial"/>
        </w:rPr>
      </w:pPr>
      <w:r>
        <w:rPr>
          <w:rFonts w:ascii="Arial" w:eastAsia="Arial" w:hAnsi="Arial" w:cs="Arial"/>
          <w:b/>
          <w:bCs/>
        </w:rPr>
        <w:t>Artículo 5</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rPr>
        <w:tab/>
        <w:t>Dispo</w:t>
      </w:r>
      <w:r>
        <w:rPr>
          <w:rFonts w:ascii="Arial" w:eastAsia="Arial" w:hAnsi="Arial" w:cs="Arial"/>
        </w:rPr>
        <w:t xml:space="preserve">ner que la </w:t>
      </w:r>
      <w:r>
        <w:rPr>
          <w:rFonts w:ascii="Arial" w:eastAsia="Arial" w:hAnsi="Arial" w:cs="Arial"/>
          <w:b/>
          <w:bCs/>
        </w:rPr>
        <w:t>Transferencia de Registro de Establecimiento</w:t>
      </w:r>
      <w:r>
        <w:rPr>
          <w:rFonts w:ascii="Arial" w:eastAsia="Arial" w:hAnsi="Arial" w:cs="Arial"/>
        </w:rPr>
        <w:t xml:space="preserve"> de un establecimiento regulado y habilitado ante la DINAVISA, deberá contar con autorización previa de la autoridad, a dicho efecto el solicitante deberá acreditar el cumplimiento de los siguientes re</w:t>
      </w:r>
      <w:r>
        <w:rPr>
          <w:rFonts w:ascii="Arial" w:eastAsia="Arial" w:hAnsi="Arial" w:cs="Arial"/>
        </w:rPr>
        <w:t>quisitos:</w:t>
      </w:r>
    </w:p>
    <w:p w:rsidR="0055106E" w:rsidRDefault="00B66986">
      <w:pPr>
        <w:numPr>
          <w:ilvl w:val="0"/>
          <w:numId w:val="4"/>
        </w:numPr>
        <w:spacing w:after="200" w:line="240" w:lineRule="auto"/>
        <w:ind w:hanging="283"/>
        <w:jc w:val="both"/>
        <w:rPr>
          <w:rFonts w:ascii="Arial" w:eastAsia="Arial" w:hAnsi="Arial" w:cs="Arial"/>
        </w:rPr>
      </w:pPr>
      <w:bookmarkStart w:id="34" w:name="_heading=h.ql7gqnbzwsrj" w:colFirst="0" w:colLast="0"/>
      <w:bookmarkEnd w:id="34"/>
      <w:r>
        <w:rPr>
          <w:rFonts w:ascii="Arial" w:eastAsia="Arial" w:hAnsi="Arial" w:cs="Arial"/>
        </w:rPr>
        <w:lastRenderedPageBreak/>
        <w:t>2 FOR-DRVS-05 con sello y firma original, del Regente y del Propietario/Representante Legal.</w:t>
      </w:r>
    </w:p>
    <w:p w:rsidR="0055106E" w:rsidRDefault="00B66986">
      <w:pPr>
        <w:numPr>
          <w:ilvl w:val="0"/>
          <w:numId w:val="4"/>
        </w:numPr>
        <w:spacing w:after="200" w:line="240" w:lineRule="auto"/>
        <w:ind w:hanging="283"/>
        <w:jc w:val="both"/>
        <w:rPr>
          <w:rFonts w:ascii="Arial" w:eastAsia="Arial" w:hAnsi="Arial" w:cs="Arial"/>
        </w:rPr>
      </w:pPr>
      <w:bookmarkStart w:id="35" w:name="_heading=h.gvha53xb6rid" w:colFirst="0" w:colLast="0"/>
      <w:bookmarkEnd w:id="35"/>
      <w:r>
        <w:rPr>
          <w:rFonts w:ascii="Arial" w:eastAsia="Arial" w:hAnsi="Arial" w:cs="Arial"/>
        </w:rPr>
        <w:t>Declarar Correo electrónico y admisión de notificación vía email dentro del trámite.</w:t>
      </w:r>
    </w:p>
    <w:p w:rsidR="0055106E" w:rsidRDefault="00B66986">
      <w:pPr>
        <w:numPr>
          <w:ilvl w:val="0"/>
          <w:numId w:val="4"/>
        </w:numPr>
        <w:spacing w:after="200" w:line="240" w:lineRule="auto"/>
        <w:ind w:hanging="283"/>
        <w:jc w:val="both"/>
        <w:rPr>
          <w:rFonts w:ascii="Arial" w:eastAsia="Arial" w:hAnsi="Arial" w:cs="Arial"/>
        </w:rPr>
      </w:pPr>
      <w:bookmarkStart w:id="36" w:name="_heading=h.v5dtbbk2cqn8" w:colFirst="0" w:colLast="0"/>
      <w:bookmarkEnd w:id="36"/>
      <w:r>
        <w:rPr>
          <w:rFonts w:ascii="Arial" w:eastAsia="Arial" w:hAnsi="Arial" w:cs="Arial"/>
        </w:rPr>
        <w:t>1 copia autenticada de la CI del Regente, de ambas partes.</w:t>
      </w:r>
    </w:p>
    <w:p w:rsidR="0055106E" w:rsidRDefault="00B66986">
      <w:pPr>
        <w:numPr>
          <w:ilvl w:val="0"/>
          <w:numId w:val="4"/>
        </w:numPr>
        <w:spacing w:after="200" w:line="240" w:lineRule="auto"/>
        <w:ind w:hanging="283"/>
        <w:jc w:val="both"/>
        <w:rPr>
          <w:rFonts w:ascii="Arial" w:eastAsia="Arial" w:hAnsi="Arial" w:cs="Arial"/>
        </w:rPr>
      </w:pPr>
      <w:bookmarkStart w:id="37" w:name="_heading=h.lb5fscwlui0t" w:colFirst="0" w:colLast="0"/>
      <w:bookmarkEnd w:id="37"/>
      <w:r>
        <w:rPr>
          <w:rFonts w:ascii="Arial" w:eastAsia="Arial" w:hAnsi="Arial" w:cs="Arial"/>
        </w:rPr>
        <w:t>1 copia autenticada de la CI del Propietario o Representante Legal, de ambas partes.</w:t>
      </w:r>
    </w:p>
    <w:p w:rsidR="0055106E" w:rsidRDefault="00B66986">
      <w:pPr>
        <w:numPr>
          <w:ilvl w:val="0"/>
          <w:numId w:val="4"/>
        </w:numPr>
        <w:spacing w:after="200" w:line="240" w:lineRule="auto"/>
        <w:ind w:hanging="283"/>
        <w:jc w:val="both"/>
        <w:rPr>
          <w:rFonts w:ascii="Arial" w:eastAsia="Arial" w:hAnsi="Arial" w:cs="Arial"/>
        </w:rPr>
      </w:pPr>
      <w:bookmarkStart w:id="38" w:name="_heading=h.qfbvk0m364hf" w:colFirst="0" w:colLast="0"/>
      <w:bookmarkEnd w:id="38"/>
      <w:r>
        <w:rPr>
          <w:rFonts w:ascii="Arial" w:eastAsia="Arial" w:hAnsi="Arial" w:cs="Arial"/>
        </w:rPr>
        <w:t>1 copia autenticada de cédula tributaria o constancia de RUC del Propietario/Representante Legal del establecimiento de la empresa o Propietario, de ambas partes.</w:t>
      </w:r>
    </w:p>
    <w:p w:rsidR="0055106E" w:rsidRDefault="00B66986">
      <w:pPr>
        <w:numPr>
          <w:ilvl w:val="0"/>
          <w:numId w:val="4"/>
        </w:numPr>
        <w:spacing w:after="200" w:line="240" w:lineRule="auto"/>
        <w:ind w:hanging="283"/>
        <w:jc w:val="both"/>
        <w:rPr>
          <w:rFonts w:ascii="Arial" w:eastAsia="Arial" w:hAnsi="Arial" w:cs="Arial"/>
        </w:rPr>
      </w:pPr>
      <w:bookmarkStart w:id="39" w:name="_heading=h.gdimsd9uuwap" w:colFirst="0" w:colLast="0"/>
      <w:bookmarkEnd w:id="39"/>
      <w:r>
        <w:rPr>
          <w:rFonts w:ascii="Arial" w:eastAsia="Arial" w:hAnsi="Arial" w:cs="Arial"/>
        </w:rPr>
        <w:t xml:space="preserve">1 copia </w:t>
      </w:r>
      <w:r>
        <w:rPr>
          <w:rFonts w:ascii="Arial" w:eastAsia="Arial" w:hAnsi="Arial" w:cs="Arial"/>
        </w:rPr>
        <w:t>autenticada de la Autorización de Apertura o Renovación de Apertura del Establecimiento y de las modificaciones que haya habido posterior a la última habilitación, de ambas partes según corresponda.</w:t>
      </w:r>
    </w:p>
    <w:p w:rsidR="0055106E" w:rsidRDefault="00B66986">
      <w:pPr>
        <w:numPr>
          <w:ilvl w:val="0"/>
          <w:numId w:val="4"/>
        </w:numPr>
        <w:spacing w:after="200" w:line="240" w:lineRule="auto"/>
        <w:ind w:hanging="283"/>
        <w:jc w:val="both"/>
        <w:rPr>
          <w:rFonts w:ascii="Arial" w:eastAsia="Arial" w:hAnsi="Arial" w:cs="Arial"/>
        </w:rPr>
      </w:pPr>
      <w:bookmarkStart w:id="40" w:name="_heading=h.gpd76rwaxl06" w:colFirst="0" w:colLast="0"/>
      <w:bookmarkEnd w:id="40"/>
      <w:r>
        <w:rPr>
          <w:rFonts w:ascii="Arial" w:eastAsia="Arial" w:hAnsi="Arial" w:cs="Arial"/>
        </w:rPr>
        <w:t xml:space="preserve"> 1 copia autenticada del documento que acredita la repres</w:t>
      </w:r>
      <w:r>
        <w:rPr>
          <w:rFonts w:ascii="Arial" w:eastAsia="Arial" w:hAnsi="Arial" w:cs="Arial"/>
        </w:rPr>
        <w:t>entación legal invocada (según corresponda podrá presentarse: poder, estatuto social, comunicación del acta de directorio o asamblea de elección de autoridades) de ambas partes.</w:t>
      </w:r>
    </w:p>
    <w:p w:rsidR="0055106E" w:rsidRDefault="00B66986">
      <w:pPr>
        <w:numPr>
          <w:ilvl w:val="0"/>
          <w:numId w:val="4"/>
        </w:numPr>
        <w:spacing w:after="200" w:line="240" w:lineRule="auto"/>
        <w:ind w:hanging="283"/>
        <w:jc w:val="both"/>
        <w:rPr>
          <w:rFonts w:ascii="Arial" w:eastAsia="Arial" w:hAnsi="Arial" w:cs="Arial"/>
        </w:rPr>
      </w:pPr>
      <w:bookmarkStart w:id="41" w:name="_heading=h.7f2rg2340jxc" w:colFirst="0" w:colLast="0"/>
      <w:bookmarkEnd w:id="41"/>
      <w:r>
        <w:rPr>
          <w:rFonts w:ascii="Arial" w:eastAsia="Arial" w:hAnsi="Arial" w:cs="Arial"/>
        </w:rPr>
        <w:t xml:space="preserve"> 1 copia autenticada de la constitución de sociedad/estatutos sociales en caso</w:t>
      </w:r>
      <w:r>
        <w:rPr>
          <w:rFonts w:ascii="Arial" w:eastAsia="Arial" w:hAnsi="Arial" w:cs="Arial"/>
        </w:rPr>
        <w:t xml:space="preserve"> de personas jurídicas, de ambas partes según corresponda. </w:t>
      </w:r>
    </w:p>
    <w:p w:rsidR="0055106E" w:rsidRDefault="00B66986">
      <w:pPr>
        <w:numPr>
          <w:ilvl w:val="0"/>
          <w:numId w:val="4"/>
        </w:numPr>
        <w:spacing w:after="200" w:line="240" w:lineRule="auto"/>
        <w:ind w:hanging="283"/>
        <w:jc w:val="both"/>
        <w:rPr>
          <w:rFonts w:ascii="Arial" w:eastAsia="Arial" w:hAnsi="Arial" w:cs="Arial"/>
        </w:rPr>
      </w:pPr>
      <w:bookmarkStart w:id="42" w:name="_heading=h.nibb0m6dmx98" w:colFirst="0" w:colLast="0"/>
      <w:bookmarkEnd w:id="42"/>
      <w:r>
        <w:rPr>
          <w:rFonts w:ascii="Arial" w:eastAsia="Arial" w:hAnsi="Arial" w:cs="Arial"/>
        </w:rPr>
        <w:t>1 copia autenticada del documento de transferencia por escritura pública o en su defecto por contrato privado protocolizado por escribanía, con su respectiva hoja de seguridad.</w:t>
      </w:r>
    </w:p>
    <w:p w:rsidR="0055106E" w:rsidRDefault="00B66986">
      <w:pPr>
        <w:numPr>
          <w:ilvl w:val="0"/>
          <w:numId w:val="4"/>
        </w:numPr>
        <w:spacing w:after="200" w:line="240" w:lineRule="auto"/>
        <w:ind w:hanging="283"/>
        <w:jc w:val="both"/>
        <w:rPr>
          <w:rFonts w:ascii="Arial" w:eastAsia="Arial" w:hAnsi="Arial" w:cs="Arial"/>
        </w:rPr>
      </w:pPr>
      <w:bookmarkStart w:id="43" w:name="_heading=h.unfcl12mgfjl" w:colFirst="0" w:colLast="0"/>
      <w:bookmarkEnd w:id="43"/>
      <w:r>
        <w:rPr>
          <w:rFonts w:ascii="Arial" w:eastAsia="Arial" w:hAnsi="Arial" w:cs="Arial"/>
        </w:rPr>
        <w:t>1 copia del comprob</w:t>
      </w:r>
      <w:r>
        <w:rPr>
          <w:rFonts w:ascii="Arial" w:eastAsia="Arial" w:hAnsi="Arial" w:cs="Arial"/>
        </w:rPr>
        <w:t>ante de ingreso por el pago de arancel correspondiente.</w:t>
      </w:r>
    </w:p>
    <w:p w:rsidR="0055106E" w:rsidRDefault="00B66986">
      <w:pPr>
        <w:spacing w:line="240" w:lineRule="auto"/>
        <w:ind w:left="1417" w:hanging="1417"/>
        <w:jc w:val="both"/>
        <w:rPr>
          <w:rFonts w:ascii="Arial" w:eastAsia="Arial" w:hAnsi="Arial" w:cs="Arial"/>
        </w:rPr>
      </w:pPr>
      <w:r>
        <w:rPr>
          <w:rFonts w:ascii="Arial" w:eastAsia="Arial" w:hAnsi="Arial" w:cs="Arial"/>
          <w:b/>
          <w:bCs/>
        </w:rPr>
        <w:t>Artículo 6</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rPr>
        <w:t xml:space="preserve"> Establecer el procedimiento para los trámites de cambio de nombre o identificación de establecimiento, transferencia de Registro de Establecimiento (RE) y cambio de razón social:</w:t>
      </w:r>
    </w:p>
    <w:p w:rsidR="0055106E" w:rsidRDefault="00B66986">
      <w:pPr>
        <w:numPr>
          <w:ilvl w:val="0"/>
          <w:numId w:val="1"/>
        </w:numPr>
        <w:spacing w:line="240" w:lineRule="auto"/>
        <w:ind w:hanging="22"/>
        <w:jc w:val="both"/>
        <w:rPr>
          <w:rFonts w:ascii="Arial" w:eastAsia="Arial" w:hAnsi="Arial" w:cs="Arial"/>
        </w:rPr>
      </w:pPr>
      <w:r>
        <w:rPr>
          <w:rFonts w:ascii="Arial" w:eastAsia="Arial" w:hAnsi="Arial" w:cs="Arial"/>
        </w:rPr>
        <w:t>Present</w:t>
      </w:r>
      <w:r>
        <w:rPr>
          <w:rFonts w:ascii="Arial" w:eastAsia="Arial" w:hAnsi="Arial" w:cs="Arial"/>
        </w:rPr>
        <w:t xml:space="preserve">ación de la solicitud:  </w:t>
      </w:r>
    </w:p>
    <w:p w:rsidR="0055106E" w:rsidRDefault="00B66986">
      <w:pPr>
        <w:spacing w:line="240" w:lineRule="auto"/>
        <w:ind w:left="1417"/>
        <w:jc w:val="both"/>
        <w:rPr>
          <w:rFonts w:ascii="Arial" w:eastAsia="Arial" w:hAnsi="Arial" w:cs="Arial"/>
        </w:rPr>
      </w:pPr>
      <w:r>
        <w:rPr>
          <w:rFonts w:ascii="Arial" w:eastAsia="Arial" w:hAnsi="Arial" w:cs="Arial"/>
        </w:rPr>
        <w:t>Las solicitudes deberán presentarse mediante el formulario oficial FOR-DRVS-05, debidamente completado y firmado en original por el regente y el propietario o representante legal del establecimiento. La presentación deberá acompaña</w:t>
      </w:r>
      <w:r>
        <w:rPr>
          <w:rFonts w:ascii="Arial" w:eastAsia="Arial" w:hAnsi="Arial" w:cs="Arial"/>
        </w:rPr>
        <w:t>rse de la documentación que acredite el cumplimiento de los requisitos específicos de cada trámite, junto con el comprobante de pago de los aranceles correspondientes.</w:t>
      </w:r>
    </w:p>
    <w:p w:rsidR="0055106E" w:rsidRDefault="00B66986">
      <w:pPr>
        <w:spacing w:line="240" w:lineRule="auto"/>
        <w:ind w:left="1417"/>
        <w:jc w:val="both"/>
        <w:rPr>
          <w:rFonts w:ascii="Arial" w:eastAsia="Arial" w:hAnsi="Arial" w:cs="Arial"/>
        </w:rPr>
      </w:pPr>
      <w:r>
        <w:rPr>
          <w:rFonts w:ascii="Arial" w:eastAsia="Arial" w:hAnsi="Arial" w:cs="Arial"/>
        </w:rPr>
        <w:lastRenderedPageBreak/>
        <w:t>La solicitud se ingresará ante el Departamento Regional de Vigilancia Sanitaria de la ju</w:t>
      </w:r>
      <w:r>
        <w:rPr>
          <w:rFonts w:ascii="Arial" w:eastAsia="Arial" w:hAnsi="Arial" w:cs="Arial"/>
        </w:rPr>
        <w:t>risdicción territorial donde se encuentre el establecimiento.</w:t>
      </w:r>
    </w:p>
    <w:p w:rsidR="0055106E" w:rsidRDefault="00B66986">
      <w:pPr>
        <w:numPr>
          <w:ilvl w:val="0"/>
          <w:numId w:val="1"/>
        </w:numPr>
        <w:spacing w:line="240" w:lineRule="auto"/>
        <w:ind w:hanging="22"/>
        <w:jc w:val="both"/>
        <w:rPr>
          <w:rFonts w:ascii="Arial" w:eastAsia="Arial" w:hAnsi="Arial" w:cs="Arial"/>
        </w:rPr>
      </w:pPr>
      <w:r>
        <w:rPr>
          <w:rFonts w:ascii="Arial" w:eastAsia="Arial" w:hAnsi="Arial" w:cs="Arial"/>
        </w:rPr>
        <w:t xml:space="preserve">Revisión inicial:  </w:t>
      </w:r>
    </w:p>
    <w:p w:rsidR="0055106E" w:rsidRDefault="00B66986">
      <w:pPr>
        <w:spacing w:line="240" w:lineRule="auto"/>
        <w:ind w:left="1417"/>
        <w:jc w:val="both"/>
        <w:rPr>
          <w:rFonts w:ascii="Arial" w:eastAsia="Arial" w:hAnsi="Arial" w:cs="Arial"/>
        </w:rPr>
      </w:pPr>
      <w:r>
        <w:rPr>
          <w:rFonts w:ascii="Arial" w:eastAsia="Arial" w:hAnsi="Arial" w:cs="Arial"/>
        </w:rPr>
        <w:t>El Departamento Regional de Vigilancia Sanitaria analizará la solicitud y emitirá un parecer técnico en un plazo máximo de veinte (20) días hábiles desde su recepción.</w:t>
      </w:r>
    </w:p>
    <w:p w:rsidR="0055106E" w:rsidRDefault="00B66986">
      <w:pPr>
        <w:spacing w:line="240" w:lineRule="auto"/>
        <w:ind w:left="1417"/>
        <w:jc w:val="both"/>
        <w:rPr>
          <w:rFonts w:ascii="Arial" w:eastAsia="Arial" w:hAnsi="Arial" w:cs="Arial"/>
        </w:rPr>
      </w:pPr>
      <w:r>
        <w:rPr>
          <w:rFonts w:ascii="Arial" w:eastAsia="Arial" w:hAnsi="Arial" w:cs="Arial"/>
        </w:rPr>
        <w:t>Si el expediente se encontrará incompleto, se notificará al solicitante para que subsane las deficiencias dentro de los siguientes diez (10) días hábiles.</w:t>
      </w:r>
    </w:p>
    <w:p w:rsidR="0055106E" w:rsidRDefault="00B66986">
      <w:pPr>
        <w:spacing w:line="240" w:lineRule="auto"/>
        <w:ind w:left="1417"/>
        <w:jc w:val="both"/>
        <w:rPr>
          <w:rFonts w:ascii="Arial" w:eastAsia="Arial" w:hAnsi="Arial" w:cs="Arial"/>
        </w:rPr>
      </w:pPr>
      <w:r>
        <w:rPr>
          <w:rFonts w:ascii="Arial" w:eastAsia="Arial" w:hAnsi="Arial" w:cs="Arial"/>
        </w:rPr>
        <w:t>El incumplimiento de este plazo implicará la denegatoria de la solicitud, debiendo iniciarse un nuevo</w:t>
      </w:r>
      <w:r>
        <w:rPr>
          <w:rFonts w:ascii="Arial" w:eastAsia="Arial" w:hAnsi="Arial" w:cs="Arial"/>
        </w:rPr>
        <w:t xml:space="preserve"> trámite.</w:t>
      </w:r>
    </w:p>
    <w:p w:rsidR="0055106E" w:rsidRDefault="00B66986">
      <w:pPr>
        <w:numPr>
          <w:ilvl w:val="0"/>
          <w:numId w:val="1"/>
        </w:numPr>
        <w:spacing w:line="240" w:lineRule="auto"/>
        <w:ind w:hanging="22"/>
        <w:jc w:val="both"/>
        <w:rPr>
          <w:rFonts w:ascii="Arial" w:eastAsia="Arial" w:hAnsi="Arial" w:cs="Arial"/>
        </w:rPr>
      </w:pPr>
      <w:r>
        <w:rPr>
          <w:rFonts w:ascii="Arial" w:eastAsia="Arial" w:hAnsi="Arial" w:cs="Arial"/>
        </w:rPr>
        <w:t xml:space="preserve">Remisión a instancias superiores:  </w:t>
      </w:r>
    </w:p>
    <w:p w:rsidR="0055106E" w:rsidRDefault="00B66986">
      <w:pPr>
        <w:spacing w:line="240" w:lineRule="auto"/>
        <w:ind w:left="1417"/>
        <w:jc w:val="both"/>
        <w:rPr>
          <w:rFonts w:ascii="Arial" w:eastAsia="Arial" w:hAnsi="Arial" w:cs="Arial"/>
        </w:rPr>
      </w:pPr>
      <w:r>
        <w:rPr>
          <w:rFonts w:ascii="Arial" w:eastAsia="Arial" w:hAnsi="Arial" w:cs="Arial"/>
        </w:rPr>
        <w:t>Una vez completada la revisión técnica, el Departamento Regional remitirá el expediente a la Dirección de Regionales de Vigilancia Sanitaria, la cual lo derivará a la Dirección General de Asuntos Legales.</w:t>
      </w:r>
    </w:p>
    <w:p w:rsidR="0055106E" w:rsidRDefault="00B66986">
      <w:pPr>
        <w:numPr>
          <w:ilvl w:val="0"/>
          <w:numId w:val="1"/>
        </w:numPr>
        <w:spacing w:line="240" w:lineRule="auto"/>
        <w:ind w:hanging="22"/>
        <w:jc w:val="both"/>
        <w:rPr>
          <w:rFonts w:ascii="Arial" w:eastAsia="Arial" w:hAnsi="Arial" w:cs="Arial"/>
        </w:rPr>
      </w:pPr>
      <w:r>
        <w:rPr>
          <w:rFonts w:ascii="Arial" w:eastAsia="Arial" w:hAnsi="Arial" w:cs="Arial"/>
        </w:rPr>
        <w:t>Dicta</w:t>
      </w:r>
      <w:r>
        <w:rPr>
          <w:rFonts w:ascii="Arial" w:eastAsia="Arial" w:hAnsi="Arial" w:cs="Arial"/>
        </w:rPr>
        <w:t xml:space="preserve">men jurídico:  </w:t>
      </w:r>
    </w:p>
    <w:p w:rsidR="0055106E" w:rsidRDefault="00B66986">
      <w:pPr>
        <w:spacing w:line="240" w:lineRule="auto"/>
        <w:ind w:left="1417"/>
        <w:jc w:val="both"/>
        <w:rPr>
          <w:rFonts w:ascii="Arial" w:eastAsia="Arial" w:hAnsi="Arial" w:cs="Arial"/>
        </w:rPr>
      </w:pPr>
      <w:r>
        <w:rPr>
          <w:rFonts w:ascii="Arial" w:eastAsia="Arial" w:hAnsi="Arial" w:cs="Arial"/>
        </w:rPr>
        <w:t>La Dirección General de Asuntos Legales deberá expedirse en un plazo máximo de veinte (20) días hábiles desde la recepción del expediente.</w:t>
      </w:r>
    </w:p>
    <w:p w:rsidR="0055106E" w:rsidRDefault="00B66986">
      <w:pPr>
        <w:spacing w:line="240" w:lineRule="auto"/>
        <w:ind w:left="1417"/>
        <w:jc w:val="both"/>
        <w:rPr>
          <w:rFonts w:ascii="Arial" w:eastAsia="Arial" w:hAnsi="Arial" w:cs="Arial"/>
        </w:rPr>
      </w:pPr>
      <w:r>
        <w:rPr>
          <w:rFonts w:ascii="Arial" w:eastAsia="Arial" w:hAnsi="Arial" w:cs="Arial"/>
        </w:rPr>
        <w:t>En caso de detectar incumplimientos o errores documentales, se notificará al solicitante por medios fehacientes (incluido correo electrónico).</w:t>
      </w:r>
    </w:p>
    <w:p w:rsidR="0055106E" w:rsidRDefault="00B66986">
      <w:pPr>
        <w:spacing w:line="240" w:lineRule="auto"/>
        <w:ind w:left="1417"/>
        <w:jc w:val="both"/>
        <w:rPr>
          <w:rFonts w:ascii="Arial" w:eastAsia="Arial" w:hAnsi="Arial" w:cs="Arial"/>
        </w:rPr>
      </w:pPr>
      <w:r>
        <w:rPr>
          <w:rFonts w:ascii="Arial" w:eastAsia="Arial" w:hAnsi="Arial" w:cs="Arial"/>
        </w:rPr>
        <w:t>El solicitante dispondrá de treinta (30) días hábiles para subsanar las observaciones.</w:t>
      </w:r>
    </w:p>
    <w:p w:rsidR="0055106E" w:rsidRDefault="00B66986">
      <w:pPr>
        <w:spacing w:line="240" w:lineRule="auto"/>
        <w:ind w:left="1417"/>
        <w:jc w:val="both"/>
        <w:rPr>
          <w:rFonts w:ascii="Arial" w:eastAsia="Arial" w:hAnsi="Arial" w:cs="Arial"/>
        </w:rPr>
      </w:pPr>
      <w:r>
        <w:rPr>
          <w:rFonts w:ascii="Arial" w:eastAsia="Arial" w:hAnsi="Arial" w:cs="Arial"/>
        </w:rPr>
        <w:t>El trámite deberá ser eval</w:t>
      </w:r>
      <w:r>
        <w:rPr>
          <w:rFonts w:ascii="Arial" w:eastAsia="Arial" w:hAnsi="Arial" w:cs="Arial"/>
        </w:rPr>
        <w:t xml:space="preserve">uado íntegramente </w:t>
      </w:r>
      <w:proofErr w:type="gramStart"/>
      <w:r>
        <w:rPr>
          <w:rFonts w:ascii="Arial" w:eastAsia="Arial" w:hAnsi="Arial" w:cs="Arial"/>
        </w:rPr>
        <w:t>y  podrá</w:t>
      </w:r>
      <w:proofErr w:type="gramEnd"/>
      <w:r>
        <w:rPr>
          <w:rFonts w:ascii="Arial" w:eastAsia="Arial" w:hAnsi="Arial" w:cs="Arial"/>
        </w:rPr>
        <w:t xml:space="preserve"> ser corregido hasta dos (2) veces; si persisten las objeciones, la solicitud será denegada y archivada, debiendo iniciarse un nuevo expediente.</w:t>
      </w:r>
    </w:p>
    <w:p w:rsidR="0055106E" w:rsidRDefault="00B66986">
      <w:pPr>
        <w:numPr>
          <w:ilvl w:val="0"/>
          <w:numId w:val="1"/>
        </w:numPr>
        <w:spacing w:line="240" w:lineRule="auto"/>
        <w:ind w:hanging="22"/>
        <w:jc w:val="both"/>
        <w:rPr>
          <w:rFonts w:ascii="Arial" w:eastAsia="Arial" w:hAnsi="Arial" w:cs="Arial"/>
        </w:rPr>
      </w:pPr>
      <w:r>
        <w:rPr>
          <w:rFonts w:ascii="Arial" w:eastAsia="Arial" w:hAnsi="Arial" w:cs="Arial"/>
        </w:rPr>
        <w:t xml:space="preserve">Resolución final:  </w:t>
      </w:r>
    </w:p>
    <w:p w:rsidR="0055106E" w:rsidRDefault="00B66986">
      <w:pPr>
        <w:spacing w:line="240" w:lineRule="auto"/>
        <w:ind w:left="1417"/>
        <w:jc w:val="both"/>
        <w:rPr>
          <w:rFonts w:ascii="Arial" w:eastAsia="Arial" w:hAnsi="Arial" w:cs="Arial"/>
        </w:rPr>
      </w:pPr>
      <w:r>
        <w:rPr>
          <w:rFonts w:ascii="Arial" w:eastAsia="Arial" w:hAnsi="Arial" w:cs="Arial"/>
        </w:rPr>
        <w:t>Subsanadas las observaciones dentro del plazo, la Dirección Gener</w:t>
      </w:r>
      <w:r>
        <w:rPr>
          <w:rFonts w:ascii="Arial" w:eastAsia="Arial" w:hAnsi="Arial" w:cs="Arial"/>
        </w:rPr>
        <w:t xml:space="preserve">al de Asuntos Legales emitirá dictamen en un plazo máximo </w:t>
      </w:r>
      <w:proofErr w:type="gramStart"/>
      <w:r>
        <w:rPr>
          <w:rFonts w:ascii="Arial" w:eastAsia="Arial" w:hAnsi="Arial" w:cs="Arial"/>
        </w:rPr>
        <w:t>de  quince</w:t>
      </w:r>
      <w:proofErr w:type="gramEnd"/>
      <w:r>
        <w:rPr>
          <w:rFonts w:ascii="Arial" w:eastAsia="Arial" w:hAnsi="Arial" w:cs="Arial"/>
        </w:rPr>
        <w:t xml:space="preserve"> (15) días hábiles. Dicho dictamen será remitido a la Dirección Regional de Vigilancia Sanitaria, que procederá a emitir la autorización correspondiente a través de los Departamentos Regio</w:t>
      </w:r>
      <w:r>
        <w:rPr>
          <w:rFonts w:ascii="Arial" w:eastAsia="Arial" w:hAnsi="Arial" w:cs="Arial"/>
        </w:rPr>
        <w:t>nales, en un plazo no mayor de diez (10) días hábiles.</w:t>
      </w:r>
    </w:p>
    <w:p w:rsidR="0055106E" w:rsidRDefault="00B66986">
      <w:pPr>
        <w:spacing w:line="240" w:lineRule="auto"/>
        <w:ind w:left="1417" w:hanging="1417"/>
        <w:jc w:val="both"/>
        <w:rPr>
          <w:rFonts w:ascii="Arial" w:eastAsia="Arial" w:hAnsi="Arial" w:cs="Arial"/>
        </w:rPr>
      </w:pPr>
      <w:r>
        <w:rPr>
          <w:rFonts w:ascii="Arial" w:eastAsia="Arial" w:hAnsi="Arial" w:cs="Arial"/>
          <w:b/>
          <w:bCs/>
        </w:rPr>
        <w:t>Artículo 7</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rPr>
        <w:t xml:space="preserve">  </w:t>
      </w:r>
      <w:r>
        <w:rPr>
          <w:rFonts w:ascii="Arial" w:eastAsia="Arial" w:hAnsi="Arial" w:cs="Arial"/>
        </w:rPr>
        <w:tab/>
        <w:t>Establecer que el titular del establecimiento es responsable de solicitar las atestaciones y actualizaciones correspondientes a los certificados y registros emitidos por la DINAVISA que</w:t>
      </w:r>
      <w:r>
        <w:rPr>
          <w:rFonts w:ascii="Arial" w:eastAsia="Arial" w:hAnsi="Arial" w:cs="Arial"/>
        </w:rPr>
        <w:t xml:space="preserve"> correspondan considerando los </w:t>
      </w:r>
      <w:r>
        <w:rPr>
          <w:rFonts w:ascii="Arial" w:eastAsia="Arial" w:hAnsi="Arial" w:cs="Arial"/>
          <w:b/>
          <w:bCs/>
        </w:rPr>
        <w:t>cambios de</w:t>
      </w:r>
      <w:r>
        <w:rPr>
          <w:rFonts w:ascii="Arial" w:eastAsia="Arial" w:hAnsi="Arial" w:cs="Arial"/>
        </w:rPr>
        <w:t xml:space="preserve"> </w:t>
      </w:r>
      <w:r>
        <w:rPr>
          <w:rFonts w:ascii="Arial" w:eastAsia="Arial" w:hAnsi="Arial" w:cs="Arial"/>
          <w:b/>
          <w:bCs/>
        </w:rPr>
        <w:t xml:space="preserve">Nombre o identificación de un establecimiento regulado y habilitado </w:t>
      </w:r>
      <w:r>
        <w:rPr>
          <w:rFonts w:ascii="Arial" w:eastAsia="Arial" w:hAnsi="Arial" w:cs="Arial"/>
          <w:b/>
          <w:bCs/>
        </w:rPr>
        <w:lastRenderedPageBreak/>
        <w:t>ante la DINAVISA, Cambio de Razón Social y/o Transferencia de Registro de Establecimiento, autorizados por la DINAVISA.</w:t>
      </w:r>
    </w:p>
    <w:p w:rsidR="0055106E" w:rsidRDefault="00B66986">
      <w:pPr>
        <w:spacing w:line="240" w:lineRule="auto"/>
        <w:ind w:left="1417" w:hanging="1417"/>
        <w:jc w:val="both"/>
        <w:rPr>
          <w:rFonts w:ascii="Arial" w:eastAsia="Arial" w:hAnsi="Arial" w:cs="Arial"/>
        </w:rPr>
      </w:pPr>
      <w:r>
        <w:rPr>
          <w:rFonts w:ascii="Arial" w:eastAsia="Arial" w:hAnsi="Arial" w:cs="Arial"/>
          <w:b/>
          <w:bCs/>
        </w:rPr>
        <w:t>Artículo 8</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rPr>
        <w:t xml:space="preserve"> Establecer q</w:t>
      </w:r>
      <w:r>
        <w:rPr>
          <w:rFonts w:ascii="Arial" w:eastAsia="Arial" w:hAnsi="Arial" w:cs="Arial"/>
        </w:rPr>
        <w:t xml:space="preserve">ue en caso de que el establecimiento cuente con Registro Sanitarios Vigentes, deberá solicitar simultáneamente a la </w:t>
      </w:r>
      <w:r>
        <w:rPr>
          <w:rFonts w:ascii="Arial" w:eastAsia="Arial" w:hAnsi="Arial" w:cs="Arial"/>
          <w:b/>
          <w:bCs/>
        </w:rPr>
        <w:t>transferencia de Registro de Establecimiento</w:t>
      </w:r>
      <w:r>
        <w:rPr>
          <w:rFonts w:ascii="Arial" w:eastAsia="Arial" w:hAnsi="Arial" w:cs="Arial"/>
        </w:rPr>
        <w:t xml:space="preserve"> de un establecimiento regulado y habilitado ante la DINAVISA, la transferencia de sus registros</w:t>
      </w:r>
      <w:r>
        <w:rPr>
          <w:rFonts w:ascii="Arial" w:eastAsia="Arial" w:hAnsi="Arial" w:cs="Arial"/>
        </w:rPr>
        <w:t xml:space="preserve"> sanitarios o en su defecto su solicitud de cancelación de registros sanitarios.</w:t>
      </w:r>
    </w:p>
    <w:p w:rsidR="0055106E" w:rsidRDefault="00B66986">
      <w:pPr>
        <w:spacing w:line="240" w:lineRule="auto"/>
        <w:ind w:left="1417"/>
        <w:jc w:val="both"/>
        <w:rPr>
          <w:rFonts w:ascii="Arial" w:eastAsia="Arial" w:hAnsi="Arial" w:cs="Arial"/>
          <w:color w:val="0A0A0A"/>
          <w:highlight w:val="white"/>
        </w:rPr>
      </w:pPr>
      <w:r>
        <w:rPr>
          <w:rFonts w:ascii="Arial" w:eastAsia="Arial" w:hAnsi="Arial" w:cs="Arial"/>
        </w:rPr>
        <w:t>Los establecimientos podrán transferir a su RE simultáneamente con sus Registros Sanitarios, a una persona física o jurídica nueva, cuando la firma beneficiaria aún no ha oper</w:t>
      </w:r>
      <w:r>
        <w:rPr>
          <w:rFonts w:ascii="Arial" w:eastAsia="Arial" w:hAnsi="Arial" w:cs="Arial"/>
        </w:rPr>
        <w:t>ado ante la DINAVISA, será exonerada de presentar la Constancia de RUE vigente del beneficiario, para la transferencia de los Registros Sanitarios, deberá presentar declaración jurada protocolizada por escribanía asumiendo la responsabilidad de operar en l</w:t>
      </w:r>
      <w:r>
        <w:rPr>
          <w:rFonts w:ascii="Arial" w:eastAsia="Arial" w:hAnsi="Arial" w:cs="Arial"/>
        </w:rPr>
        <w:t xml:space="preserve">a misma dirección, con la misma infraestructura, capacidad operativa y procedimientos técnicos del establecimiento cedente y declarando su capacidad y que </w:t>
      </w:r>
      <w:r>
        <w:rPr>
          <w:rFonts w:ascii="Arial" w:eastAsia="Arial" w:hAnsi="Arial" w:cs="Arial"/>
          <w:color w:val="0A0A0A"/>
          <w:highlight w:val="white"/>
        </w:rPr>
        <w:t xml:space="preserve">asume todas las responsabilidades como titular de la autorización de comercialización, incluyendo la </w:t>
      </w:r>
      <w:r>
        <w:rPr>
          <w:rFonts w:ascii="Arial" w:eastAsia="Arial" w:hAnsi="Arial" w:cs="Arial"/>
          <w:color w:val="0A0A0A"/>
          <w:highlight w:val="white"/>
        </w:rPr>
        <w:t>farmacovigilancia y el aseguramiento de la calidad.</w:t>
      </w:r>
    </w:p>
    <w:p w:rsidR="0055106E" w:rsidRDefault="00B66986">
      <w:pPr>
        <w:spacing w:line="240" w:lineRule="auto"/>
        <w:ind w:left="1417"/>
        <w:jc w:val="both"/>
        <w:rPr>
          <w:rFonts w:ascii="Arial" w:eastAsia="Arial" w:hAnsi="Arial" w:cs="Arial"/>
          <w:color w:val="0A0A0A"/>
          <w:highlight w:val="white"/>
        </w:rPr>
      </w:pPr>
      <w:bookmarkStart w:id="44" w:name="_heading=h.vrog9uskssd5" w:colFirst="0" w:colLast="0"/>
      <w:bookmarkEnd w:id="44"/>
      <w:r>
        <w:rPr>
          <w:rFonts w:ascii="Arial" w:eastAsia="Arial" w:hAnsi="Arial" w:cs="Arial"/>
          <w:color w:val="0A0A0A"/>
          <w:highlight w:val="white"/>
        </w:rPr>
        <w:t xml:space="preserve">Formalizada la transferencia del RE y de los Registros Sanitarios, la empresa beneficiaria en su carácter de nuevo titular, deberá solicitar a la Dirección General de Inspección la Actualización de Datos </w:t>
      </w:r>
      <w:r>
        <w:rPr>
          <w:rFonts w:ascii="Arial" w:eastAsia="Arial" w:hAnsi="Arial" w:cs="Arial"/>
          <w:color w:val="0A0A0A"/>
          <w:highlight w:val="white"/>
        </w:rPr>
        <w:t>del Certificado de Buenas Prácticas, abonar el arancel correspondiente, en su solicitud asumir la responsabilidad de actualizar sus Procedimientos y documentos relacionados a las buenas prácticas. Asimismo, son pasibles de inspecciones de seguimiento de bu</w:t>
      </w:r>
      <w:r>
        <w:rPr>
          <w:rFonts w:ascii="Arial" w:eastAsia="Arial" w:hAnsi="Arial" w:cs="Arial"/>
          <w:color w:val="0A0A0A"/>
          <w:highlight w:val="white"/>
        </w:rPr>
        <w:t>enas prácticas.</w:t>
      </w:r>
    </w:p>
    <w:p w:rsidR="0055106E" w:rsidRDefault="00B66986">
      <w:pPr>
        <w:spacing w:line="240" w:lineRule="auto"/>
        <w:ind w:left="1417" w:hanging="1417"/>
        <w:jc w:val="both"/>
        <w:rPr>
          <w:rFonts w:ascii="Arial" w:eastAsia="Arial" w:hAnsi="Arial" w:cs="Arial"/>
        </w:rPr>
      </w:pPr>
      <w:bookmarkStart w:id="45" w:name="_heading=h.bhpm8tfv6gvq" w:colFirst="0" w:colLast="0"/>
      <w:bookmarkEnd w:id="45"/>
      <w:r>
        <w:rPr>
          <w:rFonts w:ascii="Arial" w:eastAsia="Arial" w:hAnsi="Arial" w:cs="Arial"/>
          <w:b/>
          <w:bCs/>
        </w:rPr>
        <w:t>Artículo 9</w:t>
      </w:r>
      <w:proofErr w:type="gramStart"/>
      <w:r>
        <w:rPr>
          <w:rFonts w:ascii="Arial" w:eastAsia="Arial" w:hAnsi="Arial" w:cs="Arial"/>
          <w:b/>
          <w:bCs/>
        </w:rPr>
        <w:t>°</w:t>
      </w:r>
      <w:r>
        <w:rPr>
          <w:rFonts w:ascii="Arial" w:eastAsia="Arial" w:hAnsi="Arial" w:cs="Arial"/>
        </w:rPr>
        <w:t>.-</w:t>
      </w:r>
      <w:proofErr w:type="gramEnd"/>
      <w:r>
        <w:rPr>
          <w:rFonts w:ascii="Arial" w:eastAsia="Arial" w:hAnsi="Arial" w:cs="Arial"/>
        </w:rPr>
        <w:t xml:space="preserve"> </w:t>
      </w:r>
      <w:r>
        <w:rPr>
          <w:rFonts w:ascii="Arial" w:eastAsia="Arial" w:hAnsi="Arial" w:cs="Arial"/>
        </w:rPr>
        <w:tab/>
        <w:t>Disponer que las solicitudes de transferencia de Registro de Establecimiento y de Registros Sanitarios simultaneas deberán presentarse conjuntamente en un mismo expediente ante la DINAVISA, acompañadas de la documentación exi</w:t>
      </w:r>
      <w:r>
        <w:rPr>
          <w:rFonts w:ascii="Arial" w:eastAsia="Arial" w:hAnsi="Arial" w:cs="Arial"/>
        </w:rPr>
        <w:t>gida y del comprobante de pago de los aranceles correspondientes.</w:t>
      </w:r>
    </w:p>
    <w:p w:rsidR="0055106E" w:rsidRDefault="00B66986">
      <w:pPr>
        <w:spacing w:line="240" w:lineRule="auto"/>
        <w:ind w:left="1417"/>
        <w:jc w:val="both"/>
        <w:rPr>
          <w:rFonts w:ascii="Arial" w:eastAsia="Arial" w:hAnsi="Arial" w:cs="Arial"/>
        </w:rPr>
      </w:pPr>
      <w:bookmarkStart w:id="46" w:name="_heading=h.rskeiz6zu8et" w:colFirst="0" w:colLast="0"/>
      <w:bookmarkEnd w:id="46"/>
      <w:r>
        <w:rPr>
          <w:rFonts w:ascii="Arial" w:eastAsia="Arial" w:hAnsi="Arial" w:cs="Arial"/>
        </w:rPr>
        <w:t>El expediente será remitido a la Dirección General de Asuntos Legales, que solicitará el parecer técnico de la Dirección General de Evaluación y Registros Sanitarios. Esta última deberá expe</w:t>
      </w:r>
      <w:r>
        <w:rPr>
          <w:rFonts w:ascii="Arial" w:eastAsia="Arial" w:hAnsi="Arial" w:cs="Arial"/>
        </w:rPr>
        <w:t>dirse en un plazo máximo de veinte (20) días hábiles. Si se detectan errores o incumplimientos, se notificará al solicitante para su corrección dentro de treinta (30) días hábiles; de no subsanarse, el trámite será denegado y archivado.</w:t>
      </w:r>
    </w:p>
    <w:p w:rsidR="0055106E" w:rsidRDefault="00B66986">
      <w:pPr>
        <w:spacing w:line="240" w:lineRule="auto"/>
        <w:ind w:left="1417"/>
        <w:jc w:val="both"/>
        <w:rPr>
          <w:rFonts w:ascii="Arial" w:eastAsia="Arial" w:hAnsi="Arial" w:cs="Arial"/>
        </w:rPr>
      </w:pPr>
      <w:bookmarkStart w:id="47" w:name="_heading=h.u0v1ok7stbvy" w:colFirst="0" w:colLast="0"/>
      <w:bookmarkEnd w:id="47"/>
      <w:r>
        <w:rPr>
          <w:rFonts w:ascii="Arial" w:eastAsia="Arial" w:hAnsi="Arial" w:cs="Arial"/>
        </w:rPr>
        <w:t>Presentadas las cor</w:t>
      </w:r>
      <w:r>
        <w:rPr>
          <w:rFonts w:ascii="Arial" w:eastAsia="Arial" w:hAnsi="Arial" w:cs="Arial"/>
        </w:rPr>
        <w:t>recciones, la Dirección General de Evaluación y Registros Sanitarios deberá pronunciarse en un plazo de diez (10) días hábiles, remitiendo el expediente a la Dirección General de Asuntos Legales.</w:t>
      </w:r>
    </w:p>
    <w:p w:rsidR="0055106E" w:rsidRDefault="00B66986">
      <w:pPr>
        <w:spacing w:line="240" w:lineRule="auto"/>
        <w:ind w:left="1417"/>
        <w:jc w:val="both"/>
        <w:rPr>
          <w:rFonts w:ascii="Arial" w:eastAsia="Arial" w:hAnsi="Arial" w:cs="Arial"/>
        </w:rPr>
      </w:pPr>
      <w:bookmarkStart w:id="48" w:name="_heading=h.qplx6ob6s6m" w:colFirst="0" w:colLast="0"/>
      <w:bookmarkEnd w:id="48"/>
      <w:r>
        <w:rPr>
          <w:rFonts w:ascii="Arial" w:eastAsia="Arial" w:hAnsi="Arial" w:cs="Arial"/>
        </w:rPr>
        <w:lastRenderedPageBreak/>
        <w:t>La Dirección General de Asuntos Legales realizará el análisi</w:t>
      </w:r>
      <w:r>
        <w:rPr>
          <w:rFonts w:ascii="Arial" w:eastAsia="Arial" w:hAnsi="Arial" w:cs="Arial"/>
        </w:rPr>
        <w:t>s jurídico y deberá expedirse en un plazo máximo de treinta (30) días hábiles. En caso de objeciones, se notificará al solicitante para su corrección dentro de treinta (30) días hábiles; de no subsanarse, el trámite será denegado y archivado.</w:t>
      </w:r>
    </w:p>
    <w:p w:rsidR="0055106E" w:rsidRDefault="00B66986">
      <w:pPr>
        <w:spacing w:line="240" w:lineRule="auto"/>
        <w:ind w:left="1417"/>
        <w:jc w:val="both"/>
        <w:rPr>
          <w:rFonts w:ascii="Arial" w:eastAsia="Arial" w:hAnsi="Arial" w:cs="Arial"/>
        </w:rPr>
      </w:pPr>
      <w:bookmarkStart w:id="49" w:name="_heading=h.1epwk4nm2b7t" w:colFirst="0" w:colLast="0"/>
      <w:bookmarkEnd w:id="49"/>
      <w:r>
        <w:rPr>
          <w:rFonts w:ascii="Arial" w:eastAsia="Arial" w:hAnsi="Arial" w:cs="Arial"/>
        </w:rPr>
        <w:t>Subsanadas la</w:t>
      </w:r>
      <w:r>
        <w:rPr>
          <w:rFonts w:ascii="Arial" w:eastAsia="Arial" w:hAnsi="Arial" w:cs="Arial"/>
        </w:rPr>
        <w:t>s observaciones, la Dirección General de Asuntos Legales deberá emitir dictamen en un plazo máximo de veinte (20) días hábiles, elevando el proyecto de resolución a la Secretaría General.</w:t>
      </w:r>
    </w:p>
    <w:p w:rsidR="0055106E" w:rsidRDefault="00B66986">
      <w:pPr>
        <w:spacing w:line="240" w:lineRule="auto"/>
        <w:ind w:left="1417"/>
        <w:jc w:val="both"/>
        <w:rPr>
          <w:rFonts w:ascii="Arial" w:eastAsia="Arial" w:hAnsi="Arial" w:cs="Arial"/>
        </w:rPr>
      </w:pPr>
      <w:bookmarkStart w:id="50" w:name="_heading=h.1s7ax45hwy14" w:colFirst="0" w:colLast="0"/>
      <w:bookmarkEnd w:id="50"/>
      <w:r>
        <w:rPr>
          <w:rFonts w:ascii="Arial" w:eastAsia="Arial" w:hAnsi="Arial" w:cs="Arial"/>
        </w:rPr>
        <w:t>La resolución será refrendada por la máxima autoridad institucional,</w:t>
      </w:r>
      <w:r>
        <w:rPr>
          <w:rFonts w:ascii="Arial" w:eastAsia="Arial" w:hAnsi="Arial" w:cs="Arial"/>
        </w:rPr>
        <w:t xml:space="preserve"> notificada al solicitante y comunicada a las áreas pertinentes para su ejecución.</w:t>
      </w:r>
    </w:p>
    <w:p w:rsidR="0055106E" w:rsidRDefault="00B66986">
      <w:pPr>
        <w:spacing w:before="240" w:after="240" w:line="276" w:lineRule="auto"/>
        <w:ind w:left="1417"/>
        <w:rPr>
          <w:u w:val="single"/>
        </w:rPr>
      </w:pPr>
      <w:r>
        <w:rPr>
          <w:rFonts w:ascii="Arial" w:eastAsia="Arial" w:hAnsi="Arial" w:cs="Arial"/>
          <w:b/>
          <w:bCs/>
        </w:rPr>
        <w:t>Artículo 10.-</w:t>
      </w:r>
      <w:r>
        <w:rPr>
          <w:rFonts w:ascii="Arial" w:eastAsia="Arial" w:hAnsi="Arial" w:cs="Arial"/>
        </w:rPr>
        <w:t xml:space="preserve"> </w:t>
      </w:r>
      <w:r>
        <w:rPr>
          <w:rFonts w:ascii="Arial" w:eastAsia="Arial" w:hAnsi="Arial" w:cs="Arial"/>
        </w:rPr>
        <w:tab/>
        <w:t>Disponer que la presente resolución entrará en vigencia a partir de la fecha de su firma.</w:t>
      </w:r>
    </w:p>
    <w:p w:rsidR="0055106E" w:rsidRDefault="00B66986">
      <w:pPr>
        <w:spacing w:before="240" w:after="240" w:line="276" w:lineRule="auto"/>
        <w:ind w:left="1417" w:hanging="1417"/>
        <w:rPr>
          <w:rFonts w:ascii="Arial" w:eastAsia="Arial" w:hAnsi="Arial" w:cs="Arial"/>
        </w:rPr>
      </w:pPr>
      <w:r>
        <w:rPr>
          <w:rFonts w:ascii="Arial" w:eastAsia="Arial" w:hAnsi="Arial" w:cs="Arial"/>
          <w:b/>
          <w:bCs/>
        </w:rPr>
        <w:t>Artículo 11.-</w:t>
      </w:r>
      <w:r>
        <w:rPr>
          <w:rFonts w:ascii="Arial" w:eastAsia="Arial" w:hAnsi="Arial" w:cs="Arial"/>
        </w:rPr>
        <w:t xml:space="preserve"> </w:t>
      </w:r>
      <w:r>
        <w:rPr>
          <w:rFonts w:ascii="Arial" w:eastAsia="Arial" w:hAnsi="Arial" w:cs="Arial"/>
        </w:rPr>
        <w:tab/>
        <w:t>Comunicar a quienes corresponda, registrar y cumplido</w:t>
      </w:r>
      <w:r>
        <w:rPr>
          <w:rFonts w:ascii="Arial" w:eastAsia="Arial" w:hAnsi="Arial" w:cs="Arial"/>
        </w:rPr>
        <w:t>, archivar.</w:t>
      </w:r>
    </w:p>
    <w:p w:rsidR="0055106E" w:rsidRDefault="0055106E">
      <w:pPr>
        <w:jc w:val="both"/>
      </w:pPr>
    </w:p>
    <w:sectPr w:rsidR="0055106E">
      <w:headerReference w:type="default" r:id="rId8"/>
      <w:pgSz w:w="12240" w:h="18720"/>
      <w:pgMar w:top="1417" w:right="1701" w:bottom="14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986" w:rsidRDefault="00B66986">
      <w:pPr>
        <w:spacing w:after="0" w:line="240" w:lineRule="auto"/>
      </w:pPr>
      <w:r>
        <w:separator/>
      </w:r>
    </w:p>
  </w:endnote>
  <w:endnote w:type="continuationSeparator" w:id="0">
    <w:p w:rsidR="00B66986" w:rsidRDefault="00B6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2D324D-898E-487F-A98A-7D0EFBE5D9A1}"/>
    <w:embedBold r:id="rId2" w:fontKey="{CE9C5B30-DA56-4A27-A9A4-1BEE3D99CFBE}"/>
  </w:font>
  <w:font w:name="Georgia">
    <w:panose1 w:val="02040502050405020303"/>
    <w:charset w:val="00"/>
    <w:family w:val="roman"/>
    <w:pitch w:val="variable"/>
    <w:sig w:usb0="00000287" w:usb1="00000000" w:usb2="00000000" w:usb3="00000000" w:csb0="0000009F" w:csb1="00000000"/>
    <w:embedItalic r:id="rId3" w:fontKey="{6064F62E-AAA6-4A2B-A53B-CFBB6B34A2E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AED15A1-8283-4A53-B48F-D947EC475A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986" w:rsidRDefault="00B66986">
      <w:pPr>
        <w:spacing w:after="0" w:line="240" w:lineRule="auto"/>
      </w:pPr>
      <w:r>
        <w:separator/>
      </w:r>
    </w:p>
  </w:footnote>
  <w:footnote w:type="continuationSeparator" w:id="0">
    <w:p w:rsidR="00B66986" w:rsidRDefault="00B66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06E" w:rsidRDefault="00B66986">
    <w:pPr>
      <w:spacing w:before="240" w:after="240"/>
      <w:jc w:val="center"/>
      <w:rPr>
        <w:rFonts w:ascii="Arial" w:eastAsia="Arial" w:hAnsi="Arial" w:cs="Arial"/>
        <w:i/>
        <w:iCs/>
      </w:rPr>
    </w:pPr>
    <w:r>
      <w:rPr>
        <w:rFonts w:ascii="Arial" w:eastAsia="Arial" w:hAnsi="Arial" w:cs="Arial"/>
        <w:i/>
        <w:iCs/>
      </w:rPr>
      <w:t>Sesquicentenario de la Epopeya Nacional: 1864 – 1870”</w:t>
    </w:r>
  </w:p>
  <w:p w:rsidR="0055106E" w:rsidRDefault="00B66986">
    <w:pPr>
      <w:spacing w:before="240" w:after="240"/>
      <w:jc w:val="center"/>
      <w:rPr>
        <w:rFonts w:ascii="Arial" w:eastAsia="Arial" w:hAnsi="Arial" w:cs="Arial"/>
        <w:i/>
        <w:iCs/>
      </w:rPr>
    </w:pPr>
    <w:r>
      <w:rPr>
        <w:rFonts w:ascii="Arial" w:eastAsia="Arial" w:hAnsi="Arial" w:cs="Arial"/>
        <w:noProof/>
      </w:rPr>
      <w:drawing>
        <wp:inline distT="0" distB="0" distL="0" distR="0">
          <wp:extent cx="600075" cy="533400"/>
          <wp:effectExtent l="0" t="0" r="0" b="0"/>
          <wp:docPr id="1" name="image1.png" descr="undefined"/>
          <wp:cNvGraphicFramePr/>
          <a:graphic xmlns:a="http://schemas.openxmlformats.org/drawingml/2006/main">
            <a:graphicData uri="http://schemas.openxmlformats.org/drawingml/2006/picture">
              <pic:pic xmlns:pic="http://schemas.openxmlformats.org/drawingml/2006/picture">
                <pic:nvPicPr>
                  <pic:cNvPr id="0" name="image1.png" descr="undefined"/>
                  <pic:cNvPicPr preferRelativeResize="0"/>
                </pic:nvPicPr>
                <pic:blipFill>
                  <a:blip r:embed="rId1"/>
                  <a:srcRect/>
                  <a:stretch>
                    <a:fillRect/>
                  </a:stretch>
                </pic:blipFill>
                <pic:spPr>
                  <a:xfrm>
                    <a:off x="0" y="0"/>
                    <a:ext cx="600075" cy="533400"/>
                  </a:xfrm>
                  <a:prstGeom prst="rect">
                    <a:avLst/>
                  </a:prstGeom>
                  <a:ln/>
                </pic:spPr>
              </pic:pic>
            </a:graphicData>
          </a:graphic>
        </wp:inline>
      </w:drawing>
    </w:r>
    <w:r>
      <w:rPr>
        <w:rFonts w:ascii="Arial" w:eastAsia="Arial" w:hAnsi="Arial" w:cs="Arial"/>
        <w:i/>
        <w:iCs/>
      </w:rPr>
      <w:t xml:space="preserve"> </w:t>
    </w:r>
  </w:p>
  <w:p w:rsidR="0055106E" w:rsidRDefault="00B66986">
    <w:pPr>
      <w:spacing w:before="240" w:after="240"/>
      <w:jc w:val="center"/>
      <w:rPr>
        <w:rFonts w:ascii="Arial" w:eastAsia="Arial" w:hAnsi="Arial" w:cs="Arial"/>
        <w:b/>
        <w:bCs/>
        <w:i/>
        <w:iCs/>
      </w:rPr>
    </w:pPr>
    <w:r>
      <w:rPr>
        <w:rFonts w:ascii="Arial" w:eastAsia="Arial" w:hAnsi="Arial" w:cs="Arial"/>
        <w:b/>
        <w:bCs/>
        <w:i/>
        <w:iCs/>
      </w:rPr>
      <w:t>Poder Ejecutivo</w:t>
    </w:r>
  </w:p>
  <w:p w:rsidR="0055106E" w:rsidRDefault="00B66986">
    <w:pPr>
      <w:spacing w:before="240" w:after="240"/>
      <w:jc w:val="center"/>
      <w:rPr>
        <w:rFonts w:ascii="Arial" w:eastAsia="Arial" w:hAnsi="Arial" w:cs="Arial"/>
        <w:b/>
        <w:bCs/>
        <w:i/>
        <w:iCs/>
      </w:rPr>
    </w:pPr>
    <w:r>
      <w:rPr>
        <w:rFonts w:ascii="Arial" w:eastAsia="Arial" w:hAnsi="Arial" w:cs="Arial"/>
        <w:b/>
        <w:bCs/>
        <w:i/>
        <w:iCs/>
      </w:rPr>
      <w:t xml:space="preserve">   Dirección Nacional de Vigilancia Sanitaria</w:t>
    </w:r>
  </w:p>
  <w:p w:rsidR="0055106E" w:rsidRDefault="00B66986">
    <w:pPr>
      <w:spacing w:before="240" w:after="240"/>
      <w:ind w:left="880" w:hanging="440"/>
      <w:jc w:val="center"/>
      <w:rPr>
        <w:rFonts w:ascii="Arial" w:eastAsia="Arial" w:hAnsi="Arial" w:cs="Arial"/>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Arial" w:eastAsia="Arial" w:hAnsi="Arial" w:cs="Arial"/>
        <w:b/>
        <w:bCs/>
        <w:i/>
        <w:iCs/>
      </w:rPr>
      <w:t xml:space="preserve">RESOLUCIÓN DINAVISA </w:t>
    </w:r>
    <w:proofErr w:type="spellStart"/>
    <w:r>
      <w:rPr>
        <w:rFonts w:ascii="Arial" w:eastAsia="Arial" w:hAnsi="Arial" w:cs="Arial"/>
        <w:b/>
        <w:bCs/>
        <w:i/>
        <w:iCs/>
      </w:rPr>
      <w:t>N°</w:t>
    </w:r>
    <w:proofErr w:type="spellEnd"/>
    <w:r>
      <w:rPr>
        <w:rFonts w:ascii="Arial" w:eastAsia="Arial" w:hAnsi="Arial" w:cs="Arial"/>
        <w:b/>
        <w:bCs/>
        <w:i/>
        <w:iCs/>
      </w:rPr>
      <w:t>……/2026</w:t>
    </w:r>
    <w:r>
      <w:rPr>
        <w:rFonts w:ascii="Times New Roman" w:eastAsia="Times New Roman" w:hAnsi="Times New Roman" w:cs="Times New Roman"/>
      </w:rPr>
      <w:t>​</w:t>
    </w:r>
    <w:r>
      <w:rPr>
        <w:rFonts w:ascii="Times New Roman" w:eastAsia="Times New Roman" w:hAnsi="Times New Roman" w:cs="Times New Roman"/>
        <w:sz w:val="14"/>
        <w:szCs w:val="14"/>
      </w:rPr>
      <w:t xml:space="preserve">        </w:t>
    </w:r>
  </w:p>
  <w:p w:rsidR="0055106E" w:rsidRDefault="00B66986">
    <w:pPr>
      <w:spacing w:before="240" w:after="240"/>
      <w:jc w:val="both"/>
      <w:rPr>
        <w:rFonts w:ascii="Arial" w:eastAsia="Arial" w:hAnsi="Arial" w:cs="Arial"/>
        <w:b/>
        <w:bCs/>
      </w:rPr>
    </w:pPr>
    <w:r>
      <w:rPr>
        <w:rFonts w:ascii="Arial" w:eastAsia="Arial" w:hAnsi="Arial" w:cs="Arial"/>
        <w:b/>
        <w:bCs/>
      </w:rPr>
      <w:t>POR LA CUAL SE REGLAMENTA EL CAMBIO DE RAZÓN SOCIAL, CAMBIO DE DENOMINACIÓN, Y LA TRANSFERENCIA DE ESTABLECIMIENTOS.</w:t>
    </w:r>
  </w:p>
  <w:p w:rsidR="0055106E" w:rsidRDefault="00B66986">
    <w:pPr>
      <w:spacing w:before="240" w:after="240"/>
      <w:jc w:val="right"/>
      <w:rPr>
        <w:rFonts w:ascii="Arial" w:eastAsia="Arial" w:hAnsi="Arial" w:cs="Arial"/>
      </w:rPr>
    </w:pPr>
    <w:proofErr w:type="gramStart"/>
    <w:r>
      <w:rPr>
        <w:rFonts w:ascii="Arial" w:eastAsia="Arial" w:hAnsi="Arial" w:cs="Arial"/>
      </w:rPr>
      <w:t xml:space="preserve">Asunción,  </w:t>
    </w:r>
    <w:r>
      <w:rPr>
        <w:rFonts w:ascii="Arial" w:eastAsia="Arial" w:hAnsi="Arial" w:cs="Arial"/>
      </w:rPr>
      <w:tab/>
    </w:r>
    <w:proofErr w:type="gramEnd"/>
    <w:r>
      <w:rPr>
        <w:rFonts w:ascii="Arial" w:eastAsia="Arial" w:hAnsi="Arial" w:cs="Arial"/>
      </w:rPr>
      <w:t xml:space="preserve">de          </w:t>
    </w:r>
    <w:r>
      <w:rPr>
        <w:rFonts w:ascii="Arial" w:eastAsia="Arial" w:hAnsi="Arial" w:cs="Arial"/>
      </w:rPr>
      <w:tab/>
    </w:r>
    <w:proofErr w:type="spellStart"/>
    <w:r>
      <w:rPr>
        <w:rFonts w:ascii="Arial" w:eastAsia="Arial" w:hAnsi="Arial" w:cs="Arial"/>
      </w:rPr>
      <w:t>de</w:t>
    </w:r>
    <w:proofErr w:type="spellEnd"/>
    <w:r>
      <w:rPr>
        <w:rFonts w:ascii="Arial" w:eastAsia="Arial" w:hAnsi="Arial" w:cs="Arial"/>
      </w:rPr>
      <w:t xml:space="preserve"> 2026</w:t>
    </w:r>
  </w:p>
  <w:p w:rsidR="0055106E" w:rsidRDefault="00551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20FAA"/>
    <w:multiLevelType w:val="multilevel"/>
    <w:tmpl w:val="2DC09934"/>
    <w:lvl w:ilvl="0">
      <w:start w:val="1"/>
      <w:numFmt w:val="lowerLetter"/>
      <w:lvlText w:val="%1)"/>
      <w:lvlJc w:val="left"/>
      <w:pPr>
        <w:ind w:left="1559"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30363D1"/>
    <w:multiLevelType w:val="multilevel"/>
    <w:tmpl w:val="41AA9FDA"/>
    <w:lvl w:ilvl="0">
      <w:start w:val="1"/>
      <w:numFmt w:val="lowerLetter"/>
      <w:lvlText w:val="%1)"/>
      <w:lvlJc w:val="left"/>
      <w:pPr>
        <w:ind w:left="1702"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6D911550"/>
    <w:multiLevelType w:val="multilevel"/>
    <w:tmpl w:val="C7D0F41C"/>
    <w:lvl w:ilvl="0">
      <w:start w:val="1"/>
      <w:numFmt w:val="lowerLetter"/>
      <w:lvlText w:val="%1)"/>
      <w:lvlJc w:val="left"/>
      <w:pPr>
        <w:ind w:left="3686" w:firstLine="0"/>
      </w:pPr>
      <w:rPr>
        <w:u w:val="none"/>
      </w:rPr>
    </w:lvl>
    <w:lvl w:ilvl="1">
      <w:start w:val="1"/>
      <w:numFmt w:val="lowerRoman"/>
      <w:lvlText w:val="%2)"/>
      <w:lvlJc w:val="right"/>
      <w:pPr>
        <w:ind w:left="2999" w:hanging="360"/>
      </w:pPr>
      <w:rPr>
        <w:u w:val="none"/>
      </w:rPr>
    </w:lvl>
    <w:lvl w:ilvl="2">
      <w:start w:val="1"/>
      <w:numFmt w:val="decimal"/>
      <w:lvlText w:val="%3)"/>
      <w:lvlJc w:val="left"/>
      <w:pPr>
        <w:ind w:left="3719" w:hanging="360"/>
      </w:pPr>
      <w:rPr>
        <w:u w:val="none"/>
      </w:rPr>
    </w:lvl>
    <w:lvl w:ilvl="3">
      <w:start w:val="1"/>
      <w:numFmt w:val="lowerLetter"/>
      <w:lvlText w:val="(%4)"/>
      <w:lvlJc w:val="left"/>
      <w:pPr>
        <w:ind w:left="4439" w:hanging="360"/>
      </w:pPr>
      <w:rPr>
        <w:u w:val="none"/>
      </w:rPr>
    </w:lvl>
    <w:lvl w:ilvl="4">
      <w:start w:val="1"/>
      <w:numFmt w:val="lowerRoman"/>
      <w:lvlText w:val="(%5)"/>
      <w:lvlJc w:val="right"/>
      <w:pPr>
        <w:ind w:left="5159" w:hanging="360"/>
      </w:pPr>
      <w:rPr>
        <w:u w:val="none"/>
      </w:rPr>
    </w:lvl>
    <w:lvl w:ilvl="5">
      <w:start w:val="1"/>
      <w:numFmt w:val="decimal"/>
      <w:lvlText w:val="(%6)"/>
      <w:lvlJc w:val="left"/>
      <w:pPr>
        <w:ind w:left="5879" w:hanging="360"/>
      </w:pPr>
      <w:rPr>
        <w:u w:val="none"/>
      </w:rPr>
    </w:lvl>
    <w:lvl w:ilvl="6">
      <w:start w:val="1"/>
      <w:numFmt w:val="lowerLetter"/>
      <w:lvlText w:val="%7."/>
      <w:lvlJc w:val="left"/>
      <w:pPr>
        <w:ind w:left="6599" w:hanging="360"/>
      </w:pPr>
      <w:rPr>
        <w:u w:val="none"/>
      </w:rPr>
    </w:lvl>
    <w:lvl w:ilvl="7">
      <w:start w:val="1"/>
      <w:numFmt w:val="lowerRoman"/>
      <w:lvlText w:val="%8."/>
      <w:lvlJc w:val="right"/>
      <w:pPr>
        <w:ind w:left="7319" w:hanging="360"/>
      </w:pPr>
      <w:rPr>
        <w:u w:val="none"/>
      </w:rPr>
    </w:lvl>
    <w:lvl w:ilvl="8">
      <w:start w:val="1"/>
      <w:numFmt w:val="decimal"/>
      <w:lvlText w:val="%9."/>
      <w:lvlJc w:val="left"/>
      <w:pPr>
        <w:ind w:left="8039" w:hanging="360"/>
      </w:pPr>
      <w:rPr>
        <w:u w:val="none"/>
      </w:rPr>
    </w:lvl>
  </w:abstractNum>
  <w:abstractNum w:abstractNumId="3" w15:restartNumberingAfterBreak="0">
    <w:nsid w:val="78F221C0"/>
    <w:multiLevelType w:val="multilevel"/>
    <w:tmpl w:val="E1A88D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06E"/>
    <w:rsid w:val="0055106E"/>
    <w:rsid w:val="00B66986"/>
    <w:rsid w:val="00D45F2E"/>
    <w:rsid w:val="00F65F1D"/>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AB2CD"/>
  <w15:docId w15:val="{6F958002-DF22-4885-884F-04F8B2BB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FB79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79B6"/>
  </w:style>
  <w:style w:type="paragraph" w:styleId="Piedepgina">
    <w:name w:val="footer"/>
    <w:basedOn w:val="Normal"/>
    <w:link w:val="PiedepginaCar"/>
    <w:uiPriority w:val="99"/>
    <w:unhideWhenUsed/>
    <w:rsid w:val="00FB79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79B6"/>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T+h01wBH3a7jfPPjc3CSlN5GA==">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2612</Words>
  <Characters>14367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DELL</cp:lastModifiedBy>
  <cp:revision>2</cp:revision>
  <dcterms:created xsi:type="dcterms:W3CDTF">2026-03-12T14:03:00Z</dcterms:created>
  <dcterms:modified xsi:type="dcterms:W3CDTF">2026-03-12T14:03:00Z</dcterms:modified>
</cp:coreProperties>
</file>