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493D" w:rsidRDefault="00A601E5">
      <w:pPr>
        <w:spacing w:after="0" w:line="240" w:lineRule="auto"/>
        <w:jc w:val="both"/>
        <w:rPr>
          <w:rFonts w:ascii="Arial" w:eastAsia="Arial" w:hAnsi="Arial" w:cs="Arial"/>
          <w:b/>
          <w:bCs/>
        </w:rPr>
      </w:pPr>
      <w:r>
        <w:rPr>
          <w:rFonts w:ascii="Arial" w:eastAsia="Arial" w:hAnsi="Arial" w:cs="Arial"/>
          <w:b/>
          <w:bCs/>
        </w:rPr>
        <w:t>VISTO:</w:t>
      </w:r>
    </w:p>
    <w:p w:rsidR="0021493D" w:rsidRDefault="00A601E5">
      <w:pPr>
        <w:tabs>
          <w:tab w:val="left" w:pos="705"/>
        </w:tabs>
        <w:spacing w:after="0" w:line="240" w:lineRule="auto"/>
        <w:jc w:val="both"/>
        <w:rPr>
          <w:rFonts w:ascii="Arial" w:eastAsia="Arial" w:hAnsi="Arial" w:cs="Arial"/>
        </w:rPr>
      </w:pPr>
      <w:r>
        <w:rPr>
          <w:rFonts w:ascii="Arial" w:eastAsia="Arial" w:hAnsi="Arial" w:cs="Arial"/>
        </w:rPr>
        <w:tab/>
      </w:r>
    </w:p>
    <w:p w:rsidR="0021493D" w:rsidRDefault="00A601E5">
      <w:pPr>
        <w:tabs>
          <w:tab w:val="left" w:pos="705"/>
        </w:tabs>
        <w:spacing w:after="0" w:line="240" w:lineRule="auto"/>
        <w:jc w:val="both"/>
        <w:rPr>
          <w:rFonts w:ascii="Arial" w:eastAsia="Arial" w:hAnsi="Arial" w:cs="Arial"/>
        </w:rPr>
      </w:pPr>
      <w:r>
        <w:rPr>
          <w:rFonts w:ascii="Arial" w:eastAsia="Arial" w:hAnsi="Arial" w:cs="Arial"/>
        </w:rPr>
        <w:t xml:space="preserve">El Memorándum </w:t>
      </w:r>
      <w:proofErr w:type="spellStart"/>
      <w:r>
        <w:rPr>
          <w:rFonts w:ascii="Arial" w:eastAsia="Arial" w:hAnsi="Arial" w:cs="Arial"/>
        </w:rPr>
        <w:t>N°</w:t>
      </w:r>
      <w:proofErr w:type="spellEnd"/>
      <w:r>
        <w:rPr>
          <w:rFonts w:ascii="Arial" w:eastAsia="Arial" w:hAnsi="Arial" w:cs="Arial"/>
        </w:rPr>
        <w:t xml:space="preserve"> XXXX, por el cual se propone establecer un procedimiento regulatorio aplicable a medicamentos destinados al tratamiento de enfermedades raras.</w:t>
      </w:r>
    </w:p>
    <w:p w:rsidR="0021493D" w:rsidRDefault="00A601E5">
      <w:pPr>
        <w:spacing w:before="240" w:after="200" w:line="240" w:lineRule="auto"/>
        <w:jc w:val="both"/>
        <w:rPr>
          <w:rFonts w:ascii="Arial" w:eastAsia="Arial" w:hAnsi="Arial" w:cs="Arial"/>
          <w:b/>
          <w:bCs/>
        </w:rPr>
      </w:pPr>
      <w:r>
        <w:rPr>
          <w:rFonts w:ascii="Arial" w:eastAsia="Arial" w:hAnsi="Arial" w:cs="Arial"/>
          <w:b/>
          <w:bCs/>
        </w:rPr>
        <w:t>CONSIDERANDO:</w:t>
      </w:r>
    </w:p>
    <w:p w:rsidR="0021493D" w:rsidRDefault="00A601E5">
      <w:pPr>
        <w:spacing w:before="240" w:after="200" w:line="240" w:lineRule="auto"/>
        <w:ind w:firstLine="708"/>
        <w:jc w:val="both"/>
        <w:rPr>
          <w:rFonts w:ascii="Arial" w:eastAsia="Arial" w:hAnsi="Arial" w:cs="Arial"/>
        </w:rPr>
      </w:pPr>
      <w:r>
        <w:rPr>
          <w:rFonts w:ascii="Arial" w:eastAsia="Arial" w:hAnsi="Arial" w:cs="Arial"/>
        </w:rPr>
        <w:t>Que, la Constitución Nacional en su Artículo 72; Del Control de Calidad, establece: "El Estado velará por el control de calidad de los productos alimenticios, químicos, farmacéuticos y biológicos, en las etapas de producción, importación y comercialización".</w:t>
      </w:r>
    </w:p>
    <w:p w:rsidR="0021493D" w:rsidRDefault="00A601E5">
      <w:pPr>
        <w:spacing w:before="240" w:after="200" w:line="240" w:lineRule="auto"/>
        <w:ind w:firstLine="708"/>
        <w:jc w:val="both"/>
        <w:rPr>
          <w:rFonts w:ascii="Arial" w:eastAsia="Arial" w:hAnsi="Arial" w:cs="Arial"/>
        </w:rPr>
      </w:pPr>
      <w:r>
        <w:rPr>
          <w:rFonts w:ascii="Arial" w:eastAsia="Arial" w:hAnsi="Arial" w:cs="Arial"/>
        </w:rPr>
        <w:t xml:space="preserve">Que, la Ley </w:t>
      </w:r>
      <w:proofErr w:type="spellStart"/>
      <w:r>
        <w:rPr>
          <w:rFonts w:ascii="Arial" w:eastAsia="Arial" w:hAnsi="Arial" w:cs="Arial"/>
        </w:rPr>
        <w:t>N°</w:t>
      </w:r>
      <w:proofErr w:type="spellEnd"/>
      <w:r>
        <w:rPr>
          <w:rFonts w:ascii="Arial" w:eastAsia="Arial" w:hAnsi="Arial" w:cs="Arial"/>
        </w:rPr>
        <w:t xml:space="preserve"> 836/80 "Código Sanitario" en su artículo 3° dispone: "El Ministerio de Salud Pública y Bienestar Social, que en adelante se denominará el Ministerio, es la más alta dependencia del Estado competente en materia de salud y aspectos fundamentales del bienestar social".</w:t>
      </w:r>
    </w:p>
    <w:p w:rsidR="0021493D" w:rsidRDefault="00A601E5">
      <w:pPr>
        <w:spacing w:before="240" w:after="200" w:line="240" w:lineRule="auto"/>
        <w:ind w:firstLine="708"/>
        <w:jc w:val="both"/>
        <w:rPr>
          <w:rFonts w:ascii="Arial" w:eastAsia="Arial" w:hAnsi="Arial" w:cs="Arial"/>
        </w:rPr>
      </w:pPr>
      <w:r>
        <w:rPr>
          <w:rFonts w:ascii="Arial" w:eastAsia="Arial" w:hAnsi="Arial" w:cs="Arial"/>
        </w:rPr>
        <w:t xml:space="preserve">Que, la Ley </w:t>
      </w:r>
      <w:proofErr w:type="spellStart"/>
      <w:r>
        <w:rPr>
          <w:rFonts w:ascii="Arial" w:eastAsia="Arial" w:hAnsi="Arial" w:cs="Arial"/>
        </w:rPr>
        <w:t>N.°</w:t>
      </w:r>
      <w:proofErr w:type="spellEnd"/>
      <w:r>
        <w:rPr>
          <w:rFonts w:ascii="Arial" w:eastAsia="Arial" w:hAnsi="Arial" w:cs="Arial"/>
        </w:rPr>
        <w:t xml:space="preserve"> 1119/1997 “De productos para la salud y otros”, en su Artículo 1°, expresa: “1. La presente ley y sus correspondientes reglamentos regulan la fabricación, elaboración, fraccionamiento, control de calidad, distribución, prescripción, dispensación, comercialización, representación, importación, exportación, almacenamiento, uso racional, régimen de precios, información, publicidad, y la evaluación, autorización y registro de los medicamentos de uso humano, drogas, productos químicos, reactivos y todo otro producto de uso y aplicación en medicina humana, y los productos considerados como cosméticos y </w:t>
      </w:r>
      <w:proofErr w:type="spellStart"/>
      <w:r>
        <w:rPr>
          <w:rFonts w:ascii="Arial" w:eastAsia="Arial" w:hAnsi="Arial" w:cs="Arial"/>
        </w:rPr>
        <w:t>domisanitarios</w:t>
      </w:r>
      <w:proofErr w:type="spellEnd"/>
      <w:r>
        <w:rPr>
          <w:rFonts w:ascii="Arial" w:eastAsia="Arial" w:hAnsi="Arial" w:cs="Arial"/>
        </w:rPr>
        <w:t>. 2. También regula los principios, normas, criterios y exigencias básicas sobre la eficacia, seguridad y calidad de los productos objeto de esta ley, y la actuación de las personas físicas o jurídicas que intervienen en las actividades mencionadas en el párrafo anterior.”</w:t>
      </w:r>
    </w:p>
    <w:p w:rsidR="0021493D" w:rsidRDefault="00A601E5">
      <w:pPr>
        <w:spacing w:before="240" w:after="200" w:line="240" w:lineRule="auto"/>
        <w:ind w:firstLine="708"/>
        <w:jc w:val="both"/>
        <w:rPr>
          <w:rFonts w:ascii="Arial" w:eastAsia="Arial" w:hAnsi="Arial" w:cs="Arial"/>
        </w:rPr>
      </w:pPr>
      <w:r>
        <w:rPr>
          <w:rFonts w:ascii="Arial" w:eastAsia="Arial" w:hAnsi="Arial" w:cs="Arial"/>
        </w:rPr>
        <w:t xml:space="preserve">Que, la Ley </w:t>
      </w:r>
      <w:proofErr w:type="spellStart"/>
      <w:r>
        <w:rPr>
          <w:rFonts w:ascii="Arial" w:eastAsia="Arial" w:hAnsi="Arial" w:cs="Arial"/>
        </w:rPr>
        <w:t>N°</w:t>
      </w:r>
      <w:proofErr w:type="spellEnd"/>
      <w:r>
        <w:rPr>
          <w:rFonts w:ascii="Arial" w:eastAsia="Arial" w:hAnsi="Arial" w:cs="Arial"/>
        </w:rPr>
        <w:t xml:space="preserve"> 6788/2021 “Que establece la competencia, atribuciones, estructura orgánica de la Dirección Nacional de Vigilancia Sanitaria”, establece en el Artículo 3.°; “La Dirección Nacional de Vigilancia Sanitaria (DINAVISA), será considerada como la autoridad responsable en cuanto a las disposiciones relativas al ámbito de su competencia, a través de la ejecución de las políticas públicas diseñadas por el Ministerio de Salud Pública y Bienestar Social en su carácter de rector de la materia, el desarrollo de estrategias adecuadas, la regulación, control y fiscalización de los productos para la salud como medicamentos de uso humano, drogas, productos químicos, reactivos, dispositivos médicos y todo otro producto de uso y aplicación en medicina humana, así como los productos considerados como cosméticos, perfumes, </w:t>
      </w:r>
      <w:proofErr w:type="spellStart"/>
      <w:r>
        <w:rPr>
          <w:rFonts w:ascii="Arial" w:eastAsia="Arial" w:hAnsi="Arial" w:cs="Arial"/>
        </w:rPr>
        <w:t>domisanitarios</w:t>
      </w:r>
      <w:proofErr w:type="spellEnd"/>
      <w:r>
        <w:rPr>
          <w:rFonts w:ascii="Arial" w:eastAsia="Arial" w:hAnsi="Arial" w:cs="Arial"/>
        </w:rPr>
        <w:t xml:space="preserve"> y afines, y aquellos productos cuya regulación y control le sean asignados por Ley, así como el aseguramiento de su calidad, seguridad y eficacia, pudiendo sancionar las infracciones que se detecten.”</w:t>
      </w:r>
    </w:p>
    <w:p w:rsidR="0021493D" w:rsidRDefault="00A601E5">
      <w:pPr>
        <w:spacing w:before="240" w:after="200" w:line="240" w:lineRule="auto"/>
        <w:ind w:firstLine="708"/>
        <w:jc w:val="both"/>
        <w:rPr>
          <w:rFonts w:ascii="Arial" w:eastAsia="Arial" w:hAnsi="Arial" w:cs="Arial"/>
        </w:rPr>
      </w:pPr>
      <w:r>
        <w:rPr>
          <w:rFonts w:ascii="Arial" w:eastAsia="Arial" w:hAnsi="Arial" w:cs="Arial"/>
        </w:rPr>
        <w:lastRenderedPageBreak/>
        <w:t xml:space="preserve">Asimismo, en su Artículo 5°, la Ley 6788, dispone: “La Dirección Nacional de Vigilancia Sanitaria (DINAVISA), tiene por finalidad velar por la protección de la salud humana. A tal efecto deberá cumplir las siguientes funciones: </w:t>
      </w:r>
      <w:proofErr w:type="gramStart"/>
      <w:r>
        <w:rPr>
          <w:rFonts w:ascii="Arial" w:eastAsia="Arial" w:hAnsi="Arial" w:cs="Arial"/>
        </w:rPr>
        <w:t>a)…</w:t>
      </w:r>
      <w:proofErr w:type="gramEnd"/>
      <w:r>
        <w:rPr>
          <w:rFonts w:ascii="Arial" w:eastAsia="Arial" w:hAnsi="Arial" w:cs="Arial"/>
        </w:rPr>
        <w:t xml:space="preserve">b) Establecer normas, reglamentos técnicos, guías y códigos de buenas prácticas de las actividades relacionadas a los productos para la salud, cuya regulación y control le sean asignados por Ley, las que serán actualizadas de forma periódica y en concordancia con la evolución científica y tecnológica. c) Regular, controlar, fiscalizar los productos para la salud como medicamentos de uso humano, drogas, productos químicos, reactivos, dispositivos médicos y todo otro producto de uso y aplicación en medicina humana, así como los considerados productos de higiene de uso personal, cosméticos, perfumes y </w:t>
      </w:r>
      <w:proofErr w:type="spellStart"/>
      <w:r>
        <w:rPr>
          <w:rFonts w:ascii="Arial" w:eastAsia="Arial" w:hAnsi="Arial" w:cs="Arial"/>
        </w:rPr>
        <w:t>domisanitarios</w:t>
      </w:r>
      <w:proofErr w:type="spellEnd"/>
      <w:r>
        <w:rPr>
          <w:rFonts w:ascii="Arial" w:eastAsia="Arial" w:hAnsi="Arial" w:cs="Arial"/>
        </w:rPr>
        <w:t xml:space="preserve">, asegurando su calidad, seguridad y eficacia, cuya regulación y control le sean asignados por Ley. d) Regular y fiscalizar las actividades realizadas por las personas físicas o jurídicas que interviene durante las etapas de la fabricación, elaboración, fraccionamiento, control de calidad, distribución, prescripción, dispensación, comercialización, representación, importación, exportación, almacenamiento, uso racional, fijación de precios, información y publicidad de los productos para la salud como medicamentos de uso humano, drogas, productos químicos, reactivos, dispositivos médicos y todo otro producto de uso y aplicación de uso humano, así como los considerados de higiene personal, cosméticos, perfumes y </w:t>
      </w:r>
      <w:proofErr w:type="spellStart"/>
      <w:r>
        <w:rPr>
          <w:rFonts w:ascii="Arial" w:eastAsia="Arial" w:hAnsi="Arial" w:cs="Arial"/>
        </w:rPr>
        <w:t>domisanitarios</w:t>
      </w:r>
      <w:proofErr w:type="spellEnd"/>
      <w:r>
        <w:rPr>
          <w:rFonts w:ascii="Arial" w:eastAsia="Arial" w:hAnsi="Arial" w:cs="Arial"/>
        </w:rPr>
        <w:t xml:space="preserve">… ñ) Establecer reglamentaciones técnicas para la ejecución de cualquier    actividad de su competencia en todo el territorio nacional de acuerdo a las legislaciones pertinentes, siendo las mismas de acatamiento obligatorio por parte de toda persona física, jurídica y organismos públicos o privados sin excepción”. </w:t>
      </w:r>
    </w:p>
    <w:p w:rsidR="0021493D" w:rsidRDefault="00A601E5">
      <w:pPr>
        <w:spacing w:before="240" w:after="200" w:line="240" w:lineRule="auto"/>
        <w:ind w:firstLine="708"/>
        <w:jc w:val="both"/>
        <w:rPr>
          <w:rFonts w:ascii="Arial" w:eastAsia="Arial" w:hAnsi="Arial" w:cs="Arial"/>
        </w:rPr>
      </w:pPr>
      <w:r>
        <w:rPr>
          <w:rFonts w:ascii="Arial" w:eastAsia="Arial" w:hAnsi="Arial" w:cs="Arial"/>
        </w:rPr>
        <w:t>Que las enfermedades raras constituyen un grupo heterogéneo de patologías de baja prevalencia, generalmente graves, crónicas, debilitantes y potencialmente mortales, que representan una necesidad médica no cubierta para un número reducido de pacientes;</w:t>
      </w:r>
    </w:p>
    <w:p w:rsidR="0021493D" w:rsidRDefault="00A601E5">
      <w:pPr>
        <w:spacing w:before="240" w:after="200" w:line="240" w:lineRule="auto"/>
        <w:ind w:firstLine="708"/>
        <w:jc w:val="both"/>
        <w:rPr>
          <w:rFonts w:ascii="Arial" w:eastAsia="Arial" w:hAnsi="Arial" w:cs="Arial"/>
        </w:rPr>
      </w:pPr>
      <w:r>
        <w:rPr>
          <w:rFonts w:ascii="Arial" w:eastAsia="Arial" w:hAnsi="Arial" w:cs="Arial"/>
        </w:rPr>
        <w:t>Que los medicamentos destinados al tratamiento de enfermedades raras presentan particularidades en su desarrollo clínico, generación de evidencia y evaluación de beneficios y riesgos, que requieren un abordaje regulatorio diferenciado;</w:t>
      </w:r>
    </w:p>
    <w:p w:rsidR="0021493D" w:rsidRDefault="00A601E5">
      <w:pPr>
        <w:spacing w:before="240" w:after="200" w:line="240" w:lineRule="auto"/>
        <w:ind w:firstLine="708"/>
        <w:jc w:val="both"/>
        <w:rPr>
          <w:rFonts w:ascii="Arial" w:eastAsia="Arial" w:hAnsi="Arial" w:cs="Arial"/>
        </w:rPr>
      </w:pPr>
      <w:r>
        <w:rPr>
          <w:rFonts w:ascii="Arial" w:eastAsia="Arial" w:hAnsi="Arial" w:cs="Arial"/>
        </w:rPr>
        <w:t>Que resulta necesario establecer un procedimiento especial que permita el acceso oportuno a medicamentos para enfermedades raras que cuenten con evidencia clínica consolidada y aprobación por autoridades regulatorias de referencia, garantizando al mismo tiempo la protección de la salud pública;</w:t>
      </w:r>
    </w:p>
    <w:p w:rsidR="0021493D" w:rsidRDefault="00A601E5">
      <w:pPr>
        <w:spacing w:before="240" w:after="200" w:line="240" w:lineRule="auto"/>
        <w:ind w:firstLine="708"/>
        <w:jc w:val="both"/>
        <w:rPr>
          <w:rFonts w:ascii="Arial" w:eastAsia="Arial" w:hAnsi="Arial" w:cs="Arial"/>
        </w:rPr>
      </w:pPr>
      <w:r>
        <w:rPr>
          <w:rFonts w:ascii="Arial" w:eastAsia="Arial" w:hAnsi="Arial" w:cs="Arial"/>
        </w:rPr>
        <w:t>Que la DINAVISA considera prioritario limitar este procedimiento especial exclusivamente a medicamentos que cuenten con aprobación regulatoria plena y uso clínico en Fases III concluidos y Fase IV, excluyendo aquellos productos que se encuentren aún en fases de investigación clínica;</w:t>
      </w:r>
    </w:p>
    <w:p w:rsidR="0021493D" w:rsidRDefault="00A601E5">
      <w:pPr>
        <w:spacing w:before="240" w:after="200" w:line="240" w:lineRule="auto"/>
        <w:ind w:firstLine="708"/>
        <w:jc w:val="both"/>
        <w:rPr>
          <w:rFonts w:ascii="Arial" w:eastAsia="Arial" w:hAnsi="Arial" w:cs="Arial"/>
        </w:rPr>
      </w:pPr>
      <w:r>
        <w:rPr>
          <w:rFonts w:ascii="Arial" w:eastAsia="Arial" w:hAnsi="Arial" w:cs="Arial"/>
        </w:rPr>
        <w:lastRenderedPageBreak/>
        <w:t>Que la adopción de criterios de reconocimiento regulatorio basados en decisiones de autoridades sanitarias de referencia internacional fortalece la eficiencia del proceso evaluativo y reduce duplicaciones innecesarias, sin menoscabo de la soberanía regulatoria nacional;</w:t>
      </w:r>
    </w:p>
    <w:p w:rsidR="0021493D" w:rsidRDefault="00A601E5">
      <w:pPr>
        <w:spacing w:before="240" w:after="200" w:line="240" w:lineRule="auto"/>
        <w:ind w:firstLine="708"/>
        <w:jc w:val="both"/>
        <w:rPr>
          <w:rFonts w:ascii="Arial" w:eastAsia="Arial" w:hAnsi="Arial" w:cs="Arial"/>
          <w:i/>
          <w:iCs/>
        </w:rPr>
      </w:pPr>
      <w:r>
        <w:rPr>
          <w:rFonts w:ascii="Arial" w:eastAsia="Arial" w:hAnsi="Arial" w:cs="Arial"/>
        </w:rPr>
        <w:t>Que el establecimiento de un procedimiento especial para medicamentos destinados a enfermedades raras resulta consistente con los principios de equidad, acceso racional a la innovación terapéutica y uso eficiente de los recursos sanitarios;</w:t>
      </w:r>
    </w:p>
    <w:p w:rsidR="0021493D" w:rsidRDefault="00A601E5">
      <w:pPr>
        <w:spacing w:after="0" w:line="276" w:lineRule="auto"/>
        <w:ind w:firstLine="720"/>
        <w:jc w:val="both"/>
        <w:rPr>
          <w:rFonts w:ascii="Arial" w:eastAsia="Arial" w:hAnsi="Arial" w:cs="Arial"/>
        </w:rPr>
      </w:pPr>
      <w:r>
        <w:rPr>
          <w:rFonts w:ascii="Arial" w:eastAsia="Arial" w:hAnsi="Arial" w:cs="Arial"/>
        </w:rPr>
        <w:t xml:space="preserve">Que la Dirección General de Asuntos Legales se ha expedido favorablemente a la firma de la presente resolución según Dictamen DINAVISA DGAL </w:t>
      </w:r>
      <w:proofErr w:type="spellStart"/>
      <w:r>
        <w:rPr>
          <w:rFonts w:ascii="Arial" w:eastAsia="Arial" w:hAnsi="Arial" w:cs="Arial"/>
        </w:rPr>
        <w:t>N°</w:t>
      </w:r>
      <w:proofErr w:type="spellEnd"/>
      <w:r>
        <w:rPr>
          <w:rFonts w:ascii="Arial" w:eastAsia="Arial" w:hAnsi="Arial" w:cs="Arial"/>
        </w:rPr>
        <w:t xml:space="preserve"> </w:t>
      </w:r>
      <w:proofErr w:type="spellStart"/>
      <w:r>
        <w:rPr>
          <w:rFonts w:ascii="Arial" w:eastAsia="Arial" w:hAnsi="Arial" w:cs="Arial"/>
        </w:rPr>
        <w:t>xxxx</w:t>
      </w:r>
      <w:proofErr w:type="spellEnd"/>
      <w:r>
        <w:rPr>
          <w:rFonts w:ascii="Arial" w:eastAsia="Arial" w:hAnsi="Arial" w:cs="Arial"/>
        </w:rPr>
        <w:t xml:space="preserve">, de fecha 26 de </w:t>
      </w:r>
      <w:proofErr w:type="spellStart"/>
      <w:r w:rsidR="002A07FF">
        <w:rPr>
          <w:rFonts w:ascii="Arial" w:eastAsia="Arial" w:hAnsi="Arial" w:cs="Arial"/>
        </w:rPr>
        <w:t>xxxx</w:t>
      </w:r>
      <w:proofErr w:type="spellEnd"/>
      <w:r>
        <w:rPr>
          <w:rFonts w:ascii="Arial" w:eastAsia="Arial" w:hAnsi="Arial" w:cs="Arial"/>
        </w:rPr>
        <w:t xml:space="preserve"> de 202</w:t>
      </w:r>
      <w:r w:rsidR="002A07FF">
        <w:rPr>
          <w:rFonts w:ascii="Arial" w:eastAsia="Arial" w:hAnsi="Arial" w:cs="Arial"/>
        </w:rPr>
        <w:t>6</w:t>
      </w:r>
      <w:r>
        <w:rPr>
          <w:rFonts w:ascii="Arial" w:eastAsia="Arial" w:hAnsi="Arial" w:cs="Arial"/>
        </w:rPr>
        <w:t>.</w:t>
      </w:r>
    </w:p>
    <w:p w:rsidR="0021493D" w:rsidRDefault="00A601E5">
      <w:pPr>
        <w:spacing w:after="0" w:line="276" w:lineRule="auto"/>
        <w:ind w:firstLine="720"/>
        <w:jc w:val="both"/>
        <w:rPr>
          <w:rFonts w:ascii="Arial" w:eastAsia="Arial" w:hAnsi="Arial" w:cs="Arial"/>
        </w:rPr>
      </w:pPr>
      <w:r>
        <w:rPr>
          <w:rFonts w:ascii="Arial" w:eastAsia="Arial" w:hAnsi="Arial" w:cs="Arial"/>
        </w:rPr>
        <w:t xml:space="preserve"> </w:t>
      </w:r>
    </w:p>
    <w:p w:rsidR="0021493D" w:rsidRDefault="00A601E5">
      <w:pPr>
        <w:spacing w:after="0" w:line="240" w:lineRule="auto"/>
        <w:ind w:right="-2" w:firstLine="708"/>
        <w:jc w:val="both"/>
        <w:rPr>
          <w:rFonts w:ascii="Arial" w:eastAsia="Arial" w:hAnsi="Arial" w:cs="Arial"/>
        </w:rPr>
      </w:pPr>
      <w:r>
        <w:rPr>
          <w:rFonts w:ascii="Arial" w:eastAsia="Arial" w:hAnsi="Arial" w:cs="Arial"/>
          <w:b/>
          <w:bCs/>
        </w:rPr>
        <w:t>POR TANTO</w:t>
      </w:r>
      <w:r>
        <w:rPr>
          <w:rFonts w:ascii="Arial" w:eastAsia="Arial" w:hAnsi="Arial" w:cs="Arial"/>
        </w:rPr>
        <w:t>, en mérito a las consideraciones que anteceden y a las disposiciones legales y doctrinarias citadas, en ejercicio de sus atribuciones legales;</w:t>
      </w:r>
    </w:p>
    <w:p w:rsidR="0021493D" w:rsidRDefault="0021493D">
      <w:pPr>
        <w:spacing w:after="0" w:line="240" w:lineRule="auto"/>
        <w:ind w:right="-2"/>
        <w:jc w:val="both"/>
        <w:rPr>
          <w:rFonts w:ascii="Arial" w:eastAsia="Arial" w:hAnsi="Arial" w:cs="Arial"/>
        </w:rPr>
      </w:pPr>
    </w:p>
    <w:p w:rsidR="0021493D" w:rsidRDefault="00A601E5">
      <w:pPr>
        <w:spacing w:after="0" w:line="240" w:lineRule="auto"/>
        <w:ind w:right="-2" w:hanging="2"/>
        <w:jc w:val="center"/>
        <w:rPr>
          <w:rFonts w:ascii="Arial" w:eastAsia="Arial" w:hAnsi="Arial" w:cs="Arial"/>
          <w:b/>
          <w:bCs/>
        </w:rPr>
      </w:pPr>
      <w:r>
        <w:rPr>
          <w:rFonts w:ascii="Arial" w:eastAsia="Arial" w:hAnsi="Arial" w:cs="Arial"/>
          <w:b/>
          <w:bCs/>
        </w:rPr>
        <w:t>EL DIRECTOR NACIONAL INTERINO DE LA DIRECCIÓN NACIONAL DE VIGILANCIA SANITARIA</w:t>
      </w:r>
    </w:p>
    <w:p w:rsidR="0021493D" w:rsidRDefault="0021493D">
      <w:pPr>
        <w:spacing w:after="0" w:line="240" w:lineRule="auto"/>
        <w:ind w:right="-141"/>
        <w:jc w:val="center"/>
        <w:rPr>
          <w:rFonts w:ascii="Arial" w:eastAsia="Arial" w:hAnsi="Arial" w:cs="Arial"/>
          <w:b/>
          <w:bCs/>
        </w:rPr>
      </w:pPr>
    </w:p>
    <w:p w:rsidR="0021493D" w:rsidRDefault="00A601E5">
      <w:pPr>
        <w:spacing w:after="0" w:line="240" w:lineRule="auto"/>
        <w:jc w:val="center"/>
        <w:rPr>
          <w:rFonts w:ascii="Arial" w:eastAsia="Arial" w:hAnsi="Arial" w:cs="Arial"/>
          <w:b/>
          <w:bCs/>
        </w:rPr>
      </w:pPr>
      <w:r>
        <w:rPr>
          <w:rFonts w:ascii="Arial" w:eastAsia="Arial" w:hAnsi="Arial" w:cs="Arial"/>
          <w:b/>
          <w:bCs/>
        </w:rPr>
        <w:t>RESUELVE:</w:t>
      </w:r>
    </w:p>
    <w:p w:rsidR="0021493D" w:rsidRDefault="0021493D">
      <w:pPr>
        <w:spacing w:after="0" w:line="240" w:lineRule="auto"/>
        <w:jc w:val="center"/>
        <w:rPr>
          <w:rFonts w:ascii="Arial" w:eastAsia="Arial" w:hAnsi="Arial" w:cs="Arial"/>
          <w:b/>
          <w:bCs/>
        </w:rPr>
      </w:pPr>
    </w:p>
    <w:p w:rsidR="0021493D" w:rsidRDefault="00A601E5">
      <w:pPr>
        <w:spacing w:after="120" w:line="240" w:lineRule="auto"/>
        <w:ind w:left="1418" w:hanging="1418"/>
        <w:jc w:val="both"/>
        <w:rPr>
          <w:rFonts w:ascii="Arial" w:eastAsia="Arial" w:hAnsi="Arial" w:cs="Arial"/>
        </w:rPr>
      </w:pPr>
      <w:bookmarkStart w:id="0" w:name="_heading=h.mbwbmju0m33q" w:colFirst="0" w:colLast="0"/>
      <w:bookmarkEnd w:id="0"/>
      <w:r>
        <w:rPr>
          <w:rFonts w:ascii="Arial" w:eastAsia="Arial" w:hAnsi="Arial" w:cs="Arial"/>
          <w:b/>
          <w:bCs/>
        </w:rPr>
        <w:t>Artículo 1</w:t>
      </w:r>
      <w:proofErr w:type="gramStart"/>
      <w:r>
        <w:rPr>
          <w:rFonts w:ascii="Arial" w:eastAsia="Arial" w:hAnsi="Arial" w:cs="Arial"/>
          <w:b/>
          <w:bCs/>
        </w:rPr>
        <w:t>°.-</w:t>
      </w:r>
      <w:proofErr w:type="gramEnd"/>
      <w:r>
        <w:rPr>
          <w:rFonts w:ascii="Arial" w:eastAsia="Arial" w:hAnsi="Arial" w:cs="Arial"/>
          <w:b/>
          <w:bCs/>
        </w:rPr>
        <w:tab/>
      </w:r>
      <w:r>
        <w:rPr>
          <w:rFonts w:ascii="Arial" w:eastAsia="Arial" w:hAnsi="Arial" w:cs="Arial"/>
        </w:rPr>
        <w:t>Establécese el Procedimiento específico para la Evaluación, Autorización y Registro Sanitario de medicamentos destinados al tratamiento de enfermedades raras, así como los requisitos, condiciones y obligaciones que deberán cumplir los solicitantes conforme a la presente Resolución.</w:t>
      </w:r>
    </w:p>
    <w:p w:rsidR="0021493D" w:rsidRDefault="00A601E5">
      <w:pPr>
        <w:spacing w:after="120" w:line="240" w:lineRule="auto"/>
        <w:ind w:left="1418" w:hanging="1418"/>
        <w:jc w:val="both"/>
        <w:rPr>
          <w:rFonts w:ascii="Arial" w:eastAsia="Arial" w:hAnsi="Arial" w:cs="Arial"/>
          <w:b/>
          <w:bCs/>
        </w:rPr>
      </w:pPr>
      <w:r>
        <w:rPr>
          <w:rFonts w:ascii="Arial" w:eastAsia="Arial" w:hAnsi="Arial" w:cs="Arial"/>
          <w:b/>
          <w:bCs/>
        </w:rPr>
        <w:t>Artículo 2</w:t>
      </w:r>
      <w:proofErr w:type="gramStart"/>
      <w:r>
        <w:rPr>
          <w:rFonts w:ascii="Arial" w:eastAsia="Arial" w:hAnsi="Arial" w:cs="Arial"/>
          <w:b/>
          <w:bCs/>
        </w:rPr>
        <w:t>°.-</w:t>
      </w:r>
      <w:proofErr w:type="gramEnd"/>
      <w:r>
        <w:rPr>
          <w:rFonts w:ascii="Arial" w:eastAsia="Arial" w:hAnsi="Arial" w:cs="Arial"/>
          <w:b/>
          <w:bCs/>
        </w:rPr>
        <w:tab/>
      </w:r>
      <w:r>
        <w:rPr>
          <w:rFonts w:ascii="Arial" w:eastAsia="Arial" w:hAnsi="Arial" w:cs="Arial"/>
        </w:rPr>
        <w:t>Disponer que, para la emisión del Registro Sanitario de medicamentos destinados al tratamiento de enfermedades raras, los productos deben reunir las siguientes condiciones:</w:t>
      </w:r>
    </w:p>
    <w:p w:rsidR="0021493D" w:rsidRDefault="00A601E5">
      <w:pPr>
        <w:spacing w:after="120" w:line="240" w:lineRule="auto"/>
        <w:ind w:left="1418"/>
        <w:jc w:val="both"/>
        <w:rPr>
          <w:rFonts w:ascii="Arial" w:eastAsia="Arial" w:hAnsi="Arial" w:cs="Arial"/>
        </w:rPr>
      </w:pPr>
      <w:r>
        <w:rPr>
          <w:rFonts w:ascii="Arial" w:eastAsia="Arial" w:hAnsi="Arial" w:cs="Arial"/>
        </w:rPr>
        <w:t>a)</w:t>
      </w:r>
      <w:r>
        <w:rPr>
          <w:rFonts w:ascii="Arial" w:eastAsia="Arial" w:hAnsi="Arial" w:cs="Arial"/>
        </w:rPr>
        <w:tab/>
        <w:t>Estar destinados al tratamiento de enfermedades poco frecuentes, cuya prevalencia en la población sea igual o inferior a uno en dos mil (1 en 2000) personas, referida a la situación epidemiológica nacional o internacional para las cuales no existan tratamientos disponibles en el país.</w:t>
      </w:r>
    </w:p>
    <w:p w:rsidR="0021493D" w:rsidRDefault="00A601E5">
      <w:pPr>
        <w:spacing w:after="120" w:line="240" w:lineRule="auto"/>
        <w:ind w:left="1418"/>
        <w:jc w:val="both"/>
        <w:rPr>
          <w:rFonts w:ascii="Arial" w:eastAsia="Arial" w:hAnsi="Arial" w:cs="Arial"/>
        </w:rPr>
      </w:pPr>
      <w:r>
        <w:rPr>
          <w:rFonts w:ascii="Arial" w:eastAsia="Arial" w:hAnsi="Arial" w:cs="Arial"/>
        </w:rPr>
        <w:t>b)</w:t>
      </w:r>
      <w:r>
        <w:rPr>
          <w:rFonts w:ascii="Arial" w:eastAsia="Arial" w:hAnsi="Arial" w:cs="Arial"/>
        </w:rPr>
        <w:tab/>
        <w:t>Deben contar con ensayos clínicos fase III concluidos y/o Fase IV. los cuáles serán evaluados y aprobados por la Dirección Nacional de Vigilancia Sanitaria (DINAVISA).</w:t>
      </w:r>
    </w:p>
    <w:p w:rsidR="0021493D" w:rsidRDefault="00A601E5">
      <w:pPr>
        <w:spacing w:after="120" w:line="240" w:lineRule="auto"/>
        <w:ind w:left="1418" w:hanging="1418"/>
        <w:jc w:val="both"/>
        <w:rPr>
          <w:rFonts w:ascii="Arial" w:eastAsia="Arial" w:hAnsi="Arial" w:cs="Arial"/>
        </w:rPr>
      </w:pPr>
      <w:bookmarkStart w:id="1" w:name="_GoBack"/>
      <w:bookmarkEnd w:id="1"/>
      <w:r>
        <w:rPr>
          <w:rFonts w:ascii="Arial" w:eastAsia="Arial" w:hAnsi="Arial" w:cs="Arial"/>
          <w:b/>
          <w:bCs/>
        </w:rPr>
        <w:t>Artículo 3°.-</w:t>
      </w:r>
      <w:r>
        <w:rPr>
          <w:rFonts w:ascii="Arial" w:eastAsia="Arial" w:hAnsi="Arial" w:cs="Arial"/>
          <w:b/>
          <w:bCs/>
        </w:rPr>
        <w:tab/>
      </w:r>
      <w:r>
        <w:rPr>
          <w:rFonts w:ascii="Arial" w:eastAsia="Arial" w:hAnsi="Arial" w:cs="Arial"/>
        </w:rPr>
        <w:t>Disponer que los solicitantes del Registro Sanitario de medicamentos destinados para el tratamiento de enfermedades raras, deberán dar cumplimiento a lo siguiente:</w:t>
      </w:r>
    </w:p>
    <w:p w:rsidR="0021493D" w:rsidRDefault="00A601E5">
      <w:pPr>
        <w:numPr>
          <w:ilvl w:val="0"/>
          <w:numId w:val="1"/>
        </w:numPr>
        <w:spacing w:after="0" w:line="240" w:lineRule="auto"/>
        <w:jc w:val="both"/>
        <w:rPr>
          <w:rFonts w:ascii="Arial" w:eastAsia="Arial" w:hAnsi="Arial" w:cs="Arial"/>
        </w:rPr>
      </w:pPr>
      <w:r>
        <w:rPr>
          <w:rFonts w:ascii="Arial" w:eastAsia="Arial" w:hAnsi="Arial" w:cs="Arial"/>
        </w:rPr>
        <w:lastRenderedPageBreak/>
        <w:t>Presentar toda la documentación requerida por el Documento Técnico Común (CTD), previsto en la guía M4 de la Conferencia Internacional sobre Armonización (ICH), la cual será verificada por la DINAVISA siguiendo el orden previsto en dicho documento.</w:t>
      </w:r>
    </w:p>
    <w:p w:rsidR="0021493D" w:rsidRDefault="00A601E5">
      <w:pPr>
        <w:numPr>
          <w:ilvl w:val="0"/>
          <w:numId w:val="1"/>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Poder de Representación legalizado o apostillado, otorgado al titular de registro local por el fabricante.</w:t>
      </w:r>
    </w:p>
    <w:p w:rsidR="0021493D" w:rsidRDefault="00A601E5">
      <w:pPr>
        <w:numPr>
          <w:ilvl w:val="0"/>
          <w:numId w:val="1"/>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Plan de Gestión de Riesgos (PGR) o documento equivalente, conforme a lo establecido en la Resolución DINAVISA </w:t>
      </w:r>
      <w:proofErr w:type="spellStart"/>
      <w:r>
        <w:rPr>
          <w:rFonts w:ascii="Arial" w:eastAsia="Arial" w:hAnsi="Arial" w:cs="Arial"/>
        </w:rPr>
        <w:t>N°</w:t>
      </w:r>
      <w:proofErr w:type="spellEnd"/>
      <w:r>
        <w:rPr>
          <w:rFonts w:ascii="Arial" w:eastAsia="Arial" w:hAnsi="Arial" w:cs="Arial"/>
        </w:rPr>
        <w:t xml:space="preserve"> 340/2024 o sus actualizaciones. Este plan incluirá el registro de pacientes tratados con el medicamento y el circuito de prescripción/dispensación, contribuyendo a la retroalimentación de bases de datos de eficacia y seguridad nacionales e internacionales.</w:t>
      </w:r>
    </w:p>
    <w:p w:rsidR="0021493D" w:rsidRDefault="00A601E5">
      <w:pPr>
        <w:numPr>
          <w:ilvl w:val="0"/>
          <w:numId w:val="1"/>
        </w:numPr>
        <w:pBdr>
          <w:top w:val="nil"/>
          <w:left w:val="nil"/>
          <w:bottom w:val="nil"/>
          <w:right w:val="nil"/>
          <w:between w:val="nil"/>
        </w:pBdr>
        <w:spacing w:after="120" w:line="240" w:lineRule="auto"/>
        <w:jc w:val="both"/>
        <w:rPr>
          <w:rFonts w:ascii="Arial" w:eastAsia="Arial" w:hAnsi="Arial" w:cs="Arial"/>
        </w:rPr>
      </w:pPr>
      <w:r>
        <w:rPr>
          <w:rFonts w:ascii="Arial" w:eastAsia="Arial" w:hAnsi="Arial" w:cs="Arial"/>
        </w:rPr>
        <w:t xml:space="preserve">Contar con un documento oficial emitido por una Autoridad Reguladora de Referencia para el </w:t>
      </w:r>
      <w:proofErr w:type="spellStart"/>
      <w:r>
        <w:rPr>
          <w:rFonts w:ascii="Arial" w:eastAsia="Arial" w:hAnsi="Arial" w:cs="Arial"/>
          <w:i/>
          <w:iCs/>
        </w:rPr>
        <w:t>Reliance</w:t>
      </w:r>
      <w:proofErr w:type="spellEnd"/>
      <w:r>
        <w:rPr>
          <w:rFonts w:ascii="Arial" w:eastAsia="Arial" w:hAnsi="Arial" w:cs="Arial"/>
        </w:rPr>
        <w:t>, en el cual se apruebe al medicamento como "medicamento huérfano" o destinado para el diagnóstico, prevención y/o tratamiento de Enfermedades Poco Frecuentes, raras y/o Enfermedades Serias sin tratamientos disponibles eficaces y seguros, o que sean inadecuados.</w:t>
      </w:r>
    </w:p>
    <w:p w:rsidR="0021493D" w:rsidRDefault="00A601E5">
      <w:pPr>
        <w:spacing w:after="120" w:line="240" w:lineRule="auto"/>
        <w:ind w:left="1418" w:hanging="1418"/>
        <w:jc w:val="both"/>
        <w:rPr>
          <w:rFonts w:ascii="Arial" w:eastAsia="Arial" w:hAnsi="Arial" w:cs="Arial"/>
          <w:b/>
          <w:bCs/>
        </w:rPr>
      </w:pPr>
      <w:r>
        <w:rPr>
          <w:rFonts w:ascii="Arial" w:eastAsia="Arial" w:hAnsi="Arial" w:cs="Arial"/>
          <w:b/>
          <w:bCs/>
        </w:rPr>
        <w:t>Artículo 4</w:t>
      </w:r>
      <w:proofErr w:type="gramStart"/>
      <w:r>
        <w:rPr>
          <w:rFonts w:ascii="Arial" w:eastAsia="Arial" w:hAnsi="Arial" w:cs="Arial"/>
          <w:b/>
          <w:bCs/>
        </w:rPr>
        <w:t>°.-</w:t>
      </w:r>
      <w:proofErr w:type="gramEnd"/>
      <w:r>
        <w:rPr>
          <w:rFonts w:ascii="Arial" w:eastAsia="Arial" w:hAnsi="Arial" w:cs="Arial"/>
          <w:b/>
          <w:bCs/>
        </w:rPr>
        <w:t xml:space="preserve"> </w:t>
      </w:r>
      <w:r>
        <w:rPr>
          <w:rFonts w:ascii="Arial" w:eastAsia="Arial" w:hAnsi="Arial" w:cs="Arial"/>
          <w:b/>
          <w:bCs/>
        </w:rPr>
        <w:tab/>
      </w:r>
      <w:r>
        <w:rPr>
          <w:rFonts w:ascii="Arial" w:eastAsia="Arial" w:hAnsi="Arial" w:cs="Arial"/>
        </w:rPr>
        <w:t>Disponer que quedan expresamente excluidos del ámbito de aplicación de la presente Resolución los medicamentos en investigación clínica en curso o</w:t>
      </w:r>
      <w:r>
        <w:rPr>
          <w:rFonts w:ascii="Arial" w:eastAsia="Arial" w:hAnsi="Arial" w:cs="Arial"/>
          <w:b/>
          <w:bCs/>
        </w:rPr>
        <w:t xml:space="preserve"> </w:t>
      </w:r>
      <w:r>
        <w:rPr>
          <w:rFonts w:ascii="Arial" w:eastAsia="Arial" w:hAnsi="Arial" w:cs="Arial"/>
        </w:rPr>
        <w:t xml:space="preserve">autorizados por vías excepcionales, contempladas en las Resoluciones DINAVISA </w:t>
      </w:r>
      <w:proofErr w:type="spellStart"/>
      <w:r>
        <w:rPr>
          <w:rFonts w:ascii="Arial" w:eastAsia="Arial" w:hAnsi="Arial" w:cs="Arial"/>
        </w:rPr>
        <w:t>N°</w:t>
      </w:r>
      <w:proofErr w:type="spellEnd"/>
      <w:r>
        <w:rPr>
          <w:rFonts w:ascii="Arial" w:eastAsia="Arial" w:hAnsi="Arial" w:cs="Arial"/>
        </w:rPr>
        <w:t xml:space="preserve"> 203/2025 y </w:t>
      </w:r>
      <w:proofErr w:type="spellStart"/>
      <w:r>
        <w:rPr>
          <w:rFonts w:ascii="Arial" w:eastAsia="Arial" w:hAnsi="Arial" w:cs="Arial"/>
        </w:rPr>
        <w:t>N°</w:t>
      </w:r>
      <w:proofErr w:type="spellEnd"/>
      <w:r>
        <w:rPr>
          <w:rFonts w:ascii="Arial" w:eastAsia="Arial" w:hAnsi="Arial" w:cs="Arial"/>
        </w:rPr>
        <w:t xml:space="preserve"> 189/2025 o las que las actualicen o reemplacen.</w:t>
      </w:r>
    </w:p>
    <w:p w:rsidR="0021493D" w:rsidRDefault="00A601E5">
      <w:pPr>
        <w:spacing w:after="120" w:line="240" w:lineRule="auto"/>
        <w:ind w:left="1418" w:hanging="1418"/>
        <w:jc w:val="both"/>
        <w:rPr>
          <w:rFonts w:ascii="Arial" w:eastAsia="Arial" w:hAnsi="Arial" w:cs="Arial"/>
        </w:rPr>
      </w:pPr>
      <w:r>
        <w:rPr>
          <w:rFonts w:ascii="Arial" w:eastAsia="Arial" w:hAnsi="Arial" w:cs="Arial"/>
          <w:b/>
          <w:bCs/>
        </w:rPr>
        <w:t>Artículo 5</w:t>
      </w:r>
      <w:proofErr w:type="gramStart"/>
      <w:r>
        <w:rPr>
          <w:rFonts w:ascii="Arial" w:eastAsia="Arial" w:hAnsi="Arial" w:cs="Arial"/>
          <w:b/>
          <w:bCs/>
        </w:rPr>
        <w:t>°.-</w:t>
      </w:r>
      <w:proofErr w:type="gramEnd"/>
      <w:r>
        <w:rPr>
          <w:rFonts w:ascii="Arial" w:eastAsia="Arial" w:hAnsi="Arial" w:cs="Arial"/>
          <w:b/>
          <w:bCs/>
        </w:rPr>
        <w:t xml:space="preserve"> </w:t>
      </w:r>
      <w:r>
        <w:rPr>
          <w:rFonts w:ascii="Arial" w:eastAsia="Arial" w:hAnsi="Arial" w:cs="Arial"/>
          <w:b/>
          <w:bCs/>
        </w:rPr>
        <w:tab/>
      </w:r>
      <w:r>
        <w:rPr>
          <w:rFonts w:ascii="Arial" w:eastAsia="Arial" w:hAnsi="Arial" w:cs="Arial"/>
        </w:rPr>
        <w:t>La DINAVISA realizará una evaluación técnica de la documentación presentada por el solicitante, verificando el cumplimiento de los requisitos establecidos en los artículos precedentes de la presente Resolución. El proceso tendrá un plazo no superior a ciento ochenta (180) días hábiles a partir de la presentación de la solicitud de Registro Sanitario, quedando suspendido el plazo cada vez que la documentación sea devuelta al solicitante.</w:t>
      </w:r>
    </w:p>
    <w:p w:rsidR="0021493D" w:rsidRDefault="00A601E5">
      <w:pPr>
        <w:spacing w:after="120" w:line="240" w:lineRule="auto"/>
        <w:ind w:left="1418" w:hanging="1418"/>
        <w:jc w:val="both"/>
        <w:rPr>
          <w:rFonts w:ascii="Arial" w:eastAsia="Arial" w:hAnsi="Arial" w:cs="Arial"/>
        </w:rPr>
      </w:pPr>
      <w:r>
        <w:rPr>
          <w:rFonts w:ascii="Arial" w:eastAsia="Arial" w:hAnsi="Arial" w:cs="Arial"/>
          <w:b/>
          <w:bCs/>
        </w:rPr>
        <w:t>Artículo 6</w:t>
      </w:r>
      <w:proofErr w:type="gramStart"/>
      <w:r>
        <w:rPr>
          <w:rFonts w:ascii="Arial" w:eastAsia="Arial" w:hAnsi="Arial" w:cs="Arial"/>
          <w:b/>
          <w:bCs/>
        </w:rPr>
        <w:t>°.-</w:t>
      </w:r>
      <w:proofErr w:type="gramEnd"/>
      <w:r>
        <w:rPr>
          <w:rFonts w:ascii="Arial" w:eastAsia="Arial" w:hAnsi="Arial" w:cs="Arial"/>
          <w:b/>
          <w:bCs/>
        </w:rPr>
        <w:tab/>
      </w:r>
      <w:r>
        <w:rPr>
          <w:rFonts w:ascii="Arial" w:eastAsia="Arial" w:hAnsi="Arial" w:cs="Arial"/>
        </w:rPr>
        <w:t>Disponer que la DINAVISA evaluará la solicitud basándose en:</w:t>
      </w:r>
    </w:p>
    <w:p w:rsidR="0021493D" w:rsidRDefault="00A601E5">
      <w:pPr>
        <w:spacing w:after="120" w:line="240" w:lineRule="auto"/>
        <w:ind w:left="1418"/>
        <w:jc w:val="both"/>
        <w:rPr>
          <w:rFonts w:ascii="Arial" w:eastAsia="Arial" w:hAnsi="Arial" w:cs="Arial"/>
        </w:rPr>
      </w:pPr>
      <w:r>
        <w:rPr>
          <w:rFonts w:ascii="Arial" w:eastAsia="Arial" w:hAnsi="Arial" w:cs="Arial"/>
        </w:rPr>
        <w:t>a) La documentación presentada;</w:t>
      </w:r>
    </w:p>
    <w:p w:rsidR="0021493D" w:rsidRDefault="00A601E5">
      <w:pPr>
        <w:spacing w:after="120" w:line="240" w:lineRule="auto"/>
        <w:ind w:left="1418"/>
        <w:jc w:val="both"/>
        <w:rPr>
          <w:rFonts w:ascii="Arial" w:eastAsia="Arial" w:hAnsi="Arial" w:cs="Arial"/>
        </w:rPr>
      </w:pPr>
      <w:r>
        <w:rPr>
          <w:rFonts w:ascii="Arial" w:eastAsia="Arial" w:hAnsi="Arial" w:cs="Arial"/>
        </w:rPr>
        <w:t>b) Los informes emitidos por las autoridades regulatorias de referencia;</w:t>
      </w:r>
    </w:p>
    <w:p w:rsidR="0021493D" w:rsidRDefault="00A601E5">
      <w:pPr>
        <w:spacing w:after="120" w:line="240" w:lineRule="auto"/>
        <w:ind w:left="1418"/>
        <w:jc w:val="both"/>
        <w:rPr>
          <w:rFonts w:ascii="Arial" w:eastAsia="Arial" w:hAnsi="Arial" w:cs="Arial"/>
        </w:rPr>
      </w:pPr>
      <w:r>
        <w:rPr>
          <w:rFonts w:ascii="Arial" w:eastAsia="Arial" w:hAnsi="Arial" w:cs="Arial"/>
        </w:rPr>
        <w:t>c) La información adicional que estime necesaria en función de la protección de la salud pública.</w:t>
      </w:r>
    </w:p>
    <w:p w:rsidR="0021493D" w:rsidRDefault="00A601E5">
      <w:pPr>
        <w:spacing w:after="120" w:line="240" w:lineRule="auto"/>
        <w:ind w:left="1418"/>
        <w:jc w:val="both"/>
        <w:rPr>
          <w:rFonts w:ascii="Arial" w:eastAsia="Arial" w:hAnsi="Arial" w:cs="Arial"/>
        </w:rPr>
      </w:pPr>
      <w:r>
        <w:rPr>
          <w:rFonts w:ascii="Arial" w:eastAsia="Arial" w:hAnsi="Arial" w:cs="Arial"/>
        </w:rPr>
        <w:t>La DINAVISA podrá adoptar, reconocer o integrar los informes técnicos de autoridades reguladoras de referencia (</w:t>
      </w:r>
      <w:proofErr w:type="spellStart"/>
      <w:r>
        <w:rPr>
          <w:rFonts w:ascii="Arial" w:eastAsia="Arial" w:hAnsi="Arial" w:cs="Arial"/>
          <w:i/>
          <w:iCs/>
        </w:rPr>
        <w:t>reliance</w:t>
      </w:r>
      <w:proofErr w:type="spellEnd"/>
      <w:r>
        <w:rPr>
          <w:rFonts w:ascii="Arial" w:eastAsia="Arial" w:hAnsi="Arial" w:cs="Arial"/>
        </w:rPr>
        <w:t xml:space="preserve">), conforme a la Ley </w:t>
      </w:r>
      <w:proofErr w:type="spellStart"/>
      <w:r>
        <w:rPr>
          <w:rFonts w:ascii="Arial" w:eastAsia="Arial" w:hAnsi="Arial" w:cs="Arial"/>
        </w:rPr>
        <w:t>N°</w:t>
      </w:r>
      <w:proofErr w:type="spellEnd"/>
      <w:r>
        <w:rPr>
          <w:rFonts w:ascii="Arial" w:eastAsia="Arial" w:hAnsi="Arial" w:cs="Arial"/>
        </w:rPr>
        <w:t xml:space="preserve"> 7256/2024 o sus actualizaciones.</w:t>
      </w:r>
    </w:p>
    <w:p w:rsidR="0021493D" w:rsidRDefault="00A601E5">
      <w:pPr>
        <w:spacing w:after="120" w:line="240" w:lineRule="auto"/>
        <w:ind w:left="1418" w:hanging="1418"/>
        <w:jc w:val="both"/>
        <w:rPr>
          <w:rFonts w:ascii="Arial" w:eastAsia="Arial" w:hAnsi="Arial" w:cs="Arial"/>
        </w:rPr>
      </w:pPr>
      <w:r>
        <w:rPr>
          <w:rFonts w:ascii="Arial" w:eastAsia="Arial" w:hAnsi="Arial" w:cs="Arial"/>
          <w:b/>
          <w:bCs/>
        </w:rPr>
        <w:lastRenderedPageBreak/>
        <w:t>Artículo 7</w:t>
      </w:r>
      <w:proofErr w:type="gramStart"/>
      <w:r>
        <w:rPr>
          <w:rFonts w:ascii="Arial" w:eastAsia="Arial" w:hAnsi="Arial" w:cs="Arial"/>
          <w:b/>
          <w:bCs/>
        </w:rPr>
        <w:t>°.-</w:t>
      </w:r>
      <w:proofErr w:type="gramEnd"/>
      <w:r>
        <w:rPr>
          <w:rFonts w:ascii="Arial" w:eastAsia="Arial" w:hAnsi="Arial" w:cs="Arial"/>
          <w:b/>
          <w:bCs/>
        </w:rPr>
        <w:tab/>
      </w:r>
      <w:r>
        <w:rPr>
          <w:rFonts w:ascii="Arial" w:eastAsia="Arial" w:hAnsi="Arial" w:cs="Arial"/>
        </w:rPr>
        <w:t>Establecer que el solicitante del Registro Sanitario deberá regularizar y levantar las objeciones dentro del plazo de treinta (30) días hábiles posteriores a la comunicación. No se admitirá la documentación o información proporcionada para dicho efecto fuera del plazo mencionado. Cumplido el plazo y sin que el solicitante subsane las objeciones, el trámite decaerá de pleno derecho, debiendo el solicitante iniciar un nuevo trámite previo pago del arancel correspondiente.</w:t>
      </w:r>
    </w:p>
    <w:p w:rsidR="0021493D" w:rsidRDefault="00A601E5">
      <w:pPr>
        <w:spacing w:after="120" w:line="240" w:lineRule="auto"/>
        <w:ind w:left="1418" w:hanging="1418"/>
        <w:jc w:val="both"/>
        <w:rPr>
          <w:rFonts w:ascii="Arial" w:eastAsia="Arial" w:hAnsi="Arial" w:cs="Arial"/>
          <w:b/>
          <w:bCs/>
        </w:rPr>
      </w:pPr>
      <w:r>
        <w:rPr>
          <w:rFonts w:ascii="Arial" w:eastAsia="Arial" w:hAnsi="Arial" w:cs="Arial"/>
          <w:b/>
          <w:bCs/>
        </w:rPr>
        <w:t xml:space="preserve">Artículo 8°. - </w:t>
      </w:r>
      <w:r>
        <w:rPr>
          <w:rFonts w:ascii="Arial" w:eastAsia="Arial" w:hAnsi="Arial" w:cs="Arial"/>
        </w:rPr>
        <w:t>El Registro Sanitario otorgado bajo el presente procedimiento tendrá una vigencia de cinco (5) años, renovables por períodos iguales, siempre que se mantenga la aprobación regulatoria plena en la autoridad de referencia y no se verifiquen riesgos para la salud pública.</w:t>
      </w:r>
    </w:p>
    <w:p w:rsidR="0021493D" w:rsidRDefault="00A601E5">
      <w:pPr>
        <w:spacing w:after="120" w:line="240" w:lineRule="auto"/>
        <w:ind w:left="1418" w:hanging="1418"/>
        <w:jc w:val="both"/>
        <w:rPr>
          <w:rFonts w:ascii="Arial" w:eastAsia="Arial" w:hAnsi="Arial" w:cs="Arial"/>
          <w:b/>
          <w:bCs/>
        </w:rPr>
      </w:pPr>
      <w:r>
        <w:rPr>
          <w:rFonts w:ascii="Arial" w:eastAsia="Arial" w:hAnsi="Arial" w:cs="Arial"/>
          <w:b/>
          <w:bCs/>
        </w:rPr>
        <w:t xml:space="preserve">Artículo 9°. - </w:t>
      </w:r>
      <w:r>
        <w:rPr>
          <w:rFonts w:ascii="Arial" w:eastAsia="Arial" w:hAnsi="Arial" w:cs="Arial"/>
        </w:rPr>
        <w:t>Disponer que el titular del Registro deberá:</w:t>
      </w:r>
    </w:p>
    <w:p w:rsidR="0021493D" w:rsidRDefault="00A601E5">
      <w:pPr>
        <w:spacing w:after="120" w:line="240" w:lineRule="auto"/>
        <w:ind w:left="1843" w:hanging="425"/>
        <w:jc w:val="both"/>
        <w:rPr>
          <w:rFonts w:ascii="Arial" w:eastAsia="Arial" w:hAnsi="Arial" w:cs="Arial"/>
        </w:rPr>
      </w:pPr>
      <w:r>
        <w:rPr>
          <w:rFonts w:ascii="Arial" w:eastAsia="Arial" w:hAnsi="Arial" w:cs="Arial"/>
          <w:b/>
          <w:bCs/>
        </w:rPr>
        <w:t>1.</w:t>
      </w:r>
      <w:r>
        <w:rPr>
          <w:rFonts w:ascii="Arial" w:eastAsia="Arial" w:hAnsi="Arial" w:cs="Arial"/>
          <w:b/>
          <w:bCs/>
        </w:rPr>
        <w:tab/>
      </w:r>
      <w:r>
        <w:rPr>
          <w:rFonts w:ascii="Arial" w:eastAsia="Arial" w:hAnsi="Arial" w:cs="Arial"/>
        </w:rPr>
        <w:t xml:space="preserve">Establecer que el titular del Registro Sanitario deberá presentar informes periódicos de seguridad ante la DINAVISA, como máximo anualmente, o con la frecuencia que la DINAVISA determine caso por caso. El formato del informe deberá estar en línea con lo dispuesto por la Resolución DINAVISA </w:t>
      </w:r>
      <w:proofErr w:type="spellStart"/>
      <w:r>
        <w:rPr>
          <w:rFonts w:ascii="Arial" w:eastAsia="Arial" w:hAnsi="Arial" w:cs="Arial"/>
        </w:rPr>
        <w:t>N°</w:t>
      </w:r>
      <w:proofErr w:type="spellEnd"/>
      <w:r>
        <w:rPr>
          <w:rFonts w:ascii="Arial" w:eastAsia="Arial" w:hAnsi="Arial" w:cs="Arial"/>
        </w:rPr>
        <w:t xml:space="preserve"> 340/2024 o sus actualizaciones. Asimismo, es responsable de la implementación del Plan de Gestión de Riesgos (PGR) o documento equivalente, conforme a lo establecido en la Resolución DINAVISA </w:t>
      </w:r>
      <w:proofErr w:type="spellStart"/>
      <w:r>
        <w:rPr>
          <w:rFonts w:ascii="Arial" w:eastAsia="Arial" w:hAnsi="Arial" w:cs="Arial"/>
        </w:rPr>
        <w:t>N°</w:t>
      </w:r>
      <w:proofErr w:type="spellEnd"/>
      <w:r>
        <w:rPr>
          <w:rFonts w:ascii="Arial" w:eastAsia="Arial" w:hAnsi="Arial" w:cs="Arial"/>
        </w:rPr>
        <w:t xml:space="preserve"> 340/2024 o sus actualizaciones</w:t>
      </w:r>
    </w:p>
    <w:p w:rsidR="0021493D" w:rsidRDefault="00A601E5">
      <w:pPr>
        <w:spacing w:after="120" w:line="240" w:lineRule="auto"/>
        <w:ind w:left="1843" w:hanging="425"/>
        <w:jc w:val="both"/>
        <w:rPr>
          <w:rFonts w:ascii="Arial" w:eastAsia="Arial" w:hAnsi="Arial" w:cs="Arial"/>
        </w:rPr>
      </w:pPr>
      <w:r>
        <w:rPr>
          <w:rFonts w:ascii="Arial" w:eastAsia="Arial" w:hAnsi="Arial" w:cs="Arial"/>
        </w:rPr>
        <w:t>2.</w:t>
      </w:r>
      <w:r>
        <w:rPr>
          <w:rFonts w:ascii="Arial" w:eastAsia="Arial" w:hAnsi="Arial" w:cs="Arial"/>
        </w:rPr>
        <w:tab/>
        <w:t>Mantener actualizado su sistema de farmacovigilancia nacional.</w:t>
      </w:r>
    </w:p>
    <w:p w:rsidR="0021493D" w:rsidRDefault="00A601E5">
      <w:pPr>
        <w:spacing w:after="120" w:line="240" w:lineRule="auto"/>
        <w:ind w:left="1843" w:hanging="425"/>
        <w:jc w:val="both"/>
        <w:rPr>
          <w:rFonts w:ascii="Arial" w:eastAsia="Arial" w:hAnsi="Arial" w:cs="Arial"/>
        </w:rPr>
      </w:pPr>
      <w:r>
        <w:rPr>
          <w:rFonts w:ascii="Arial" w:eastAsia="Arial" w:hAnsi="Arial" w:cs="Arial"/>
        </w:rPr>
        <w:t>3.</w:t>
      </w:r>
      <w:r>
        <w:rPr>
          <w:rFonts w:ascii="Arial" w:eastAsia="Arial" w:hAnsi="Arial" w:cs="Arial"/>
        </w:rPr>
        <w:tab/>
        <w:t>Reportar a DINAVISA, dentro de 72 horas, cualquier alerta, medida cautelar, suspensión, modificación o retiro del producto en el país de referencia.</w:t>
      </w:r>
    </w:p>
    <w:p w:rsidR="0021493D" w:rsidRDefault="00A601E5">
      <w:pPr>
        <w:spacing w:after="120" w:line="240" w:lineRule="auto"/>
        <w:ind w:left="1843" w:hanging="425"/>
        <w:jc w:val="both"/>
        <w:rPr>
          <w:rFonts w:ascii="Arial" w:eastAsia="Arial" w:hAnsi="Arial" w:cs="Arial"/>
        </w:rPr>
      </w:pPr>
      <w:r>
        <w:rPr>
          <w:rFonts w:ascii="Arial" w:eastAsia="Arial" w:hAnsi="Arial" w:cs="Arial"/>
        </w:rPr>
        <w:t>4.</w:t>
      </w:r>
      <w:r>
        <w:rPr>
          <w:rFonts w:ascii="Arial" w:eastAsia="Arial" w:hAnsi="Arial" w:cs="Arial"/>
        </w:rPr>
        <w:tab/>
        <w:t>Proveer información técnica adicional en caso de ser requerida.</w:t>
      </w:r>
    </w:p>
    <w:p w:rsidR="0021493D" w:rsidRDefault="00A601E5">
      <w:pPr>
        <w:spacing w:after="120" w:line="240" w:lineRule="auto"/>
        <w:ind w:left="1418" w:hanging="1418"/>
        <w:jc w:val="both"/>
        <w:rPr>
          <w:rFonts w:ascii="Arial" w:eastAsia="Arial" w:hAnsi="Arial" w:cs="Arial"/>
        </w:rPr>
      </w:pPr>
      <w:r>
        <w:rPr>
          <w:rFonts w:ascii="Arial" w:eastAsia="Arial" w:hAnsi="Arial" w:cs="Arial"/>
          <w:b/>
          <w:bCs/>
        </w:rPr>
        <w:t>Artículo 10.-</w:t>
      </w:r>
      <w:r>
        <w:rPr>
          <w:rFonts w:ascii="Arial" w:eastAsia="Arial" w:hAnsi="Arial" w:cs="Arial"/>
          <w:b/>
          <w:bCs/>
        </w:rPr>
        <w:tab/>
      </w:r>
      <w:r>
        <w:rPr>
          <w:rFonts w:ascii="Arial" w:eastAsia="Arial" w:hAnsi="Arial" w:cs="Arial"/>
        </w:rPr>
        <w:t>La DINAVISA podrá suspender, modificar o cancelar el Registro Sanitario otorgado, cuando se verifiquen riesgos para la salud pública o incumplimientos de las condiciones establecidas.</w:t>
      </w:r>
    </w:p>
    <w:p w:rsidR="0021493D" w:rsidRDefault="00A601E5">
      <w:pPr>
        <w:spacing w:after="120" w:line="240" w:lineRule="auto"/>
        <w:ind w:left="1418" w:hanging="1418"/>
        <w:jc w:val="both"/>
        <w:rPr>
          <w:rFonts w:ascii="Arial" w:eastAsia="Arial" w:hAnsi="Arial" w:cs="Arial"/>
          <w:b/>
          <w:bCs/>
        </w:rPr>
      </w:pPr>
      <w:r>
        <w:rPr>
          <w:rFonts w:ascii="Arial" w:eastAsia="Arial" w:hAnsi="Arial" w:cs="Arial"/>
          <w:b/>
          <w:bCs/>
        </w:rPr>
        <w:t xml:space="preserve">Artículo 11.- </w:t>
      </w:r>
      <w:r>
        <w:rPr>
          <w:rFonts w:ascii="Arial" w:eastAsia="Arial" w:hAnsi="Arial" w:cs="Arial"/>
        </w:rPr>
        <w:t>Disponer que la presente Resolución entrará en vigencia a partir del XX de XXXX de 2026.</w:t>
      </w:r>
    </w:p>
    <w:p w:rsidR="0021493D" w:rsidRDefault="00A601E5">
      <w:pPr>
        <w:spacing w:after="120" w:line="240" w:lineRule="auto"/>
        <w:ind w:left="1418" w:hanging="1418"/>
        <w:jc w:val="both"/>
        <w:rPr>
          <w:rFonts w:ascii="Arial" w:eastAsia="Arial" w:hAnsi="Arial" w:cs="Arial"/>
        </w:rPr>
      </w:pPr>
      <w:r>
        <w:rPr>
          <w:rFonts w:ascii="Arial" w:eastAsia="Arial" w:hAnsi="Arial" w:cs="Arial"/>
          <w:b/>
          <w:bCs/>
        </w:rPr>
        <w:t xml:space="preserve">Artículo 12.- </w:t>
      </w:r>
      <w:r>
        <w:rPr>
          <w:rFonts w:ascii="Arial" w:eastAsia="Arial" w:hAnsi="Arial" w:cs="Arial"/>
        </w:rPr>
        <w:t xml:space="preserve">Comunicar a quien corresponda y una vez cumplido archivar.   </w:t>
      </w:r>
    </w:p>
    <w:sectPr w:rsidR="0021493D" w:rsidSect="00761382">
      <w:headerReference w:type="even" r:id="rId8"/>
      <w:headerReference w:type="default" r:id="rId9"/>
      <w:footerReference w:type="even" r:id="rId10"/>
      <w:footerReference w:type="default" r:id="rId11"/>
      <w:headerReference w:type="first" r:id="rId12"/>
      <w:footerReference w:type="first" r:id="rId13"/>
      <w:pgSz w:w="12240" w:h="18720"/>
      <w:pgMar w:top="1417" w:right="1701" w:bottom="1417" w:left="1701" w:header="709"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58A8" w:rsidRDefault="00E458A8">
      <w:pPr>
        <w:spacing w:after="0" w:line="240" w:lineRule="auto"/>
      </w:pPr>
      <w:r>
        <w:separator/>
      </w:r>
    </w:p>
  </w:endnote>
  <w:endnote w:type="continuationSeparator" w:id="0">
    <w:p w:rsidR="00E458A8" w:rsidRDefault="00E45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4BF47E0-92DC-4A6C-9918-978570E49880}"/>
    <w:embedBold r:id="rId2" w:fontKey="{D407DB5B-AE56-41B8-BBA7-70379D787713}"/>
    <w:embedItalic r:id="rId3" w:fontKey="{0E5A26CE-BBF8-4928-B2F4-6A60EDFC0499}"/>
  </w:font>
  <w:font w:name="Segoe UI">
    <w:panose1 w:val="020B0502040204020203"/>
    <w:charset w:val="00"/>
    <w:family w:val="swiss"/>
    <w:pitch w:val="variable"/>
    <w:sig w:usb0="E4002EFF" w:usb1="C000E47F" w:usb2="00000009" w:usb3="00000000" w:csb0="000001FF" w:csb1="00000000"/>
    <w:embedRegular r:id="rId4" w:fontKey="{559D1A78-758E-4E00-A809-C1D1B6C874ED}"/>
  </w:font>
  <w:font w:name="Georgia">
    <w:panose1 w:val="02040502050405020303"/>
    <w:charset w:val="00"/>
    <w:family w:val="roman"/>
    <w:pitch w:val="variable"/>
    <w:sig w:usb0="00000287" w:usb1="00000000" w:usb2="00000000" w:usb3="00000000" w:csb0="0000009F" w:csb1="00000000"/>
    <w:embedItalic r:id="rId5" w:fontKey="{0449FA56-2572-43CA-B058-D00F674E6C6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8E5346AF-F1CA-487C-B84D-323762E59B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493D" w:rsidRDefault="0021493D">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493D" w:rsidRDefault="0021493D">
    <w:pPr>
      <w:pBdr>
        <w:top w:val="nil"/>
        <w:left w:val="nil"/>
        <w:bottom w:val="nil"/>
        <w:right w:val="nil"/>
        <w:between w:val="nil"/>
      </w:pBdr>
      <w:tabs>
        <w:tab w:val="center" w:pos="4252"/>
        <w:tab w:val="right" w:pos="8504"/>
      </w:tabs>
      <w:spacing w:after="0" w:line="240" w:lineRule="auto"/>
      <w:jc w:val="center"/>
      <w:rPr>
        <w:color w:val="000000"/>
        <w:sz w:val="16"/>
        <w:szCs w:val="16"/>
      </w:rPr>
    </w:pPr>
  </w:p>
  <w:p w:rsidR="0021493D" w:rsidRDefault="0021493D">
    <w:pPr>
      <w:pBdr>
        <w:top w:val="nil"/>
        <w:left w:val="nil"/>
        <w:bottom w:val="nil"/>
        <w:right w:val="nil"/>
        <w:between w:val="nil"/>
      </w:pBdr>
      <w:tabs>
        <w:tab w:val="center" w:pos="4252"/>
        <w:tab w:val="right" w:pos="8504"/>
      </w:tabs>
      <w:spacing w:after="0" w:line="240" w:lineRule="auto"/>
      <w:jc w:val="center"/>
      <w:rPr>
        <w:color w:val="000000"/>
        <w:sz w:val="16"/>
        <w:szCs w:val="16"/>
      </w:rPr>
    </w:pPr>
  </w:p>
  <w:p w:rsidR="0021493D" w:rsidRDefault="0021493D">
    <w:pPr>
      <w:pBdr>
        <w:top w:val="nil"/>
        <w:left w:val="nil"/>
        <w:bottom w:val="nil"/>
        <w:right w:val="nil"/>
        <w:between w:val="nil"/>
      </w:pBdr>
      <w:tabs>
        <w:tab w:val="center" w:pos="4252"/>
        <w:tab w:val="right" w:pos="8504"/>
      </w:tabs>
      <w:spacing w:after="0" w:line="240" w:lineRule="auto"/>
      <w:jc w:val="center"/>
      <w:rPr>
        <w:color w:val="000000"/>
        <w:sz w:val="16"/>
        <w:szCs w:val="16"/>
      </w:rPr>
    </w:pPr>
  </w:p>
  <w:p w:rsidR="0021493D" w:rsidRDefault="00A601E5">
    <w:pPr>
      <w:tabs>
        <w:tab w:val="center" w:pos="4252"/>
        <w:tab w:val="right" w:pos="8504"/>
      </w:tabs>
      <w:spacing w:after="0" w:line="240" w:lineRule="auto"/>
      <w:jc w:val="both"/>
      <w:rPr>
        <w:rFonts w:ascii="Arial" w:eastAsia="Arial" w:hAnsi="Arial" w:cs="Arial"/>
        <w:sz w:val="14"/>
        <w:szCs w:val="14"/>
      </w:rPr>
    </w:pPr>
    <w:r>
      <w:rPr>
        <w:rFonts w:ascii="Arial" w:eastAsia="Arial" w:hAnsi="Arial" w:cs="Arial"/>
        <w:b/>
        <w:bCs/>
        <w:sz w:val="14"/>
        <w:szCs w:val="14"/>
      </w:rPr>
      <w:t>Misión</w:t>
    </w:r>
    <w:r>
      <w:rPr>
        <w:rFonts w:ascii="Arial" w:eastAsia="Arial" w:hAnsi="Arial" w:cs="Arial"/>
        <w:sz w:val="14"/>
        <w:szCs w:val="14"/>
      </w:rPr>
      <w:t>: Regular, vigilar y fiscalizar productos de aplicación en medicina y otros asignados por ley, para garantizar la calidad, seguridad y eficacia de los mismos en beneficio de las personas, respondiendo a los desafíos de la innovación y promoviendo el desarrollo, a través de acciones coordinadas e integradas, sostenidas en normas técnicas.</w:t>
    </w:r>
  </w:p>
  <w:p w:rsidR="0021493D" w:rsidRDefault="00A601E5">
    <w:pPr>
      <w:tabs>
        <w:tab w:val="center" w:pos="4252"/>
        <w:tab w:val="right" w:pos="8504"/>
      </w:tabs>
      <w:spacing w:after="0" w:line="240" w:lineRule="auto"/>
      <w:jc w:val="both"/>
      <w:rPr>
        <w:rFonts w:ascii="Arial" w:eastAsia="Arial" w:hAnsi="Arial" w:cs="Arial"/>
        <w:sz w:val="14"/>
        <w:szCs w:val="14"/>
      </w:rPr>
    </w:pPr>
    <w:r>
      <w:rPr>
        <w:rFonts w:ascii="Arial" w:eastAsia="Arial" w:hAnsi="Arial" w:cs="Arial"/>
        <w:b/>
        <w:bCs/>
        <w:sz w:val="14"/>
        <w:szCs w:val="14"/>
      </w:rPr>
      <w:t xml:space="preserve">Visión: </w:t>
    </w:r>
    <w:r>
      <w:rPr>
        <w:rFonts w:ascii="Arial" w:eastAsia="Arial" w:hAnsi="Arial" w:cs="Arial"/>
        <w:sz w:val="14"/>
        <w:szCs w:val="14"/>
      </w:rPr>
      <w:t>Ser una institución reguladora y fiscalizadora de Referencia Nacional e Internacional reconocida por su capacidad técnica, credibilidad y compromiso con la protección de la salud de la población y el desarrollo nacional.</w:t>
    </w:r>
  </w:p>
  <w:p w:rsidR="0021493D" w:rsidRDefault="00A601E5">
    <w:pPr>
      <w:tabs>
        <w:tab w:val="center" w:pos="4252"/>
        <w:tab w:val="right" w:pos="8504"/>
      </w:tabs>
      <w:spacing w:after="0" w:line="240" w:lineRule="auto"/>
      <w:jc w:val="both"/>
      <w:rPr>
        <w:rFonts w:ascii="Arial" w:eastAsia="Arial" w:hAnsi="Arial" w:cs="Arial"/>
        <w:sz w:val="14"/>
        <w:szCs w:val="14"/>
      </w:rPr>
    </w:pPr>
    <w:r>
      <w:rPr>
        <w:rFonts w:ascii="Arial" w:eastAsia="Arial" w:hAnsi="Arial" w:cs="Arial"/>
        <w:sz w:val="14"/>
        <w:szCs w:val="14"/>
      </w:rPr>
      <w:t xml:space="preserve"> </w:t>
    </w:r>
  </w:p>
  <w:p w:rsidR="0021493D" w:rsidRDefault="00A601E5">
    <w:pPr>
      <w:tabs>
        <w:tab w:val="center" w:pos="4252"/>
        <w:tab w:val="right" w:pos="8504"/>
      </w:tabs>
      <w:spacing w:after="0" w:line="240" w:lineRule="auto"/>
      <w:jc w:val="center"/>
      <w:rPr>
        <w:rFonts w:ascii="Arial" w:eastAsia="Arial" w:hAnsi="Arial" w:cs="Arial"/>
        <w:b/>
        <w:bCs/>
        <w:sz w:val="14"/>
        <w:szCs w:val="14"/>
      </w:rPr>
    </w:pPr>
    <w:r>
      <w:rPr>
        <w:rFonts w:ascii="Arial" w:eastAsia="Arial" w:hAnsi="Arial" w:cs="Arial"/>
        <w:b/>
        <w:bCs/>
        <w:sz w:val="14"/>
        <w:szCs w:val="14"/>
      </w:rPr>
      <w:t xml:space="preserve">Iturbe </w:t>
    </w:r>
    <w:proofErr w:type="spellStart"/>
    <w:r>
      <w:rPr>
        <w:rFonts w:ascii="Arial" w:eastAsia="Arial" w:hAnsi="Arial" w:cs="Arial"/>
        <w:b/>
        <w:bCs/>
        <w:sz w:val="14"/>
        <w:szCs w:val="14"/>
      </w:rPr>
      <w:t>Nº</w:t>
    </w:r>
    <w:proofErr w:type="spellEnd"/>
    <w:r>
      <w:rPr>
        <w:rFonts w:ascii="Arial" w:eastAsia="Arial" w:hAnsi="Arial" w:cs="Arial"/>
        <w:b/>
        <w:bCs/>
        <w:sz w:val="14"/>
        <w:szCs w:val="14"/>
      </w:rPr>
      <w:t xml:space="preserve"> 883 e/ Manuel Domínguez y Fulgencio R. Moreno</w:t>
    </w:r>
  </w:p>
  <w:p w:rsidR="0021493D" w:rsidRDefault="00A601E5">
    <w:pPr>
      <w:tabs>
        <w:tab w:val="center" w:pos="4252"/>
        <w:tab w:val="right" w:pos="8504"/>
      </w:tabs>
      <w:spacing w:after="0" w:line="240" w:lineRule="auto"/>
      <w:jc w:val="center"/>
      <w:rPr>
        <w:rFonts w:ascii="Arial" w:eastAsia="Arial" w:hAnsi="Arial" w:cs="Arial"/>
        <w:b/>
        <w:bCs/>
        <w:sz w:val="14"/>
        <w:szCs w:val="14"/>
      </w:rPr>
    </w:pPr>
    <w:r>
      <w:rPr>
        <w:rFonts w:ascii="Arial" w:eastAsia="Arial" w:hAnsi="Arial" w:cs="Arial"/>
        <w:b/>
        <w:bCs/>
        <w:sz w:val="14"/>
        <w:szCs w:val="14"/>
      </w:rPr>
      <w:t>Asunción, Paraguay</w:t>
    </w:r>
  </w:p>
  <w:p w:rsidR="0021493D" w:rsidRDefault="00A601E5">
    <w:pPr>
      <w:tabs>
        <w:tab w:val="center" w:pos="4252"/>
        <w:tab w:val="right" w:pos="8504"/>
      </w:tabs>
      <w:spacing w:after="0" w:line="240" w:lineRule="auto"/>
      <w:jc w:val="right"/>
      <w:rPr>
        <w:b/>
        <w:bCs/>
        <w:sz w:val="16"/>
        <w:szCs w:val="16"/>
      </w:rPr>
    </w:pPr>
    <w:r>
      <w:rPr>
        <w:rFonts w:ascii="Arial" w:eastAsia="Arial" w:hAnsi="Arial" w:cs="Arial"/>
        <w:b/>
        <w:bCs/>
        <w:sz w:val="14"/>
        <w:szCs w:val="14"/>
      </w:rPr>
      <w:t xml:space="preserve">Página </w:t>
    </w:r>
    <w:r>
      <w:rPr>
        <w:rFonts w:ascii="Arial" w:eastAsia="Arial" w:hAnsi="Arial" w:cs="Arial"/>
        <w:b/>
        <w:bCs/>
        <w:sz w:val="14"/>
        <w:szCs w:val="14"/>
      </w:rPr>
      <w:fldChar w:fldCharType="begin"/>
    </w:r>
    <w:r>
      <w:rPr>
        <w:rFonts w:ascii="Arial" w:eastAsia="Arial" w:hAnsi="Arial" w:cs="Arial"/>
        <w:b/>
        <w:bCs/>
        <w:sz w:val="14"/>
        <w:szCs w:val="14"/>
      </w:rPr>
      <w:instrText>PAGE</w:instrText>
    </w:r>
    <w:r>
      <w:rPr>
        <w:rFonts w:ascii="Arial" w:eastAsia="Arial" w:hAnsi="Arial" w:cs="Arial"/>
        <w:b/>
        <w:bCs/>
        <w:sz w:val="14"/>
        <w:szCs w:val="14"/>
      </w:rPr>
      <w:fldChar w:fldCharType="separate"/>
    </w:r>
    <w:r w:rsidR="002A07FF">
      <w:rPr>
        <w:rFonts w:ascii="Arial" w:eastAsia="Arial" w:hAnsi="Arial" w:cs="Arial"/>
        <w:b/>
        <w:bCs/>
        <w:noProof/>
        <w:sz w:val="14"/>
        <w:szCs w:val="14"/>
      </w:rPr>
      <w:t>1</w:t>
    </w:r>
    <w:r>
      <w:rPr>
        <w:rFonts w:ascii="Arial" w:eastAsia="Arial" w:hAnsi="Arial" w:cs="Arial"/>
        <w:b/>
        <w:bCs/>
        <w:sz w:val="14"/>
        <w:szCs w:val="14"/>
      </w:rPr>
      <w:fldChar w:fldCharType="end"/>
    </w:r>
    <w:r>
      <w:rPr>
        <w:rFonts w:ascii="Arial" w:eastAsia="Arial" w:hAnsi="Arial" w:cs="Arial"/>
        <w:b/>
        <w:bCs/>
        <w:sz w:val="14"/>
        <w:szCs w:val="14"/>
      </w:rPr>
      <w:t xml:space="preserve"> de </w:t>
    </w:r>
    <w:r>
      <w:rPr>
        <w:rFonts w:ascii="Arial" w:eastAsia="Arial" w:hAnsi="Arial" w:cs="Arial"/>
        <w:b/>
        <w:bCs/>
        <w:sz w:val="14"/>
        <w:szCs w:val="14"/>
      </w:rPr>
      <w:fldChar w:fldCharType="begin"/>
    </w:r>
    <w:r>
      <w:rPr>
        <w:rFonts w:ascii="Arial" w:eastAsia="Arial" w:hAnsi="Arial" w:cs="Arial"/>
        <w:b/>
        <w:bCs/>
        <w:sz w:val="14"/>
        <w:szCs w:val="14"/>
      </w:rPr>
      <w:instrText>NUMPAGES</w:instrText>
    </w:r>
    <w:r>
      <w:rPr>
        <w:rFonts w:ascii="Arial" w:eastAsia="Arial" w:hAnsi="Arial" w:cs="Arial"/>
        <w:b/>
        <w:bCs/>
        <w:sz w:val="14"/>
        <w:szCs w:val="14"/>
      </w:rPr>
      <w:fldChar w:fldCharType="separate"/>
    </w:r>
    <w:r w:rsidR="002A07FF">
      <w:rPr>
        <w:rFonts w:ascii="Arial" w:eastAsia="Arial" w:hAnsi="Arial" w:cs="Arial"/>
        <w:b/>
        <w:bCs/>
        <w:noProof/>
        <w:sz w:val="14"/>
        <w:szCs w:val="14"/>
      </w:rPr>
      <w:t>1</w:t>
    </w:r>
    <w:r>
      <w:rPr>
        <w:rFonts w:ascii="Arial" w:eastAsia="Arial" w:hAnsi="Arial" w:cs="Arial"/>
        <w:b/>
        <w:bCs/>
        <w:sz w:val="14"/>
        <w:szCs w:val="14"/>
      </w:rPr>
      <w:fldChar w:fldCharType="end"/>
    </w:r>
  </w:p>
  <w:p w:rsidR="0021493D" w:rsidRDefault="0021493D">
    <w:pPr>
      <w:pBdr>
        <w:top w:val="nil"/>
        <w:left w:val="nil"/>
        <w:bottom w:val="nil"/>
        <w:right w:val="nil"/>
        <w:between w:val="nil"/>
      </w:pBdr>
      <w:tabs>
        <w:tab w:val="center" w:pos="4252"/>
        <w:tab w:val="right" w:pos="8504"/>
      </w:tabs>
      <w:spacing w:after="0" w:line="240" w:lineRule="auto"/>
      <w:jc w:val="center"/>
      <w:rPr>
        <w:sz w:val="16"/>
        <w:szCs w:val="16"/>
      </w:rPr>
    </w:pPr>
  </w:p>
  <w:p w:rsidR="0021493D" w:rsidRDefault="0021493D">
    <w:pPr>
      <w:pBdr>
        <w:top w:val="nil"/>
        <w:left w:val="nil"/>
        <w:bottom w:val="nil"/>
        <w:right w:val="nil"/>
        <w:between w:val="nil"/>
      </w:pBdr>
      <w:tabs>
        <w:tab w:val="center" w:pos="4252"/>
        <w:tab w:val="right" w:pos="8504"/>
      </w:tabs>
      <w:spacing w:after="0" w:line="240" w:lineRule="auto"/>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493D" w:rsidRDefault="0021493D">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58A8" w:rsidRDefault="00E458A8">
      <w:pPr>
        <w:spacing w:after="0" w:line="240" w:lineRule="auto"/>
      </w:pPr>
      <w:r>
        <w:separator/>
      </w:r>
    </w:p>
  </w:footnote>
  <w:footnote w:type="continuationSeparator" w:id="0">
    <w:p w:rsidR="00E458A8" w:rsidRDefault="00E458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493D" w:rsidRDefault="0021493D">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493D" w:rsidRDefault="00A601E5">
    <w:pPr>
      <w:tabs>
        <w:tab w:val="center" w:pos="4252"/>
        <w:tab w:val="right" w:pos="8504"/>
      </w:tabs>
      <w:spacing w:after="0" w:line="24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sz w:val="24"/>
        <w:szCs w:val="24"/>
      </w:rPr>
      <w:t>“</w:t>
    </w:r>
    <w:r>
      <w:rPr>
        <w:rFonts w:ascii="Times New Roman" w:eastAsia="Times New Roman" w:hAnsi="Times New Roman" w:cs="Times New Roman"/>
        <w:i/>
        <w:iCs/>
        <w:color w:val="000000"/>
        <w:sz w:val="24"/>
        <w:szCs w:val="24"/>
      </w:rPr>
      <w:t>Sesquicentenario de la Epopeya Nacional: 1864 – 1870”</w:t>
    </w:r>
  </w:p>
  <w:p w:rsidR="0021493D" w:rsidRDefault="0021493D">
    <w:pPr>
      <w:tabs>
        <w:tab w:val="center" w:pos="4252"/>
        <w:tab w:val="right" w:pos="8504"/>
      </w:tabs>
      <w:spacing w:after="0" w:line="240" w:lineRule="auto"/>
      <w:jc w:val="center"/>
      <w:rPr>
        <w:rFonts w:ascii="Times New Roman" w:eastAsia="Times New Roman" w:hAnsi="Times New Roman" w:cs="Times New Roman"/>
        <w:i/>
        <w:iCs/>
        <w:color w:val="000000"/>
        <w:sz w:val="24"/>
        <w:szCs w:val="24"/>
      </w:rPr>
    </w:pPr>
  </w:p>
  <w:p w:rsidR="0021493D" w:rsidRDefault="00A601E5">
    <w:pPr>
      <w:tabs>
        <w:tab w:val="center" w:pos="4252"/>
        <w:tab w:val="right" w:pos="8504"/>
      </w:tabs>
      <w:spacing w:after="0" w:line="240" w:lineRule="auto"/>
      <w:jc w:val="center"/>
      <w:rPr>
        <w:rFonts w:ascii="Times New Roman" w:eastAsia="Times New Roman" w:hAnsi="Times New Roman" w:cs="Times New Roman"/>
        <w:i/>
        <w:iCs/>
        <w:color w:val="000000"/>
        <w:sz w:val="24"/>
        <w:szCs w:val="24"/>
      </w:rPr>
    </w:pPr>
    <w:r>
      <w:rPr>
        <w:i/>
        <w:iCs/>
        <w:noProof/>
        <w:color w:val="000000"/>
      </w:rPr>
      <w:drawing>
        <wp:inline distT="0" distB="0" distL="0" distR="0">
          <wp:extent cx="689150" cy="634018"/>
          <wp:effectExtent l="0" t="0" r="0" b="0"/>
          <wp:docPr id="8" name="image1.png" descr="C:\Users\DINAVISA\AppData\Local\Microsoft\Windows\INetCache\Content.MSO\3C91E2A4.tmp"/>
          <wp:cNvGraphicFramePr/>
          <a:graphic xmlns:a="http://schemas.openxmlformats.org/drawingml/2006/main">
            <a:graphicData uri="http://schemas.openxmlformats.org/drawingml/2006/picture">
              <pic:pic xmlns:pic="http://schemas.openxmlformats.org/drawingml/2006/picture">
                <pic:nvPicPr>
                  <pic:cNvPr id="0" name="image1.png" descr="C:\Users\DINAVISA\AppData\Local\Microsoft\Windows\INetCache\Content.MSO\3C91E2A4.tmp"/>
                  <pic:cNvPicPr preferRelativeResize="0"/>
                </pic:nvPicPr>
                <pic:blipFill>
                  <a:blip r:embed="rId1"/>
                  <a:srcRect/>
                  <a:stretch>
                    <a:fillRect/>
                  </a:stretch>
                </pic:blipFill>
                <pic:spPr>
                  <a:xfrm>
                    <a:off x="0" y="0"/>
                    <a:ext cx="689150" cy="634018"/>
                  </a:xfrm>
                  <a:prstGeom prst="rect">
                    <a:avLst/>
                  </a:prstGeom>
                  <a:ln/>
                </pic:spPr>
              </pic:pic>
            </a:graphicData>
          </a:graphic>
        </wp:inline>
      </w:drawing>
    </w:r>
  </w:p>
  <w:p w:rsidR="0021493D" w:rsidRDefault="00A601E5">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Poder Ejecutivo</w:t>
    </w:r>
  </w:p>
  <w:p w:rsidR="0021493D" w:rsidRDefault="00A601E5">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Dirección Nacional de Vigilancia Sanitaria</w:t>
    </w:r>
  </w:p>
  <w:p w:rsidR="0021493D" w:rsidRDefault="0021493D">
    <w:pPr>
      <w:spacing w:after="0" w:line="240" w:lineRule="auto"/>
      <w:jc w:val="center"/>
      <w:rPr>
        <w:rFonts w:ascii="Times New Roman" w:eastAsia="Times New Roman" w:hAnsi="Times New Roman" w:cs="Times New Roman"/>
        <w:b/>
        <w:bCs/>
        <w:i/>
        <w:iCs/>
        <w:sz w:val="24"/>
        <w:szCs w:val="24"/>
      </w:rPr>
    </w:pPr>
  </w:p>
  <w:p w:rsidR="0021493D" w:rsidRDefault="00A601E5">
    <w:pPr>
      <w:keepNext/>
      <w:spacing w:after="0" w:line="240" w:lineRule="auto"/>
      <w:jc w:val="center"/>
      <w:rPr>
        <w:rFonts w:ascii="Arial" w:eastAsia="Arial" w:hAnsi="Arial" w:cs="Arial"/>
        <w:b/>
        <w:bCs/>
      </w:rPr>
    </w:pPr>
    <w:r>
      <w:rPr>
        <w:rFonts w:ascii="Arial" w:eastAsia="Arial" w:hAnsi="Arial" w:cs="Arial"/>
        <w:b/>
        <w:bCs/>
      </w:rPr>
      <w:t xml:space="preserve">Resolución DINAVISA </w:t>
    </w:r>
    <w:proofErr w:type="spellStart"/>
    <w:r>
      <w:rPr>
        <w:rFonts w:ascii="Arial" w:eastAsia="Arial" w:hAnsi="Arial" w:cs="Arial"/>
        <w:b/>
        <w:bCs/>
      </w:rPr>
      <w:t>N°</w:t>
    </w:r>
    <w:proofErr w:type="spellEnd"/>
    <w:r>
      <w:rPr>
        <w:rFonts w:ascii="Arial" w:eastAsia="Arial" w:hAnsi="Arial" w:cs="Arial"/>
        <w:b/>
        <w:bCs/>
      </w:rPr>
      <w:t xml:space="preserve">                /202</w:t>
    </w:r>
    <w:r w:rsidR="002A07FF">
      <w:rPr>
        <w:rFonts w:ascii="Arial" w:eastAsia="Arial" w:hAnsi="Arial" w:cs="Arial"/>
        <w:b/>
        <w:bCs/>
      </w:rPr>
      <w:t>6</w:t>
    </w:r>
  </w:p>
  <w:p w:rsidR="0021493D" w:rsidRDefault="0021493D">
    <w:pPr>
      <w:spacing w:after="0" w:line="240" w:lineRule="auto"/>
      <w:jc w:val="center"/>
      <w:rPr>
        <w:rFonts w:ascii="Arial" w:eastAsia="Arial" w:hAnsi="Arial" w:cs="Arial"/>
        <w:b/>
        <w:bCs/>
        <w:i/>
        <w:iCs/>
        <w:color w:val="000000"/>
      </w:rPr>
    </w:pPr>
  </w:p>
  <w:p w:rsidR="0021493D" w:rsidRDefault="00A601E5">
    <w:pPr>
      <w:spacing w:after="0" w:line="240" w:lineRule="auto"/>
      <w:ind w:right="-2" w:hanging="2"/>
      <w:jc w:val="both"/>
      <w:rPr>
        <w:rFonts w:ascii="Arial" w:eastAsia="Arial" w:hAnsi="Arial" w:cs="Arial"/>
        <w:b/>
        <w:bCs/>
        <w:color w:val="0F1115"/>
        <w:highlight w:val="white"/>
      </w:rPr>
    </w:pPr>
    <w:r>
      <w:rPr>
        <w:rFonts w:ascii="Arial" w:eastAsia="Arial" w:hAnsi="Arial" w:cs="Arial"/>
        <w:b/>
        <w:bCs/>
        <w:color w:val="0F1115"/>
      </w:rPr>
      <w:t>POR LA CUAL SE ESTABLECE EL PROCEDIMIENTO ESPECÍFICO PARA LA EVALUACIÓN, AUTORIZACIÓN Y REGISTRO SANITARIO DE MEDICAMENTOS DESTINADOS AL TRATAMIENTO DE ENFERMEDADES RARAS, Y SE ESTABLECEN LOS REQUISITOS Y CONDICIONES PARA SU OTORGAMIENTO.</w:t>
    </w:r>
  </w:p>
  <w:p w:rsidR="0021493D" w:rsidRDefault="0021493D">
    <w:pPr>
      <w:spacing w:after="0" w:line="240" w:lineRule="auto"/>
      <w:ind w:right="-2" w:hanging="2"/>
      <w:jc w:val="both"/>
      <w:rPr>
        <w:rFonts w:ascii="Arial" w:eastAsia="Arial" w:hAnsi="Arial" w:cs="Arial"/>
      </w:rPr>
    </w:pPr>
  </w:p>
  <w:p w:rsidR="0021493D" w:rsidRDefault="00A601E5">
    <w:pPr>
      <w:spacing w:after="0" w:line="240" w:lineRule="auto"/>
      <w:ind w:right="-2" w:hanging="2"/>
      <w:jc w:val="right"/>
      <w:rPr>
        <w:rFonts w:ascii="Arial" w:eastAsia="Arial" w:hAnsi="Arial" w:cs="Arial"/>
      </w:rPr>
    </w:pPr>
    <w:r>
      <w:rPr>
        <w:rFonts w:ascii="Arial" w:eastAsia="Arial" w:hAnsi="Arial" w:cs="Arial"/>
      </w:rPr>
      <w:t>Asunción, XX de XXXX de 2026.-</w:t>
    </w:r>
  </w:p>
  <w:p w:rsidR="0021493D" w:rsidRDefault="0021493D">
    <w:pPr>
      <w:spacing w:after="0" w:line="240" w:lineRule="auto"/>
      <w:ind w:right="-2" w:hanging="2"/>
      <w:jc w:val="right"/>
      <w:rPr>
        <w:rFonts w:ascii="Arial" w:eastAsia="Arial" w:hAnsi="Arial" w:cs="Arial"/>
      </w:rPr>
    </w:pPr>
  </w:p>
  <w:p w:rsidR="0021493D" w:rsidRDefault="0021493D">
    <w:pPr>
      <w:spacing w:after="0" w:line="240" w:lineRule="auto"/>
      <w:ind w:right="-2" w:hanging="2"/>
      <w:jc w:val="right"/>
      <w:rPr>
        <w:rFonts w:ascii="Arial" w:eastAsia="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493D" w:rsidRDefault="0021493D">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F6632"/>
    <w:multiLevelType w:val="multilevel"/>
    <w:tmpl w:val="D7C05FE2"/>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93D"/>
    <w:rsid w:val="0021493D"/>
    <w:rsid w:val="002A07FF"/>
    <w:rsid w:val="00761382"/>
    <w:rsid w:val="00A601E5"/>
    <w:rsid w:val="00E458A8"/>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AD13EF-A12C-4408-9E70-9DE859CFD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PY" w:eastAsia="es-PY"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5213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52135"/>
  </w:style>
  <w:style w:type="paragraph" w:styleId="Piedepgina">
    <w:name w:val="footer"/>
    <w:basedOn w:val="Normal"/>
    <w:link w:val="PiedepginaCar"/>
    <w:uiPriority w:val="99"/>
    <w:unhideWhenUsed/>
    <w:rsid w:val="00E5213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52135"/>
  </w:style>
  <w:style w:type="paragraph" w:styleId="Prrafodelista">
    <w:name w:val="List Paragraph"/>
    <w:basedOn w:val="Normal"/>
    <w:uiPriority w:val="34"/>
    <w:qFormat/>
    <w:rsid w:val="00C31FE7"/>
    <w:pPr>
      <w:spacing w:after="0" w:line="240" w:lineRule="auto"/>
      <w:ind w:left="720"/>
      <w:contextualSpacing/>
    </w:pPr>
    <w:rPr>
      <w:rFonts w:ascii="Times New Roman" w:eastAsia="Times New Roman" w:hAnsi="Times New Roman" w:cs="Times New Roman"/>
      <w:sz w:val="24"/>
      <w:szCs w:val="24"/>
      <w:lang w:val="es-MX" w:eastAsia="pt-BR"/>
    </w:rPr>
  </w:style>
  <w:style w:type="character" w:styleId="Refdecomentario">
    <w:name w:val="annotation reference"/>
    <w:basedOn w:val="Fuentedeprrafopredeter"/>
    <w:uiPriority w:val="99"/>
    <w:semiHidden/>
    <w:unhideWhenUsed/>
    <w:rsid w:val="00C56742"/>
    <w:rPr>
      <w:sz w:val="16"/>
      <w:szCs w:val="16"/>
    </w:rPr>
  </w:style>
  <w:style w:type="paragraph" w:styleId="Textocomentario">
    <w:name w:val="annotation text"/>
    <w:basedOn w:val="Normal"/>
    <w:link w:val="TextocomentarioCar"/>
    <w:uiPriority w:val="99"/>
    <w:semiHidden/>
    <w:unhideWhenUsed/>
    <w:rsid w:val="00C5674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6742"/>
    <w:rPr>
      <w:sz w:val="20"/>
      <w:szCs w:val="20"/>
    </w:rPr>
  </w:style>
  <w:style w:type="paragraph" w:styleId="Asuntodelcomentario">
    <w:name w:val="annotation subject"/>
    <w:basedOn w:val="Textocomentario"/>
    <w:next w:val="Textocomentario"/>
    <w:link w:val="AsuntodelcomentarioCar"/>
    <w:uiPriority w:val="99"/>
    <w:semiHidden/>
    <w:unhideWhenUsed/>
    <w:rsid w:val="00C56742"/>
    <w:rPr>
      <w:b/>
      <w:bCs/>
    </w:rPr>
  </w:style>
  <w:style w:type="character" w:customStyle="1" w:styleId="AsuntodelcomentarioCar">
    <w:name w:val="Asunto del comentario Car"/>
    <w:basedOn w:val="TextocomentarioCar"/>
    <w:link w:val="Asuntodelcomentario"/>
    <w:uiPriority w:val="99"/>
    <w:semiHidden/>
    <w:rsid w:val="00C56742"/>
    <w:rPr>
      <w:b/>
      <w:bCs/>
      <w:sz w:val="20"/>
      <w:szCs w:val="20"/>
    </w:rPr>
  </w:style>
  <w:style w:type="paragraph" w:styleId="Textodeglobo">
    <w:name w:val="Balloon Text"/>
    <w:basedOn w:val="Normal"/>
    <w:link w:val="TextodegloboCar"/>
    <w:uiPriority w:val="99"/>
    <w:semiHidden/>
    <w:unhideWhenUsed/>
    <w:rsid w:val="00C567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56742"/>
    <w:rPr>
      <w:rFonts w:ascii="Segoe UI" w:hAnsi="Segoe UI" w:cs="Segoe UI"/>
      <w:sz w:val="18"/>
      <w:szCs w:val="18"/>
    </w:rPr>
  </w:style>
  <w:style w:type="paragraph" w:customStyle="1" w:styleId="Default">
    <w:name w:val="Default"/>
    <w:rsid w:val="00E46A0B"/>
    <w:pPr>
      <w:autoSpaceDE w:val="0"/>
      <w:autoSpaceDN w:val="0"/>
      <w:adjustRightInd w:val="0"/>
      <w:spacing w:after="0" w:line="240" w:lineRule="auto"/>
    </w:pPr>
    <w:rPr>
      <w:rFonts w:ascii="Times New Roman" w:hAnsi="Times New Roman" w:cs="Times New Roman"/>
      <w:color w:val="000000"/>
      <w:sz w:val="24"/>
      <w:szCs w:val="24"/>
    </w:rPr>
  </w:style>
  <w:style w:type="table" w:styleId="Tablaconcuadrcula">
    <w:name w:val="Table Grid"/>
    <w:basedOn w:val="Tablanormal"/>
    <w:uiPriority w:val="39"/>
    <w:rsid w:val="00CB1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k205YCH7c9iLNEWQ5jchtfMKMw==">CgMxLjAyDmgubWJ3Ym1qdTBtMzNxOAByITExTFRWTjQ4Wk9xQzlUNW5fa0pJVW95cW1fbkJieFgyRw==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1850</Words>
  <Characters>10179</Characters>
  <Application>Microsoft Office Word</Application>
  <DocSecurity>0</DocSecurity>
  <Lines>84</Lines>
  <Paragraphs>24</Paragraphs>
  <ScaleCrop>false</ScaleCrop>
  <Company/>
  <LinksUpToDate>false</LinksUpToDate>
  <CharactersWithSpaces>12005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DINAVISA</dc:creator>
  <cp:lastModifiedBy>DELL</cp:lastModifiedBy>
  <cp:revision>4</cp:revision>
  <dcterms:created xsi:type="dcterms:W3CDTF">2026-02-17T13:29:00Z</dcterms:created>
  <dcterms:modified xsi:type="dcterms:W3CDTF">2026-03-06T13:52:00Z</dcterms:modified>
</cp:coreProperties>
</file>