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3CAA" w:rsidRDefault="00767C83">
      <w:pPr>
        <w:widowControl w:val="0"/>
        <w:pBdr>
          <w:top w:val="nil"/>
          <w:left w:val="nil"/>
          <w:bottom w:val="nil"/>
          <w:right w:val="nil"/>
          <w:between w:val="nil"/>
        </w:pBdr>
        <w:spacing w:before="355" w:line="240" w:lineRule="auto"/>
        <w:ind w:right="-75"/>
        <w:jc w:val="both"/>
        <w:rPr>
          <w:rFonts w:ascii="Arial" w:eastAsia="Arial" w:hAnsi="Arial" w:cs="Arial"/>
          <w:color w:val="000000"/>
        </w:rPr>
      </w:pPr>
      <w:bookmarkStart w:id="0" w:name="_GoBack"/>
      <w:bookmarkEnd w:id="0"/>
      <w:r>
        <w:rPr>
          <w:rFonts w:ascii="Arial" w:eastAsia="Arial" w:hAnsi="Arial" w:cs="Arial"/>
          <w:b/>
          <w:bCs/>
          <w:color w:val="000000"/>
        </w:rPr>
        <w:t xml:space="preserve">VISTO:  </w:t>
      </w:r>
      <w:r>
        <w:rPr>
          <w:rFonts w:ascii="Arial" w:eastAsia="Arial" w:hAnsi="Arial" w:cs="Arial"/>
          <w:color w:val="000000"/>
        </w:rPr>
        <w:t xml:space="preserve">El Memorándum DGCC N.º </w:t>
      </w:r>
      <w:r w:rsidR="0027063B">
        <w:rPr>
          <w:rFonts w:ascii="Arial" w:eastAsia="Arial" w:hAnsi="Arial" w:cs="Arial"/>
        </w:rPr>
        <w:t>058</w:t>
      </w:r>
      <w:r>
        <w:rPr>
          <w:rFonts w:ascii="Arial" w:eastAsia="Arial" w:hAnsi="Arial" w:cs="Arial"/>
        </w:rPr>
        <w:t>/2026</w:t>
      </w:r>
      <w:r>
        <w:rPr>
          <w:rFonts w:ascii="Arial" w:eastAsia="Arial" w:hAnsi="Arial" w:cs="Arial"/>
          <w:color w:val="000000"/>
        </w:rPr>
        <w:t xml:space="preserve"> de la Dirección General de Control de Calidad, a través del cual solicita reglamentar la validación de métodos analíticos para la Dirección de Desarrollo, Innovación y transferencias de tecnologías</w:t>
      </w:r>
      <w:r>
        <w:rPr>
          <w:rFonts w:ascii="Arial" w:eastAsia="Arial" w:hAnsi="Arial" w:cs="Arial"/>
        </w:rPr>
        <w:t>; y</w:t>
      </w:r>
    </w:p>
    <w:p w:rsidR="00453CAA" w:rsidRDefault="00767C83">
      <w:pPr>
        <w:pBdr>
          <w:top w:val="nil"/>
          <w:left w:val="nil"/>
          <w:bottom w:val="nil"/>
          <w:right w:val="nil"/>
          <w:between w:val="nil"/>
        </w:pBdr>
        <w:spacing w:after="0" w:line="240" w:lineRule="auto"/>
        <w:ind w:right="-75"/>
        <w:jc w:val="both"/>
        <w:rPr>
          <w:rFonts w:ascii="Arial" w:eastAsia="Arial" w:hAnsi="Arial" w:cs="Arial"/>
          <w:b/>
          <w:bCs/>
          <w:color w:val="000000"/>
        </w:rPr>
      </w:pPr>
      <w:r>
        <w:rPr>
          <w:rFonts w:ascii="Arial" w:eastAsia="Arial" w:hAnsi="Arial" w:cs="Arial"/>
          <w:b/>
          <w:bCs/>
          <w:color w:val="000000"/>
        </w:rPr>
        <w:t>CONSIDERANDO:</w:t>
      </w:r>
    </w:p>
    <w:p w:rsidR="00453CAA" w:rsidRDefault="00453CAA">
      <w:pPr>
        <w:pBdr>
          <w:top w:val="nil"/>
          <w:left w:val="nil"/>
          <w:bottom w:val="nil"/>
          <w:right w:val="nil"/>
          <w:between w:val="nil"/>
        </w:pBdr>
        <w:spacing w:after="0" w:line="240" w:lineRule="auto"/>
        <w:ind w:right="-75"/>
        <w:jc w:val="both"/>
        <w:rPr>
          <w:rFonts w:ascii="Arial" w:eastAsia="Arial" w:hAnsi="Arial" w:cs="Arial"/>
          <w:b/>
          <w:bCs/>
        </w:rPr>
      </w:pPr>
    </w:p>
    <w:p w:rsidR="00453CAA" w:rsidRDefault="00767C83">
      <w:pPr>
        <w:spacing w:after="0" w:line="240" w:lineRule="auto"/>
        <w:ind w:right="-75" w:firstLine="720"/>
        <w:jc w:val="both"/>
        <w:rPr>
          <w:rFonts w:ascii="Arial" w:eastAsia="Arial" w:hAnsi="Arial" w:cs="Arial"/>
        </w:rPr>
      </w:pPr>
      <w:r>
        <w:rPr>
          <w:rFonts w:ascii="Arial" w:eastAsia="Arial" w:hAnsi="Arial" w:cs="Arial"/>
        </w:rPr>
        <w:t xml:space="preserve">Que, la Constitución de la República del Paraguay en su Capítulo VI “De la Salud”, Artículo 72. “Del control de calidad” dispone que: “El Estado velará por el control de la calidad de los productos alimenticios, químicos, farmacéuticos y biológicos, en las etapas de producción, importación y comercialización. Asimismo, facilitará el acceso de sectores de escasos recursos a los medicamentos considerados esenciales”. </w:t>
      </w:r>
    </w:p>
    <w:p w:rsidR="00453CAA" w:rsidRDefault="00453CAA">
      <w:pPr>
        <w:spacing w:after="0" w:line="240" w:lineRule="auto"/>
        <w:ind w:right="-75" w:firstLine="720"/>
        <w:jc w:val="both"/>
        <w:rPr>
          <w:rFonts w:ascii="Arial" w:eastAsia="Arial" w:hAnsi="Arial" w:cs="Arial"/>
        </w:rPr>
      </w:pPr>
    </w:p>
    <w:p w:rsidR="00453CAA" w:rsidRDefault="00767C83">
      <w:pPr>
        <w:spacing w:after="0" w:line="240" w:lineRule="auto"/>
        <w:ind w:right="-75" w:firstLine="720"/>
        <w:jc w:val="both"/>
        <w:rPr>
          <w:rFonts w:ascii="Arial" w:eastAsia="Arial" w:hAnsi="Arial" w:cs="Arial"/>
        </w:rPr>
      </w:pPr>
      <w:r>
        <w:rPr>
          <w:rFonts w:ascii="Arial" w:eastAsia="Arial" w:hAnsi="Arial" w:cs="Arial"/>
        </w:rPr>
        <w:t xml:space="preserve">Que la Ley </w:t>
      </w:r>
      <w:proofErr w:type="spellStart"/>
      <w:r>
        <w:rPr>
          <w:rFonts w:ascii="Arial" w:eastAsia="Arial" w:hAnsi="Arial" w:cs="Arial"/>
        </w:rPr>
        <w:t>Nº</w:t>
      </w:r>
      <w:proofErr w:type="spellEnd"/>
      <w:r>
        <w:rPr>
          <w:rFonts w:ascii="Arial" w:eastAsia="Arial" w:hAnsi="Arial" w:cs="Arial"/>
        </w:rPr>
        <w:t xml:space="preserve"> 6788/2021, modificada por la Ley </w:t>
      </w:r>
      <w:proofErr w:type="spellStart"/>
      <w:r>
        <w:rPr>
          <w:rFonts w:ascii="Arial" w:eastAsia="Arial" w:hAnsi="Arial" w:cs="Arial"/>
        </w:rPr>
        <w:t>Nº</w:t>
      </w:r>
      <w:proofErr w:type="spellEnd"/>
      <w:r>
        <w:rPr>
          <w:rFonts w:ascii="Arial" w:eastAsia="Arial" w:hAnsi="Arial" w:cs="Arial"/>
        </w:rPr>
        <w:t xml:space="preserve"> 7361/2024, dispone la autonomía de la Dirección Nacional de Vigilancia Sanitaria y en su Artículo 3º establece que la Dirección Nacional de Vigilancia Sanitaria (DINAVISA) será la autoridad responsable en materia de regulación sanitaria de productos para la salud como medicamentos y afines, así como también en materia de alimentos y afines, con las competencias de regulación, control y fiscalización de los alimentos, y afines  de otras sustancias relacionadas con los alimentos, bebidas, aditivos y coadyuvantes alimentarios, alimentos dietéticos, ingredientes o materias primas a ser utilizadas en alimentos, envases en contacto con alimentos o artículos similares destinados a la alimentación humana, y la regulación, control, habilitación y fiscalización de los establecimientos, y de las actividades desarrolladas por las personas físicas o jurídicas que intervienen durante las etapas de: manipulación de alimentos, fabricación, elaboración, almacenamiento, fraccionamiento, control de calidad, disminución, expendio, comercialización, transporte, representación, importación, exportación, empaquetado, etiquetado, información y publicidad de alimentos y las tecnologías aplicadas a la industria alimentaria, de habilitación, inspección, registro sanitario, renovación de registro sanitario, despacho, importación y exportación y en todo otro concepto relacionado a sus funciones.</w:t>
      </w:r>
    </w:p>
    <w:p w:rsidR="00453CAA" w:rsidRDefault="00453CAA">
      <w:pPr>
        <w:spacing w:after="0" w:line="240" w:lineRule="auto"/>
        <w:ind w:right="-75" w:firstLine="720"/>
        <w:jc w:val="both"/>
        <w:rPr>
          <w:rFonts w:ascii="Arial" w:eastAsia="Arial" w:hAnsi="Arial" w:cs="Arial"/>
        </w:rPr>
      </w:pPr>
    </w:p>
    <w:p w:rsidR="00453CAA" w:rsidRDefault="00767C83">
      <w:pPr>
        <w:spacing w:after="0" w:line="240" w:lineRule="auto"/>
        <w:ind w:right="-75" w:firstLine="720"/>
        <w:jc w:val="both"/>
        <w:rPr>
          <w:rFonts w:ascii="Arial" w:eastAsia="Arial" w:hAnsi="Arial" w:cs="Arial"/>
        </w:rPr>
      </w:pPr>
      <w:r>
        <w:rPr>
          <w:rFonts w:ascii="Arial" w:eastAsia="Arial" w:hAnsi="Arial" w:cs="Arial"/>
        </w:rPr>
        <w:t xml:space="preserve">Que en virtud del Artículo 5º de la Ley </w:t>
      </w:r>
      <w:proofErr w:type="spellStart"/>
      <w:r>
        <w:rPr>
          <w:rFonts w:ascii="Arial" w:eastAsia="Arial" w:hAnsi="Arial" w:cs="Arial"/>
        </w:rPr>
        <w:t>Nº</w:t>
      </w:r>
      <w:proofErr w:type="spellEnd"/>
      <w:r>
        <w:rPr>
          <w:rFonts w:ascii="Arial" w:eastAsia="Arial" w:hAnsi="Arial" w:cs="Arial"/>
        </w:rPr>
        <w:t xml:space="preserve"> 6788/2021, modificado por la Ley </w:t>
      </w:r>
      <w:proofErr w:type="spellStart"/>
      <w:r>
        <w:rPr>
          <w:rFonts w:ascii="Arial" w:eastAsia="Arial" w:hAnsi="Arial" w:cs="Arial"/>
        </w:rPr>
        <w:t>Nº</w:t>
      </w:r>
      <w:proofErr w:type="spellEnd"/>
      <w:r>
        <w:rPr>
          <w:rFonts w:ascii="Arial" w:eastAsia="Arial" w:hAnsi="Arial" w:cs="Arial"/>
        </w:rPr>
        <w:t xml:space="preserve"> 7361/2024 la Dirección Nacional de Vigilancia Sanitaria (DINAVISA), como Autoridad Regulatoria Nacional tiene por finalidad velar por la protección de la salud humana, prevé las funciones que deberá cumplir: </w:t>
      </w:r>
      <w:r>
        <w:rPr>
          <w:rFonts w:ascii="Arial" w:eastAsia="Arial" w:hAnsi="Arial" w:cs="Arial"/>
          <w:i/>
          <w:iCs/>
        </w:rPr>
        <w:t xml:space="preserve">“…2) Establecer normas, reglamentos técnicos, guías y códigos de buenas prácticas en el ámbito cuya regulación y control le son asignados por ley, y actualizarlas de forma periódica en concordancia con la evolución científica y tecnológica…Otorgar la habilitación o registro, regular y ejercer el control y la </w:t>
      </w:r>
      <w:proofErr w:type="spellStart"/>
      <w:r>
        <w:rPr>
          <w:rFonts w:ascii="Arial" w:eastAsia="Arial" w:hAnsi="Arial" w:cs="Arial"/>
          <w:i/>
          <w:iCs/>
        </w:rPr>
        <w:t>ﬁscalización</w:t>
      </w:r>
      <w:proofErr w:type="spellEnd"/>
      <w:r>
        <w:rPr>
          <w:rFonts w:ascii="Arial" w:eastAsia="Arial" w:hAnsi="Arial" w:cs="Arial"/>
          <w:i/>
          <w:iCs/>
        </w:rPr>
        <w:t xml:space="preserve"> de los establecimientos dedicados a las actividades relacionadas a los productos del ámbito de su competencia… 11) Establecer medidas de carácter general para la aplicación de las buenas prácticas o mejores estándares técnicos para la producción, transporte, almacenamiento y las demás actividades dirigidas al consumo de los productos objeto de vigilancia de la entidad… 14) Liderar en coordinación con entidades especializadas en la </w:t>
      </w:r>
      <w:r>
        <w:rPr>
          <w:rFonts w:ascii="Arial" w:eastAsia="Arial" w:hAnsi="Arial" w:cs="Arial"/>
          <w:i/>
          <w:iCs/>
        </w:rPr>
        <w:lastRenderedPageBreak/>
        <w:t>materia la elaboración de normas técnicas de calidad en los temas de su competencia…15) Establecer las reglamentaciones técnicas para la ejecución de cualquier actividad de su competencia en todo el territorio nacional, de acuerdo a las legislaciones pertinentes, siendo las mismas de acatamiento obligatorio por parte de toda persona física, jurídica u organismos públicos o privados sin excepción... 30) Autorizar las importaciones y exportaciones de productos de su competencia, conforme a las disposiciones legales vigentes… 33) Regular y fiscalizar las actividades realizadas por las personas físicas o jurídicas que intervienen durante las etapas de la fabricación, elaboración, fraccionamiento, control de calidad, distribución, dispensación, comercialización, representación, importación, exportación, almacenamiento, información y publicidad de los productos alimenticios y otros que recaen bajo su competencia. 34) Regular, controlar y fiscalizar los alimentos, otras sustancias relacionadas con los alimentos, bebidas, aditivos y coadyuvantes alimentarios, alimentos dietéticos, ingredientes o materias primas a ser utilizadas en alimentos, envases en contacto con alimentos o artículos similares destinados a la alimentación humana; y otros afines y los que cuya regulación y control le sean asignados por ley…</w:t>
      </w:r>
      <w:r>
        <w:rPr>
          <w:rFonts w:ascii="Arial" w:eastAsia="Arial" w:hAnsi="Arial" w:cs="Arial"/>
        </w:rPr>
        <w:t xml:space="preserve">”. </w:t>
      </w:r>
    </w:p>
    <w:p w:rsidR="00453CAA" w:rsidRDefault="00453CAA">
      <w:pPr>
        <w:spacing w:after="0" w:line="240" w:lineRule="auto"/>
        <w:ind w:right="-75" w:firstLine="720"/>
        <w:jc w:val="both"/>
        <w:rPr>
          <w:rFonts w:ascii="Arial" w:eastAsia="Arial" w:hAnsi="Arial" w:cs="Arial"/>
        </w:rPr>
      </w:pPr>
    </w:p>
    <w:p w:rsidR="00453CAA" w:rsidRDefault="00767C83">
      <w:pPr>
        <w:spacing w:after="0" w:line="240" w:lineRule="auto"/>
        <w:ind w:right="-75" w:firstLine="720"/>
        <w:jc w:val="both"/>
        <w:rPr>
          <w:rFonts w:ascii="Arial" w:eastAsia="Arial" w:hAnsi="Arial" w:cs="Arial"/>
        </w:rPr>
      </w:pPr>
      <w:r>
        <w:rPr>
          <w:rFonts w:ascii="Arial" w:eastAsia="Arial" w:hAnsi="Arial" w:cs="Arial"/>
        </w:rPr>
        <w:t>Que a partir de la Ley N.º 7050/2023, “Que aprueba el Presupuesto General de la Nación para el Ejercicio Fiscal 2023” se consagra la autarquía de la Entidad 23 38 Dirección Nacional de Vigilancia Sanitaria.</w:t>
      </w:r>
    </w:p>
    <w:p w:rsidR="00453CAA" w:rsidRDefault="00453CAA">
      <w:pPr>
        <w:spacing w:after="0" w:line="240" w:lineRule="auto"/>
        <w:ind w:right="-75" w:firstLine="720"/>
        <w:jc w:val="both"/>
        <w:rPr>
          <w:rFonts w:ascii="Arial" w:eastAsia="Arial" w:hAnsi="Arial" w:cs="Arial"/>
        </w:rPr>
      </w:pPr>
    </w:p>
    <w:p w:rsidR="00453CAA" w:rsidRDefault="00767C83">
      <w:pPr>
        <w:spacing w:after="0" w:line="240" w:lineRule="auto"/>
        <w:ind w:right="-75" w:firstLine="720"/>
        <w:jc w:val="both"/>
        <w:rPr>
          <w:rFonts w:ascii="Arial" w:eastAsia="Arial" w:hAnsi="Arial" w:cs="Arial"/>
        </w:rPr>
      </w:pPr>
      <w:r>
        <w:rPr>
          <w:rFonts w:ascii="Arial" w:eastAsia="Arial" w:hAnsi="Arial" w:cs="Arial"/>
        </w:rPr>
        <w:t xml:space="preserve">Que de acuerdo a la Ley </w:t>
      </w:r>
      <w:proofErr w:type="spellStart"/>
      <w:r>
        <w:rPr>
          <w:rFonts w:ascii="Arial" w:eastAsia="Arial" w:hAnsi="Arial" w:cs="Arial"/>
        </w:rPr>
        <w:t>N°</w:t>
      </w:r>
      <w:proofErr w:type="spellEnd"/>
      <w:r>
        <w:rPr>
          <w:rFonts w:ascii="Arial" w:eastAsia="Arial" w:hAnsi="Arial" w:cs="Arial"/>
        </w:rPr>
        <w:t xml:space="preserve"> 1119 del 10 de octubre de 1997 “De productos para la salud y otros”, donde se establecen disposiciones regulatorias de los productos para la salud, estipula de acuerdo a su Artículo 1° que regula la comercialización de todo producto de uso y aplicación en medicina humana al tiempo de regular también la actuación de las personas físicas o jurídicas que intervienen en las actividades relativas.</w:t>
      </w:r>
    </w:p>
    <w:p w:rsidR="00453CAA" w:rsidRDefault="00453CAA">
      <w:pPr>
        <w:spacing w:after="0" w:line="240" w:lineRule="auto"/>
        <w:ind w:right="-75" w:firstLine="720"/>
        <w:jc w:val="both"/>
        <w:rPr>
          <w:rFonts w:ascii="Arial" w:eastAsia="Arial" w:hAnsi="Arial" w:cs="Arial"/>
        </w:rPr>
      </w:pPr>
    </w:p>
    <w:p w:rsidR="00453CAA" w:rsidRDefault="00767C83">
      <w:pPr>
        <w:spacing w:after="0" w:line="240" w:lineRule="auto"/>
        <w:ind w:right="-75" w:firstLine="720"/>
        <w:jc w:val="both"/>
        <w:rPr>
          <w:rFonts w:ascii="Arial" w:eastAsia="Arial" w:hAnsi="Arial" w:cs="Arial"/>
        </w:rPr>
      </w:pPr>
      <w:r>
        <w:rPr>
          <w:rFonts w:ascii="Arial" w:eastAsia="Arial" w:hAnsi="Arial" w:cs="Arial"/>
        </w:rPr>
        <w:t>Que, la misma ley en su artículo 27, expresa: “1. La autoridad sanitaria nacional contará con uno o más laboratorios analíticos propios para realizar los análisis que se requieran, según lo establecido en el programa nacional de control y vigilancia sanitaria, sin perjuicio de que pueda derivar determinadas actividades propias de control de calidad en laboratorios autorizados, nacionales, extranjeros o de la OMS y OPS, con los que haya celebrado acuerdos para este fin , o en casos específicos para algunas determinaciones que por su naturaleza, no estén en condiciones de efectuar por sí mismo. 2. Los laboratorios deberán cumplir con las buenas prácticas que se reglamenten”.</w:t>
      </w:r>
    </w:p>
    <w:p w:rsidR="00453CAA" w:rsidRDefault="00453CAA">
      <w:pPr>
        <w:spacing w:after="0" w:line="240" w:lineRule="auto"/>
        <w:ind w:right="-75" w:firstLine="720"/>
        <w:jc w:val="both"/>
        <w:rPr>
          <w:rFonts w:ascii="Arial" w:eastAsia="Arial" w:hAnsi="Arial" w:cs="Arial"/>
        </w:rPr>
      </w:pPr>
    </w:p>
    <w:p w:rsidR="00453CAA" w:rsidRDefault="00767C83">
      <w:pPr>
        <w:spacing w:after="0" w:line="240" w:lineRule="auto"/>
        <w:ind w:right="-75" w:firstLine="720"/>
        <w:jc w:val="both"/>
        <w:rPr>
          <w:rFonts w:ascii="Arial" w:eastAsia="Arial" w:hAnsi="Arial" w:cs="Arial"/>
        </w:rPr>
      </w:pPr>
      <w:r>
        <w:rPr>
          <w:rFonts w:ascii="Arial" w:eastAsia="Arial" w:hAnsi="Arial" w:cs="Arial"/>
        </w:rPr>
        <w:t>Que la validación de las metodologías analíticas constituye un proceso crítico para garantizar resultados confiables y adecuados a la finalidad a la que se destinan.</w:t>
      </w:r>
    </w:p>
    <w:p w:rsidR="00453CAA" w:rsidRDefault="00453CAA">
      <w:pPr>
        <w:spacing w:after="0" w:line="240" w:lineRule="auto"/>
        <w:ind w:right="-75"/>
        <w:jc w:val="both"/>
        <w:rPr>
          <w:rFonts w:ascii="Arial" w:eastAsia="Arial" w:hAnsi="Arial" w:cs="Arial"/>
        </w:rPr>
      </w:pPr>
    </w:p>
    <w:p w:rsidR="00453CAA" w:rsidRDefault="00767C83">
      <w:pPr>
        <w:spacing w:after="0" w:line="240" w:lineRule="auto"/>
        <w:ind w:right="-75" w:firstLine="720"/>
        <w:jc w:val="both"/>
        <w:rPr>
          <w:rFonts w:ascii="Arial" w:eastAsia="Arial" w:hAnsi="Arial" w:cs="Arial"/>
        </w:rPr>
      </w:pPr>
      <w:r>
        <w:rPr>
          <w:rFonts w:ascii="Arial" w:eastAsia="Arial" w:hAnsi="Arial" w:cs="Arial"/>
        </w:rPr>
        <w:t xml:space="preserve">Que las guías internacionales ICH Q2(R1) (validación de métodos), ICH Q14 (desarrollo de métodos analíticos) e ICH M10 (validación de métodos </w:t>
      </w:r>
      <w:proofErr w:type="spellStart"/>
      <w:r>
        <w:rPr>
          <w:rFonts w:ascii="Arial" w:eastAsia="Arial" w:hAnsi="Arial" w:cs="Arial"/>
        </w:rPr>
        <w:t>bioanalíticos</w:t>
      </w:r>
      <w:proofErr w:type="spellEnd"/>
      <w:r>
        <w:rPr>
          <w:rFonts w:ascii="Arial" w:eastAsia="Arial" w:hAnsi="Arial" w:cs="Arial"/>
        </w:rPr>
        <w:t>) recomiendan asegurar equivalencia y robustez en la transferencia de metodologías.</w:t>
      </w:r>
    </w:p>
    <w:p w:rsidR="00453CAA" w:rsidRDefault="00453CAA">
      <w:pPr>
        <w:spacing w:after="0" w:line="240" w:lineRule="auto"/>
        <w:ind w:right="-75" w:firstLine="720"/>
        <w:jc w:val="both"/>
        <w:rPr>
          <w:rFonts w:ascii="Arial" w:eastAsia="Arial" w:hAnsi="Arial" w:cs="Arial"/>
        </w:rPr>
      </w:pPr>
    </w:p>
    <w:p w:rsidR="00453CAA" w:rsidRDefault="00767C83">
      <w:pPr>
        <w:spacing w:after="0" w:line="240" w:lineRule="auto"/>
        <w:ind w:right="-75" w:firstLine="720"/>
        <w:jc w:val="both"/>
        <w:rPr>
          <w:rFonts w:ascii="Arial" w:eastAsia="Arial" w:hAnsi="Arial" w:cs="Arial"/>
        </w:rPr>
      </w:pPr>
      <w:r>
        <w:rPr>
          <w:rFonts w:ascii="Arial" w:eastAsia="Arial" w:hAnsi="Arial" w:cs="Arial"/>
        </w:rPr>
        <w:lastRenderedPageBreak/>
        <w:t>Que resulta necesario reglamentar la validación de metodologías analíticas, a fin de garantizar mayor claridad en los procedimientos, uniformidad en los criterios de evaluación de las metodologías analíticas presentadas por los laboratorios de control de calidad de medicamentos.</w:t>
      </w:r>
    </w:p>
    <w:p w:rsidR="00453CAA" w:rsidRDefault="00453CAA">
      <w:pPr>
        <w:spacing w:after="0" w:line="240" w:lineRule="auto"/>
        <w:ind w:right="-75" w:firstLine="720"/>
        <w:jc w:val="both"/>
        <w:rPr>
          <w:rFonts w:ascii="Arial" w:eastAsia="Arial" w:hAnsi="Arial" w:cs="Arial"/>
        </w:rPr>
      </w:pPr>
    </w:p>
    <w:p w:rsidR="00453CAA" w:rsidRDefault="00767C83">
      <w:pPr>
        <w:spacing w:after="0" w:line="240" w:lineRule="auto"/>
        <w:ind w:right="-75" w:firstLine="720"/>
        <w:jc w:val="both"/>
        <w:rPr>
          <w:rFonts w:ascii="Arial" w:eastAsia="Arial" w:hAnsi="Arial" w:cs="Arial"/>
        </w:rPr>
      </w:pPr>
      <w:r>
        <w:rPr>
          <w:rFonts w:ascii="Arial" w:eastAsia="Arial" w:hAnsi="Arial" w:cs="Arial"/>
        </w:rPr>
        <w:t xml:space="preserve">Que la Dirección General de Asuntos Legales </w:t>
      </w:r>
      <w:r w:rsidRPr="001F2881">
        <w:rPr>
          <w:rFonts w:ascii="Arial" w:eastAsia="Arial" w:hAnsi="Arial" w:cs="Arial"/>
        </w:rPr>
        <w:t xml:space="preserve">se ha expedido favorablemente a la firma de la presente resolución, según Dictamen DINAVISA DGAL </w:t>
      </w:r>
      <w:proofErr w:type="spellStart"/>
      <w:r w:rsidRPr="001F2881">
        <w:rPr>
          <w:rFonts w:ascii="Arial" w:eastAsia="Arial" w:hAnsi="Arial" w:cs="Arial"/>
        </w:rPr>
        <w:t>N°</w:t>
      </w:r>
      <w:proofErr w:type="spellEnd"/>
      <w:r w:rsidRPr="001F2881">
        <w:rPr>
          <w:rFonts w:ascii="Arial" w:eastAsia="Arial" w:hAnsi="Arial" w:cs="Arial"/>
        </w:rPr>
        <w:t xml:space="preserve"> XXXX, de fecha XX de XXXX de 2026.</w:t>
      </w:r>
    </w:p>
    <w:p w:rsidR="00453CAA" w:rsidRDefault="00453CAA">
      <w:pPr>
        <w:spacing w:after="0" w:line="240" w:lineRule="auto"/>
        <w:ind w:right="-75" w:firstLine="720"/>
        <w:jc w:val="both"/>
        <w:rPr>
          <w:rFonts w:ascii="Arial" w:eastAsia="Arial" w:hAnsi="Arial" w:cs="Arial"/>
        </w:rPr>
      </w:pPr>
    </w:p>
    <w:p w:rsidR="00453CAA" w:rsidRDefault="00767C83">
      <w:pPr>
        <w:spacing w:after="0" w:line="240" w:lineRule="auto"/>
        <w:ind w:right="-75"/>
        <w:jc w:val="both"/>
        <w:rPr>
          <w:rFonts w:ascii="Arial" w:eastAsia="Arial" w:hAnsi="Arial" w:cs="Arial"/>
          <w:color w:val="000000"/>
        </w:rPr>
      </w:pPr>
      <w:r>
        <w:rPr>
          <w:rFonts w:ascii="Arial" w:eastAsia="Arial" w:hAnsi="Arial" w:cs="Arial"/>
          <w:b/>
          <w:bCs/>
          <w:color w:val="000000"/>
        </w:rPr>
        <w:t>POR TANTO</w:t>
      </w:r>
      <w:r>
        <w:rPr>
          <w:rFonts w:ascii="Arial" w:eastAsia="Arial" w:hAnsi="Arial" w:cs="Arial"/>
          <w:color w:val="000000"/>
        </w:rPr>
        <w:t>, en ejercicio de sus atribuciones legales,</w:t>
      </w:r>
    </w:p>
    <w:p w:rsidR="00453CAA" w:rsidRDefault="00453CAA">
      <w:pPr>
        <w:spacing w:after="0" w:line="240" w:lineRule="auto"/>
        <w:ind w:right="-75"/>
        <w:jc w:val="center"/>
        <w:rPr>
          <w:rFonts w:ascii="Arial" w:eastAsia="Arial" w:hAnsi="Arial" w:cs="Arial"/>
        </w:rPr>
      </w:pPr>
    </w:p>
    <w:p w:rsidR="00453CAA" w:rsidRDefault="00767C83">
      <w:pPr>
        <w:spacing w:after="0" w:line="240" w:lineRule="auto"/>
        <w:ind w:right="-75"/>
        <w:jc w:val="center"/>
        <w:rPr>
          <w:rFonts w:ascii="Arial" w:eastAsia="Arial" w:hAnsi="Arial" w:cs="Arial"/>
        </w:rPr>
      </w:pPr>
      <w:r>
        <w:rPr>
          <w:rFonts w:ascii="Arial" w:eastAsia="Arial" w:hAnsi="Arial" w:cs="Arial"/>
          <w:b/>
          <w:bCs/>
          <w:color w:val="000000"/>
        </w:rPr>
        <w:t>EL DIRECTOR NACIONAL INTERINO DE LA DIRECCIÓN NACIONAL DE VIGILANCIA SANITARIA</w:t>
      </w:r>
    </w:p>
    <w:p w:rsidR="00453CAA" w:rsidRDefault="00453CAA">
      <w:pPr>
        <w:spacing w:after="0" w:line="240" w:lineRule="auto"/>
        <w:ind w:right="-75"/>
        <w:rPr>
          <w:rFonts w:ascii="Arial" w:eastAsia="Arial" w:hAnsi="Arial" w:cs="Arial"/>
          <w:sz w:val="10"/>
          <w:szCs w:val="10"/>
        </w:rPr>
      </w:pPr>
    </w:p>
    <w:p w:rsidR="00453CAA" w:rsidRDefault="00767C83">
      <w:pPr>
        <w:spacing w:line="240" w:lineRule="auto"/>
        <w:ind w:right="-75"/>
        <w:jc w:val="center"/>
        <w:rPr>
          <w:rFonts w:ascii="Arial" w:eastAsia="Arial" w:hAnsi="Arial" w:cs="Arial"/>
          <w:b/>
          <w:bCs/>
          <w:color w:val="000000"/>
        </w:rPr>
      </w:pPr>
      <w:r>
        <w:rPr>
          <w:rFonts w:ascii="Arial" w:eastAsia="Arial" w:hAnsi="Arial" w:cs="Arial"/>
          <w:b/>
          <w:bCs/>
          <w:color w:val="000000"/>
        </w:rPr>
        <w:t>RESUELVE:</w:t>
      </w:r>
    </w:p>
    <w:p w:rsidR="00453CAA" w:rsidRDefault="00767C83">
      <w:pPr>
        <w:spacing w:before="240" w:after="240" w:line="240" w:lineRule="auto"/>
        <w:ind w:left="1417" w:right="-75" w:hanging="1417"/>
        <w:jc w:val="both"/>
        <w:rPr>
          <w:rFonts w:ascii="Arial" w:eastAsia="Arial" w:hAnsi="Arial" w:cs="Arial"/>
        </w:rPr>
      </w:pPr>
      <w:r>
        <w:rPr>
          <w:rFonts w:ascii="Arial" w:eastAsia="Arial" w:hAnsi="Arial" w:cs="Arial"/>
          <w:b/>
          <w:bCs/>
        </w:rPr>
        <w:t>Artículo 1</w:t>
      </w:r>
      <w:proofErr w:type="gramStart"/>
      <w:r>
        <w:rPr>
          <w:rFonts w:ascii="Arial" w:eastAsia="Arial" w:hAnsi="Arial" w:cs="Arial"/>
          <w:b/>
          <w:bCs/>
        </w:rPr>
        <w:t>°.-</w:t>
      </w:r>
      <w:proofErr w:type="gramEnd"/>
      <w:r>
        <w:rPr>
          <w:rFonts w:ascii="Arial" w:eastAsia="Arial" w:hAnsi="Arial" w:cs="Arial"/>
          <w:b/>
          <w:bCs/>
        </w:rPr>
        <w:tab/>
      </w:r>
      <w:r>
        <w:rPr>
          <w:rFonts w:ascii="Arial" w:eastAsia="Arial" w:hAnsi="Arial" w:cs="Arial"/>
        </w:rPr>
        <w:t xml:space="preserve">Reglamentar la validación de metodologías analíticas a ser aplicadas en las pruebas de laboratorio de control de calidad de medicamentos, conforme a lo dispuesto en la presente Resolución. </w:t>
      </w:r>
    </w:p>
    <w:p w:rsidR="00453CAA" w:rsidRDefault="00767C83">
      <w:pPr>
        <w:spacing w:before="240" w:after="240" w:line="240" w:lineRule="auto"/>
        <w:ind w:left="1417" w:right="-75" w:hanging="1417"/>
        <w:jc w:val="both"/>
        <w:rPr>
          <w:rFonts w:ascii="Arial" w:eastAsia="Arial" w:hAnsi="Arial" w:cs="Arial"/>
          <w:strike/>
          <w:color w:val="ED7D31"/>
        </w:rPr>
      </w:pPr>
      <w:r>
        <w:rPr>
          <w:rFonts w:ascii="Arial" w:eastAsia="Arial" w:hAnsi="Arial" w:cs="Arial"/>
          <w:b/>
          <w:bCs/>
        </w:rPr>
        <w:t>Artículo 2</w:t>
      </w:r>
      <w:proofErr w:type="gramStart"/>
      <w:r>
        <w:rPr>
          <w:rFonts w:ascii="Arial" w:eastAsia="Arial" w:hAnsi="Arial" w:cs="Arial"/>
          <w:b/>
          <w:bCs/>
        </w:rPr>
        <w:t>°.-</w:t>
      </w:r>
      <w:proofErr w:type="gramEnd"/>
      <w:r>
        <w:rPr>
          <w:rFonts w:ascii="Arial" w:eastAsia="Arial" w:hAnsi="Arial" w:cs="Arial"/>
          <w:b/>
          <w:bCs/>
        </w:rPr>
        <w:tab/>
      </w:r>
      <w:r>
        <w:rPr>
          <w:rFonts w:ascii="Arial" w:eastAsia="Arial" w:hAnsi="Arial" w:cs="Arial"/>
        </w:rPr>
        <w:t>Establecer los criterios a tener en cuenta para la validación de métodos analíticos utilizados para el análisis de materias primas, semielaborados y medicamentos en todas sus fases de producción.</w:t>
      </w:r>
    </w:p>
    <w:p w:rsidR="00453CAA" w:rsidRDefault="00767C83">
      <w:pPr>
        <w:spacing w:before="240" w:after="240" w:line="240" w:lineRule="auto"/>
        <w:ind w:left="1417" w:right="-75" w:hanging="1417"/>
        <w:jc w:val="both"/>
        <w:rPr>
          <w:rFonts w:ascii="Arial" w:eastAsia="Arial" w:hAnsi="Arial" w:cs="Arial"/>
          <w:strike/>
        </w:rPr>
      </w:pPr>
      <w:r>
        <w:rPr>
          <w:rFonts w:ascii="Arial" w:eastAsia="Arial" w:hAnsi="Arial" w:cs="Arial"/>
          <w:b/>
          <w:bCs/>
        </w:rPr>
        <w:t>Artículo 3</w:t>
      </w:r>
      <w:proofErr w:type="gramStart"/>
      <w:r>
        <w:rPr>
          <w:rFonts w:ascii="Arial" w:eastAsia="Arial" w:hAnsi="Arial" w:cs="Arial"/>
          <w:b/>
          <w:bCs/>
        </w:rPr>
        <w:t>°.-</w:t>
      </w:r>
      <w:proofErr w:type="gramEnd"/>
      <w:r>
        <w:rPr>
          <w:rFonts w:ascii="Arial" w:eastAsia="Arial" w:hAnsi="Arial" w:cs="Arial"/>
          <w:b/>
          <w:bCs/>
        </w:rPr>
        <w:tab/>
      </w:r>
      <w:r>
        <w:rPr>
          <w:rFonts w:ascii="Arial" w:eastAsia="Arial" w:hAnsi="Arial" w:cs="Arial"/>
        </w:rPr>
        <w:t>A los efectos de la presente resolución, se entenderá por:</w:t>
      </w:r>
    </w:p>
    <w:p w:rsidR="00453CAA" w:rsidRDefault="00453CAA">
      <w:pPr>
        <w:pBdr>
          <w:top w:val="nil"/>
          <w:left w:val="nil"/>
          <w:bottom w:val="nil"/>
          <w:right w:val="nil"/>
          <w:between w:val="nil"/>
        </w:pBdr>
        <w:spacing w:after="0" w:line="240" w:lineRule="auto"/>
        <w:ind w:left="1785" w:right="-75"/>
        <w:jc w:val="both"/>
        <w:rPr>
          <w:rFonts w:ascii="Arial" w:eastAsia="Arial" w:hAnsi="Arial" w:cs="Arial"/>
        </w:rPr>
      </w:pPr>
    </w:p>
    <w:p w:rsidR="00453CAA" w:rsidRDefault="00767C83">
      <w:pPr>
        <w:numPr>
          <w:ilvl w:val="0"/>
          <w:numId w:val="10"/>
        </w:numPr>
        <w:pBdr>
          <w:top w:val="nil"/>
          <w:left w:val="nil"/>
          <w:bottom w:val="nil"/>
          <w:right w:val="nil"/>
          <w:between w:val="nil"/>
        </w:pBdr>
        <w:spacing w:after="0" w:line="240" w:lineRule="auto"/>
        <w:ind w:right="-75"/>
        <w:jc w:val="both"/>
        <w:rPr>
          <w:rFonts w:ascii="Arial" w:eastAsia="Arial" w:hAnsi="Arial" w:cs="Arial"/>
          <w:color w:val="000000"/>
        </w:rPr>
      </w:pPr>
      <w:r>
        <w:rPr>
          <w:rFonts w:ascii="Arial" w:eastAsia="Arial" w:hAnsi="Arial" w:cs="Arial"/>
          <w:b/>
          <w:bCs/>
          <w:color w:val="000000"/>
        </w:rPr>
        <w:t>Validación analítica:</w:t>
      </w:r>
      <w:r>
        <w:rPr>
          <w:rFonts w:ascii="Arial" w:eastAsia="Arial" w:hAnsi="Arial" w:cs="Arial"/>
          <w:color w:val="000000"/>
        </w:rPr>
        <w:t xml:space="preserve">  Es la evaluación sistemática de una metodología mediante ensayos experimentales, destinada a confirmar con evidencias objetivas que el método produce resultados confiables y es adecuado para su uso previsto, de manera documentada y conforme a criterios objetivos.</w:t>
      </w:r>
    </w:p>
    <w:p w:rsidR="00453CAA" w:rsidRDefault="00453CAA">
      <w:pPr>
        <w:pBdr>
          <w:top w:val="nil"/>
          <w:left w:val="nil"/>
          <w:bottom w:val="nil"/>
          <w:right w:val="nil"/>
          <w:between w:val="nil"/>
        </w:pBdr>
        <w:spacing w:after="0" w:line="240" w:lineRule="auto"/>
        <w:ind w:left="1785" w:right="-75"/>
        <w:jc w:val="both"/>
        <w:rPr>
          <w:rFonts w:ascii="Arial" w:eastAsia="Arial" w:hAnsi="Arial" w:cs="Arial"/>
        </w:rPr>
      </w:pPr>
    </w:p>
    <w:p w:rsidR="00453CAA" w:rsidRDefault="00767C83">
      <w:pPr>
        <w:numPr>
          <w:ilvl w:val="0"/>
          <w:numId w:val="10"/>
        </w:numPr>
        <w:pBdr>
          <w:top w:val="nil"/>
          <w:left w:val="nil"/>
          <w:bottom w:val="nil"/>
          <w:right w:val="nil"/>
          <w:between w:val="nil"/>
        </w:pBdr>
        <w:spacing w:after="0" w:line="240" w:lineRule="auto"/>
        <w:ind w:right="-75"/>
        <w:jc w:val="both"/>
        <w:rPr>
          <w:rFonts w:ascii="Arial" w:eastAsia="Arial" w:hAnsi="Arial" w:cs="Arial"/>
          <w:color w:val="000000"/>
        </w:rPr>
      </w:pPr>
      <w:r>
        <w:rPr>
          <w:rFonts w:ascii="Arial" w:eastAsia="Arial" w:hAnsi="Arial" w:cs="Arial"/>
          <w:b/>
          <w:bCs/>
          <w:color w:val="000000"/>
        </w:rPr>
        <w:t>Validación parcial:</w:t>
      </w:r>
      <w:r>
        <w:rPr>
          <w:rFonts w:ascii="Arial" w:eastAsia="Arial" w:hAnsi="Arial" w:cs="Arial"/>
          <w:color w:val="000000"/>
        </w:rPr>
        <w:t xml:space="preserve">  Demostración, mediante algunos parámetros de validación, de que el método analítico previamente validado conserva las características necesarias para obtener resultados con la calidad exigida, en las condiciones en que se aplica.</w:t>
      </w:r>
    </w:p>
    <w:p w:rsidR="00453CAA" w:rsidRDefault="00453CAA">
      <w:pPr>
        <w:pBdr>
          <w:top w:val="nil"/>
          <w:left w:val="nil"/>
          <w:bottom w:val="nil"/>
          <w:right w:val="nil"/>
          <w:between w:val="nil"/>
        </w:pBdr>
        <w:spacing w:after="0" w:line="240" w:lineRule="auto"/>
        <w:ind w:left="1785" w:right="-75"/>
        <w:jc w:val="both"/>
        <w:rPr>
          <w:rFonts w:ascii="Arial" w:eastAsia="Arial" w:hAnsi="Arial" w:cs="Arial"/>
        </w:rPr>
      </w:pPr>
    </w:p>
    <w:p w:rsidR="00453CAA" w:rsidRDefault="00767C83">
      <w:pPr>
        <w:numPr>
          <w:ilvl w:val="0"/>
          <w:numId w:val="10"/>
        </w:numPr>
        <w:pBdr>
          <w:top w:val="nil"/>
          <w:left w:val="nil"/>
          <w:bottom w:val="nil"/>
          <w:right w:val="nil"/>
          <w:between w:val="nil"/>
        </w:pBdr>
        <w:spacing w:after="240" w:line="240" w:lineRule="auto"/>
        <w:ind w:right="-75"/>
        <w:jc w:val="both"/>
        <w:rPr>
          <w:rFonts w:ascii="Arial" w:eastAsia="Arial" w:hAnsi="Arial" w:cs="Arial"/>
          <w:color w:val="000000"/>
        </w:rPr>
      </w:pPr>
      <w:r>
        <w:rPr>
          <w:rFonts w:ascii="Arial" w:eastAsia="Arial" w:hAnsi="Arial" w:cs="Arial"/>
          <w:b/>
          <w:bCs/>
          <w:color w:val="000000"/>
        </w:rPr>
        <w:t>Verificación del sistema (</w:t>
      </w:r>
      <w:proofErr w:type="spellStart"/>
      <w:r>
        <w:rPr>
          <w:rFonts w:ascii="Arial" w:eastAsia="Arial" w:hAnsi="Arial" w:cs="Arial"/>
          <w:b/>
          <w:bCs/>
          <w:color w:val="000000"/>
        </w:rPr>
        <w:t>system</w:t>
      </w:r>
      <w:proofErr w:type="spellEnd"/>
      <w:r>
        <w:rPr>
          <w:rFonts w:ascii="Arial" w:eastAsia="Arial" w:hAnsi="Arial" w:cs="Arial"/>
          <w:b/>
          <w:bCs/>
          <w:color w:val="000000"/>
        </w:rPr>
        <w:t xml:space="preserve"> </w:t>
      </w:r>
      <w:proofErr w:type="spellStart"/>
      <w:r>
        <w:rPr>
          <w:rFonts w:ascii="Arial" w:eastAsia="Arial" w:hAnsi="Arial" w:cs="Arial"/>
          <w:b/>
          <w:bCs/>
          <w:color w:val="000000"/>
        </w:rPr>
        <w:t>suitability</w:t>
      </w:r>
      <w:proofErr w:type="spellEnd"/>
      <w:r>
        <w:rPr>
          <w:rFonts w:ascii="Arial" w:eastAsia="Arial" w:hAnsi="Arial" w:cs="Arial"/>
          <w:b/>
          <w:bCs/>
          <w:color w:val="000000"/>
        </w:rPr>
        <w:t>):</w:t>
      </w:r>
      <w:r>
        <w:rPr>
          <w:rFonts w:ascii="Arial" w:eastAsia="Arial" w:hAnsi="Arial" w:cs="Arial"/>
          <w:color w:val="000000"/>
        </w:rPr>
        <w:t xml:space="preserve">  Procedimiento que debe realizarse previamente a un análisis para demostrar que el sistema está apto para el uso previsto. Los parámetros de este procedimiento deben definirse durante el desarrollo y la validación del método.</w:t>
      </w:r>
    </w:p>
    <w:p w:rsidR="00453CAA" w:rsidRDefault="00767C83">
      <w:pPr>
        <w:numPr>
          <w:ilvl w:val="0"/>
          <w:numId w:val="10"/>
        </w:numPr>
        <w:pBdr>
          <w:top w:val="nil"/>
          <w:left w:val="nil"/>
          <w:bottom w:val="nil"/>
          <w:right w:val="nil"/>
          <w:between w:val="nil"/>
        </w:pBdr>
        <w:spacing w:after="240" w:line="240" w:lineRule="auto"/>
        <w:ind w:right="-75"/>
        <w:jc w:val="both"/>
        <w:rPr>
          <w:rFonts w:ascii="Arial" w:eastAsia="Arial" w:hAnsi="Arial" w:cs="Arial"/>
          <w:color w:val="000000"/>
        </w:rPr>
      </w:pPr>
      <w:r>
        <w:rPr>
          <w:rFonts w:ascii="Arial" w:eastAsia="Arial" w:hAnsi="Arial" w:cs="Arial"/>
          <w:b/>
          <w:bCs/>
          <w:color w:val="000000"/>
        </w:rPr>
        <w:lastRenderedPageBreak/>
        <w:t xml:space="preserve">Sustancia Química de Referencia (SQR): </w:t>
      </w:r>
      <w:r>
        <w:rPr>
          <w:rFonts w:ascii="Arial" w:eastAsia="Arial" w:hAnsi="Arial" w:cs="Arial"/>
          <w:color w:val="000000"/>
        </w:rPr>
        <w:t>sustancia o mezcla de sustancias químicas o biológicas con un alto grado de pureza, cuidadosamente caracterizadas para asegurar su identidad, calidad, contenido y potencia.</w:t>
      </w:r>
    </w:p>
    <w:p w:rsidR="00453CAA" w:rsidRDefault="00767C83">
      <w:pPr>
        <w:spacing w:before="240" w:after="240" w:line="240" w:lineRule="auto"/>
        <w:ind w:left="1418" w:right="-75" w:hanging="1418"/>
        <w:jc w:val="both"/>
        <w:rPr>
          <w:rFonts w:ascii="Arial" w:eastAsia="Arial" w:hAnsi="Arial" w:cs="Arial"/>
        </w:rPr>
      </w:pPr>
      <w:r>
        <w:rPr>
          <w:rFonts w:ascii="Arial" w:eastAsia="Arial" w:hAnsi="Arial" w:cs="Arial"/>
          <w:b/>
          <w:bCs/>
        </w:rPr>
        <w:t>Artículo 4</w:t>
      </w:r>
      <w:proofErr w:type="gramStart"/>
      <w:r>
        <w:rPr>
          <w:rFonts w:ascii="Arial" w:eastAsia="Arial" w:hAnsi="Arial" w:cs="Arial"/>
          <w:b/>
          <w:bCs/>
        </w:rPr>
        <w:t>°.-</w:t>
      </w:r>
      <w:proofErr w:type="gramEnd"/>
      <w:r>
        <w:rPr>
          <w:rFonts w:ascii="Arial" w:eastAsia="Arial" w:hAnsi="Arial" w:cs="Arial"/>
          <w:b/>
          <w:bCs/>
        </w:rPr>
        <w:t xml:space="preserve">  </w:t>
      </w:r>
      <w:r>
        <w:rPr>
          <w:rFonts w:ascii="Arial" w:eastAsia="Arial" w:hAnsi="Arial" w:cs="Arial"/>
          <w:b/>
          <w:bCs/>
        </w:rPr>
        <w:tab/>
      </w:r>
      <w:r>
        <w:rPr>
          <w:rFonts w:ascii="Arial" w:eastAsia="Arial" w:hAnsi="Arial" w:cs="Arial"/>
        </w:rPr>
        <w:t>Disponer que los parámetros a considerar para la validación dependen del ensayo que se realice y se encuentran en el Anexo I “PARÁMETROS DE VALIDACIÓN ANALÍTICA”, que forma parte de la presente Resolución.</w:t>
      </w:r>
    </w:p>
    <w:p w:rsidR="00453CAA" w:rsidRDefault="00767C83">
      <w:pPr>
        <w:spacing w:before="240" w:after="240" w:line="240" w:lineRule="auto"/>
        <w:ind w:left="1418" w:right="-75" w:hanging="1418"/>
        <w:jc w:val="both"/>
        <w:rPr>
          <w:rFonts w:ascii="Arial" w:eastAsia="Arial" w:hAnsi="Arial" w:cs="Arial"/>
        </w:rPr>
      </w:pPr>
      <w:r>
        <w:rPr>
          <w:rFonts w:ascii="Arial" w:eastAsia="Arial" w:hAnsi="Arial" w:cs="Arial"/>
          <w:b/>
          <w:bCs/>
        </w:rPr>
        <w:t>Artículo 5°. -</w:t>
      </w:r>
      <w:r>
        <w:rPr>
          <w:rFonts w:ascii="Arial" w:eastAsia="Arial" w:hAnsi="Arial" w:cs="Arial"/>
          <w:b/>
          <w:bCs/>
        </w:rPr>
        <w:tab/>
      </w:r>
      <w:r>
        <w:rPr>
          <w:rFonts w:ascii="Arial" w:eastAsia="Arial" w:hAnsi="Arial" w:cs="Arial"/>
        </w:rPr>
        <w:t>Establecer que la utilización de una metodología analítica no incluida en una farmacopea internacionalmente reconocida por la DINAVISA, requiere la realización de una validación analítica, conforme a los parámetros establecidos en la presente resolución.</w:t>
      </w:r>
      <w:r>
        <w:rPr>
          <w:rFonts w:ascii="Trebuchet MS" w:eastAsia="Trebuchet MS" w:hAnsi="Trebuchet MS" w:cs="Trebuchet MS"/>
        </w:rPr>
        <w:t xml:space="preserve"> </w:t>
      </w:r>
    </w:p>
    <w:p w:rsidR="00453CAA" w:rsidRDefault="00767C83">
      <w:pPr>
        <w:spacing w:before="240" w:after="240" w:line="240" w:lineRule="auto"/>
        <w:ind w:left="1417" w:right="-75" w:hanging="1417"/>
        <w:jc w:val="both"/>
        <w:rPr>
          <w:rFonts w:ascii="Arial" w:eastAsia="Arial" w:hAnsi="Arial" w:cs="Arial"/>
        </w:rPr>
      </w:pPr>
      <w:r>
        <w:rPr>
          <w:rFonts w:ascii="Arial" w:eastAsia="Arial" w:hAnsi="Arial" w:cs="Arial"/>
          <w:b/>
          <w:bCs/>
        </w:rPr>
        <w:t>Artículo 6°. -</w:t>
      </w:r>
      <w:r>
        <w:rPr>
          <w:rFonts w:ascii="Arial" w:eastAsia="Arial" w:hAnsi="Arial" w:cs="Arial"/>
          <w:b/>
          <w:bCs/>
        </w:rPr>
        <w:tab/>
      </w:r>
      <w:r>
        <w:rPr>
          <w:rFonts w:ascii="Arial" w:eastAsia="Arial" w:hAnsi="Arial" w:cs="Arial"/>
        </w:rPr>
        <w:t xml:space="preserve">Los métodos analíticos compendiados en farmacopeas internacionalmente reconocidas deben demostrar su adecuación al uso previsto, en las condiciones operacionales del laboratorio, mediante la presentación de un estudio de verificación del método (validación parcial). </w:t>
      </w:r>
    </w:p>
    <w:p w:rsidR="00453CAA" w:rsidRDefault="00767C83">
      <w:pPr>
        <w:spacing w:before="240" w:after="240" w:line="240" w:lineRule="auto"/>
        <w:ind w:left="1440" w:right="-75"/>
        <w:jc w:val="both"/>
        <w:rPr>
          <w:rFonts w:ascii="Arial" w:eastAsia="Arial" w:hAnsi="Arial" w:cs="Arial"/>
        </w:rPr>
      </w:pPr>
      <w:r>
        <w:rPr>
          <w:rFonts w:ascii="Arial" w:eastAsia="Arial" w:hAnsi="Arial" w:cs="Arial"/>
        </w:rPr>
        <w:t>Son exceptuados de la validación parcial los métodos compendiados generales básicos, como la medición de pH, pérdida por secado, cenizas sulfatadas, determinación de humedad, desintegración, entre otros, así como los métodos analíticos descritos en monografías individuales de ingredientes farmacéuticos no activos.</w:t>
      </w:r>
    </w:p>
    <w:p w:rsidR="00453CAA" w:rsidRDefault="00767C83">
      <w:pPr>
        <w:spacing w:before="240" w:after="240" w:line="240" w:lineRule="auto"/>
        <w:ind w:left="1418" w:right="-75" w:hanging="1418"/>
        <w:jc w:val="both"/>
        <w:rPr>
          <w:rFonts w:ascii="Arial" w:eastAsia="Arial" w:hAnsi="Arial" w:cs="Arial"/>
        </w:rPr>
      </w:pPr>
      <w:r>
        <w:rPr>
          <w:rFonts w:ascii="Arial" w:eastAsia="Arial" w:hAnsi="Arial" w:cs="Arial"/>
          <w:b/>
          <w:bCs/>
        </w:rPr>
        <w:t>Artículo 7°. -</w:t>
      </w:r>
      <w:r>
        <w:rPr>
          <w:rFonts w:ascii="Arial" w:eastAsia="Arial" w:hAnsi="Arial" w:cs="Arial"/>
          <w:b/>
          <w:bCs/>
        </w:rPr>
        <w:tab/>
      </w:r>
      <w:r>
        <w:rPr>
          <w:rFonts w:ascii="Arial" w:eastAsia="Arial" w:hAnsi="Arial" w:cs="Arial"/>
        </w:rPr>
        <w:t>La validación parcial debe evaluar, como mínimo, los parámetros de precisión, exactitud y selectividad. En el caso de ensayos límite, deben evaluarse los parámetros de selectividad y límite de detección, en lugar de los parámetros señalados.</w:t>
      </w:r>
    </w:p>
    <w:p w:rsidR="00453CAA" w:rsidRDefault="00767C83">
      <w:pPr>
        <w:spacing w:before="240" w:after="240" w:line="240" w:lineRule="auto"/>
        <w:ind w:left="1418" w:right="-75"/>
        <w:jc w:val="both"/>
        <w:rPr>
          <w:rFonts w:ascii="Arial" w:eastAsia="Arial" w:hAnsi="Arial" w:cs="Arial"/>
          <w:color w:val="ED7D31"/>
        </w:rPr>
      </w:pPr>
      <w:r>
        <w:rPr>
          <w:rFonts w:ascii="Arial" w:eastAsia="Arial" w:hAnsi="Arial" w:cs="Arial"/>
        </w:rPr>
        <w:t>En el caso de métodos analíticos destinados a la cuantificación de impurezas, la validación parcial debe incluir también el límite de cuantificación.</w:t>
      </w:r>
    </w:p>
    <w:p w:rsidR="00453CAA" w:rsidRDefault="00767C83">
      <w:pPr>
        <w:spacing w:before="240" w:after="240" w:line="240" w:lineRule="auto"/>
        <w:ind w:left="1418" w:right="-75" w:hanging="1418"/>
        <w:jc w:val="both"/>
        <w:rPr>
          <w:rFonts w:ascii="Arial" w:eastAsia="Arial" w:hAnsi="Arial" w:cs="Arial"/>
        </w:rPr>
      </w:pPr>
      <w:r>
        <w:rPr>
          <w:rFonts w:ascii="Arial" w:eastAsia="Arial" w:hAnsi="Arial" w:cs="Arial"/>
          <w:b/>
          <w:bCs/>
        </w:rPr>
        <w:t>Artículo 8°. -</w:t>
      </w:r>
      <w:r>
        <w:rPr>
          <w:rFonts w:ascii="Arial" w:eastAsia="Arial" w:hAnsi="Arial" w:cs="Arial"/>
          <w:b/>
          <w:bCs/>
        </w:rPr>
        <w:tab/>
      </w:r>
      <w:r>
        <w:rPr>
          <w:rFonts w:ascii="Arial" w:eastAsia="Arial" w:hAnsi="Arial" w:cs="Arial"/>
        </w:rPr>
        <w:t>La revalidación de un método analítico será exigida cuando se produzcan circunstancias que puedan impactar significativamente en su desempeño, tales como:</w:t>
      </w:r>
    </w:p>
    <w:p w:rsidR="00453CAA" w:rsidRDefault="00767C83">
      <w:pPr>
        <w:spacing w:before="240" w:after="240" w:line="240" w:lineRule="auto"/>
        <w:ind w:left="2409" w:right="-75" w:hanging="425"/>
        <w:jc w:val="both"/>
        <w:rPr>
          <w:rFonts w:ascii="Arial" w:eastAsia="Arial" w:hAnsi="Arial" w:cs="Arial"/>
        </w:rPr>
      </w:pPr>
      <w:r>
        <w:rPr>
          <w:rFonts w:ascii="Arial" w:eastAsia="Arial" w:hAnsi="Arial" w:cs="Arial"/>
        </w:rPr>
        <w:t xml:space="preserve">I. </w:t>
      </w:r>
      <w:r>
        <w:rPr>
          <w:rFonts w:ascii="Arial" w:eastAsia="Arial" w:hAnsi="Arial" w:cs="Arial"/>
        </w:rPr>
        <w:tab/>
        <w:t>modificaciones en la síntesis o en el proceso de obtención del ingrediente farmacéutico activo (IFA);</w:t>
      </w:r>
    </w:p>
    <w:p w:rsidR="00453CAA" w:rsidRDefault="00767C83">
      <w:pPr>
        <w:spacing w:before="240" w:after="240" w:line="240" w:lineRule="auto"/>
        <w:ind w:left="2409" w:right="-75" w:hanging="425"/>
        <w:jc w:val="both"/>
        <w:rPr>
          <w:rFonts w:ascii="Arial" w:eastAsia="Arial" w:hAnsi="Arial" w:cs="Arial"/>
        </w:rPr>
      </w:pPr>
      <w:r>
        <w:rPr>
          <w:rFonts w:ascii="Arial" w:eastAsia="Arial" w:hAnsi="Arial" w:cs="Arial"/>
        </w:rPr>
        <w:t xml:space="preserve">II. </w:t>
      </w:r>
      <w:r>
        <w:rPr>
          <w:rFonts w:ascii="Arial" w:eastAsia="Arial" w:hAnsi="Arial" w:cs="Arial"/>
        </w:rPr>
        <w:tab/>
        <w:t>modificaciones en la composición del producto terminado;</w:t>
      </w:r>
    </w:p>
    <w:p w:rsidR="00453CAA" w:rsidRDefault="00767C83">
      <w:pPr>
        <w:spacing w:before="240" w:after="240" w:line="240" w:lineRule="auto"/>
        <w:ind w:left="2409" w:right="-75" w:hanging="425"/>
        <w:jc w:val="both"/>
        <w:rPr>
          <w:rFonts w:ascii="Arial" w:eastAsia="Arial" w:hAnsi="Arial" w:cs="Arial"/>
        </w:rPr>
      </w:pPr>
      <w:r>
        <w:rPr>
          <w:rFonts w:ascii="Arial" w:eastAsia="Arial" w:hAnsi="Arial" w:cs="Arial"/>
        </w:rPr>
        <w:lastRenderedPageBreak/>
        <w:t xml:space="preserve">III. </w:t>
      </w:r>
      <w:r>
        <w:rPr>
          <w:rFonts w:ascii="Arial" w:eastAsia="Arial" w:hAnsi="Arial" w:cs="Arial"/>
        </w:rPr>
        <w:tab/>
        <w:t>modificaciones en el propio método analítico; y</w:t>
      </w:r>
    </w:p>
    <w:p w:rsidR="00453CAA" w:rsidRDefault="00767C83">
      <w:pPr>
        <w:spacing w:before="240" w:after="240" w:line="240" w:lineRule="auto"/>
        <w:ind w:left="2409" w:right="-75" w:hanging="425"/>
        <w:jc w:val="both"/>
        <w:rPr>
          <w:rFonts w:ascii="Arial" w:eastAsia="Arial" w:hAnsi="Arial" w:cs="Arial"/>
        </w:rPr>
      </w:pPr>
      <w:r>
        <w:rPr>
          <w:rFonts w:ascii="Arial" w:eastAsia="Arial" w:hAnsi="Arial" w:cs="Arial"/>
        </w:rPr>
        <w:t xml:space="preserve">IV. </w:t>
      </w:r>
      <w:r>
        <w:rPr>
          <w:rFonts w:ascii="Arial" w:eastAsia="Arial" w:hAnsi="Arial" w:cs="Arial"/>
        </w:rPr>
        <w:tab/>
        <w:t>otras modificaciones que, por su naturaleza, puedan afectar de manera relevante la validez del método previamente establecido.</w:t>
      </w:r>
    </w:p>
    <w:p w:rsidR="00453CAA" w:rsidRDefault="00767C83">
      <w:pPr>
        <w:spacing w:before="240" w:after="240" w:line="240" w:lineRule="auto"/>
        <w:ind w:left="1418" w:right="-75"/>
        <w:jc w:val="both"/>
        <w:rPr>
          <w:rFonts w:ascii="Arial" w:eastAsia="Arial" w:hAnsi="Arial" w:cs="Arial"/>
        </w:rPr>
      </w:pPr>
      <w:r>
        <w:rPr>
          <w:rFonts w:ascii="Arial" w:eastAsia="Arial" w:hAnsi="Arial" w:cs="Arial"/>
        </w:rPr>
        <w:t>Los parámetros de validación que deberán ser reevaluados dependerán de la naturaleza y alcance de las modificaciones realizadas.</w:t>
      </w:r>
    </w:p>
    <w:p w:rsidR="00453CAA" w:rsidRDefault="00767C83">
      <w:pPr>
        <w:spacing w:before="240" w:after="240" w:line="240" w:lineRule="auto"/>
        <w:ind w:left="1418" w:right="-75" w:hanging="1418"/>
        <w:jc w:val="both"/>
        <w:rPr>
          <w:rFonts w:ascii="Arial" w:eastAsia="Arial" w:hAnsi="Arial" w:cs="Arial"/>
          <w:b/>
          <w:bCs/>
        </w:rPr>
      </w:pPr>
      <w:bookmarkStart w:id="1" w:name="_heading=h.awa9y835wqns" w:colFirst="0" w:colLast="0"/>
      <w:bookmarkEnd w:id="1"/>
      <w:r>
        <w:rPr>
          <w:rFonts w:ascii="Arial" w:eastAsia="Arial" w:hAnsi="Arial" w:cs="Arial"/>
          <w:b/>
          <w:bCs/>
        </w:rPr>
        <w:t>Artículo 9°. -</w:t>
      </w:r>
      <w:r>
        <w:rPr>
          <w:rFonts w:ascii="Arial" w:eastAsia="Arial" w:hAnsi="Arial" w:cs="Arial"/>
          <w:b/>
          <w:bCs/>
        </w:rPr>
        <w:tab/>
      </w:r>
      <w:r>
        <w:rPr>
          <w:rFonts w:ascii="Arial" w:eastAsia="Arial" w:hAnsi="Arial" w:cs="Arial"/>
        </w:rPr>
        <w:t>Disponer que la verificación del sistema de medición deberá realizarse obligatoriamente en cada serie analítica, antes del análisis de las muestras, con el fin de demostrar que el equipo y el método se encuentran en condiciones adecuadas para generar resultados válidos y reproducibles.</w:t>
      </w:r>
    </w:p>
    <w:p w:rsidR="00453CAA" w:rsidRDefault="00767C83">
      <w:pPr>
        <w:spacing w:before="240" w:after="240" w:line="240" w:lineRule="auto"/>
        <w:ind w:left="1418" w:right="-75"/>
        <w:jc w:val="both"/>
        <w:rPr>
          <w:rFonts w:ascii="Arial" w:eastAsia="Arial" w:hAnsi="Arial" w:cs="Arial"/>
        </w:rPr>
      </w:pPr>
      <w:r>
        <w:rPr>
          <w:rFonts w:ascii="Arial" w:eastAsia="Arial" w:hAnsi="Arial" w:cs="Arial"/>
        </w:rPr>
        <w:t>La verificación del sistema de medición deberá incluir, según corresponda al método analítico, la evaluación de parámetros como resolución, repetibilidad de inyecciones, factor de cola, tiempo de retención y otros criterios específicos definidos en el procedimiento normalizado de operación o en la farmacopea aplicable.</w:t>
      </w:r>
    </w:p>
    <w:p w:rsidR="00453CAA" w:rsidRDefault="00767C83">
      <w:pPr>
        <w:spacing w:before="240" w:after="240" w:line="240" w:lineRule="auto"/>
        <w:ind w:left="1418" w:right="-75"/>
        <w:jc w:val="both"/>
        <w:rPr>
          <w:rFonts w:ascii="Arial" w:eastAsia="Arial" w:hAnsi="Arial" w:cs="Arial"/>
        </w:rPr>
      </w:pPr>
      <w:r>
        <w:rPr>
          <w:rFonts w:ascii="Arial" w:eastAsia="Arial" w:hAnsi="Arial" w:cs="Arial"/>
        </w:rPr>
        <w:t>Los resultados de la verificación deberán documentarse en el informe analítico correspondiente, constituyendo evidencia de que el sistema cumplía con los requisitos de idoneidad en el momento de la corrida.</w:t>
      </w:r>
    </w:p>
    <w:p w:rsidR="00453CAA" w:rsidRDefault="00767C83">
      <w:pPr>
        <w:spacing w:before="240" w:after="240" w:line="240" w:lineRule="auto"/>
        <w:ind w:left="1418" w:right="-75" w:hanging="1418"/>
        <w:jc w:val="both"/>
        <w:rPr>
          <w:rFonts w:ascii="Arial" w:eastAsia="Arial" w:hAnsi="Arial" w:cs="Arial"/>
        </w:rPr>
      </w:pPr>
      <w:r>
        <w:rPr>
          <w:rFonts w:ascii="Arial" w:eastAsia="Arial" w:hAnsi="Arial" w:cs="Arial"/>
          <w:b/>
          <w:bCs/>
        </w:rPr>
        <w:t>Artículo 10.-</w:t>
      </w:r>
      <w:r>
        <w:rPr>
          <w:rFonts w:ascii="Arial" w:eastAsia="Arial" w:hAnsi="Arial" w:cs="Arial"/>
          <w:b/>
          <w:bCs/>
        </w:rPr>
        <w:tab/>
      </w:r>
      <w:r>
        <w:rPr>
          <w:rFonts w:ascii="Arial" w:eastAsia="Arial" w:hAnsi="Arial" w:cs="Arial"/>
        </w:rPr>
        <w:t>Establecer que los informes de validación completa o parcial deberán describir de manera detallada los procedimientos aplicados, los parámetros analíticos evaluados, los criterios de aceptación establecidos y los resultados obtenidos.</w:t>
      </w:r>
    </w:p>
    <w:p w:rsidR="00453CAA" w:rsidRDefault="00767C83">
      <w:pPr>
        <w:spacing w:before="240" w:after="240" w:line="240" w:lineRule="auto"/>
        <w:ind w:left="1418" w:right="-75"/>
        <w:jc w:val="both"/>
        <w:rPr>
          <w:rFonts w:ascii="Arial" w:eastAsia="Arial" w:hAnsi="Arial" w:cs="Arial"/>
        </w:rPr>
      </w:pPr>
      <w:r>
        <w:rPr>
          <w:rFonts w:ascii="Arial" w:eastAsia="Arial" w:hAnsi="Arial" w:cs="Arial"/>
        </w:rPr>
        <w:t>La documentación presentada deberá contener información suficiente para permitir la reproducción del estudio por terceros y, cuando corresponda, la evaluación estadística de los datos generados.</w:t>
      </w:r>
    </w:p>
    <w:p w:rsidR="00453CAA" w:rsidRDefault="00767C83">
      <w:pPr>
        <w:spacing w:before="240" w:after="240" w:line="240" w:lineRule="auto"/>
        <w:ind w:left="1418" w:right="-75" w:hanging="1418"/>
        <w:jc w:val="both"/>
        <w:rPr>
          <w:rFonts w:ascii="Arial" w:eastAsia="Arial" w:hAnsi="Arial" w:cs="Arial"/>
        </w:rPr>
      </w:pPr>
      <w:r>
        <w:rPr>
          <w:rFonts w:ascii="Arial" w:eastAsia="Arial" w:hAnsi="Arial" w:cs="Arial"/>
          <w:b/>
          <w:bCs/>
        </w:rPr>
        <w:t>Artículo 11.-</w:t>
      </w:r>
      <w:r>
        <w:rPr>
          <w:rFonts w:ascii="Arial" w:eastAsia="Arial" w:hAnsi="Arial" w:cs="Arial"/>
          <w:b/>
          <w:bCs/>
        </w:rPr>
        <w:tab/>
      </w:r>
      <w:r>
        <w:rPr>
          <w:rFonts w:ascii="Arial" w:eastAsia="Arial" w:hAnsi="Arial" w:cs="Arial"/>
        </w:rPr>
        <w:t>Determinar que</w:t>
      </w:r>
      <w:r>
        <w:rPr>
          <w:rFonts w:ascii="Arial" w:eastAsia="Arial" w:hAnsi="Arial" w:cs="Arial"/>
          <w:b/>
          <w:bCs/>
        </w:rPr>
        <w:t xml:space="preserve"> </w:t>
      </w:r>
      <w:r>
        <w:rPr>
          <w:rFonts w:ascii="Arial" w:eastAsia="Arial" w:hAnsi="Arial" w:cs="Arial"/>
        </w:rPr>
        <w:t>el informe de validación a presentar ante la DINAVISA, deberá incluir además los datos y cálculos generados durante la ejecución de la validación analítica, así como la descripción de la metodología estadística utilizada para la evaluación de dichos datos.</w:t>
      </w:r>
    </w:p>
    <w:p w:rsidR="00453CAA" w:rsidRDefault="00767C83">
      <w:pPr>
        <w:spacing w:before="240" w:after="240" w:line="240" w:lineRule="auto"/>
        <w:ind w:left="1418" w:right="-75"/>
        <w:jc w:val="both"/>
        <w:rPr>
          <w:rFonts w:ascii="Arial" w:eastAsia="Arial" w:hAnsi="Arial" w:cs="Arial"/>
        </w:rPr>
      </w:pPr>
      <w:r>
        <w:rPr>
          <w:rFonts w:ascii="Arial" w:eastAsia="Arial" w:hAnsi="Arial" w:cs="Arial"/>
        </w:rPr>
        <w:t>Los datos brutos (cromatogramas, espectros, gráficos, entre otros) correspondientes a los parámetros evaluados en el informe de validación/validación parcial deberán incorporarse obligatoriamente al informe.</w:t>
      </w:r>
    </w:p>
    <w:p w:rsidR="00453CAA" w:rsidRDefault="00767C83">
      <w:pPr>
        <w:spacing w:before="240" w:after="240" w:line="240" w:lineRule="auto"/>
        <w:ind w:left="1418" w:right="-75" w:hanging="1418"/>
        <w:jc w:val="both"/>
        <w:rPr>
          <w:rFonts w:ascii="Arial" w:eastAsia="Arial" w:hAnsi="Arial" w:cs="Arial"/>
          <w:color w:val="ED7D31"/>
        </w:rPr>
      </w:pPr>
      <w:r>
        <w:rPr>
          <w:rFonts w:ascii="Arial" w:eastAsia="Arial" w:hAnsi="Arial" w:cs="Arial"/>
          <w:b/>
          <w:bCs/>
        </w:rPr>
        <w:lastRenderedPageBreak/>
        <w:t>Artículo 12.-</w:t>
      </w:r>
      <w:r>
        <w:rPr>
          <w:rFonts w:ascii="Arial" w:eastAsia="Arial" w:hAnsi="Arial" w:cs="Arial"/>
          <w:b/>
          <w:bCs/>
        </w:rPr>
        <w:tab/>
      </w:r>
      <w:r>
        <w:rPr>
          <w:rFonts w:ascii="Arial" w:eastAsia="Arial" w:hAnsi="Arial" w:cs="Arial"/>
        </w:rPr>
        <w:t>La selectividad del método analítico deberá demostrarse mediante su capacidad de identificar o cuantificar de forma inequívoca al analito de interés en presencia de componentes que pueden estar presentes en la muestra, como impurezas, diluyentes o componentes de la matriz.</w:t>
      </w:r>
      <w:r>
        <w:rPr>
          <w:rFonts w:ascii="Arial" w:eastAsia="Arial" w:hAnsi="Arial" w:cs="Arial"/>
          <w:b/>
          <w:bCs/>
        </w:rPr>
        <w:t xml:space="preserve"> </w:t>
      </w:r>
      <w:r>
        <w:rPr>
          <w:rFonts w:ascii="Arial" w:eastAsia="Arial" w:hAnsi="Arial" w:cs="Arial"/>
        </w:rPr>
        <w:t xml:space="preserve">En el caso de métodos de identificación, debe ser demostrada su capacidad de obtener resultados positivos para la muestra que contiene al analito y resultados negativos para otras sustancias presentes en la muestra. </w:t>
      </w:r>
    </w:p>
    <w:p w:rsidR="00453CAA" w:rsidRDefault="00767C83">
      <w:pPr>
        <w:spacing w:before="240" w:after="240" w:line="240" w:lineRule="auto"/>
        <w:ind w:left="1418" w:right="-75" w:hanging="1418"/>
        <w:jc w:val="both"/>
        <w:rPr>
          <w:rFonts w:ascii="Arial" w:eastAsia="Arial" w:hAnsi="Arial" w:cs="Arial"/>
          <w:color w:val="ED7D31"/>
        </w:rPr>
      </w:pPr>
      <w:bookmarkStart w:id="2" w:name="_heading=h.5te0iqx5vgz1" w:colFirst="0" w:colLast="0"/>
      <w:bookmarkEnd w:id="2"/>
      <w:r>
        <w:rPr>
          <w:rFonts w:ascii="Arial" w:eastAsia="Arial" w:hAnsi="Arial" w:cs="Arial"/>
          <w:b/>
          <w:bCs/>
        </w:rPr>
        <w:t>Artículo 13.-</w:t>
      </w:r>
      <w:r>
        <w:rPr>
          <w:rFonts w:ascii="Arial" w:eastAsia="Arial" w:hAnsi="Arial" w:cs="Arial"/>
          <w:b/>
          <w:bCs/>
        </w:rPr>
        <w:tab/>
      </w:r>
      <w:r>
        <w:rPr>
          <w:rFonts w:ascii="Arial" w:eastAsia="Arial" w:hAnsi="Arial" w:cs="Arial"/>
        </w:rPr>
        <w:t xml:space="preserve">Para métodos cuantitativos y ensayos limite, la selectividad debe ser demostrada por medio de la comprobación de que la respuesta analítica se debe exclusivamente al analito, sin interferencia del diluyente, de la matriz, de impurezas o de productos de degradación. Para demostrar la ausencia de interferencia de productos de degradación, es necesario exponer </w:t>
      </w:r>
      <w:proofErr w:type="gramStart"/>
      <w:r>
        <w:rPr>
          <w:rFonts w:ascii="Arial" w:eastAsia="Arial" w:hAnsi="Arial" w:cs="Arial"/>
        </w:rPr>
        <w:t>a  la</w:t>
      </w:r>
      <w:proofErr w:type="gramEnd"/>
      <w:r>
        <w:rPr>
          <w:rFonts w:ascii="Arial" w:eastAsia="Arial" w:hAnsi="Arial" w:cs="Arial"/>
        </w:rPr>
        <w:t xml:space="preserve"> muestra a condiciones de degradación en un amplio rango de pH, de oxidación, de calor y de luz.</w:t>
      </w:r>
    </w:p>
    <w:p w:rsidR="00453CAA" w:rsidRDefault="00767C83">
      <w:pPr>
        <w:spacing w:before="240" w:after="240" w:line="240" w:lineRule="auto"/>
        <w:ind w:left="1418" w:right="-75" w:hanging="1418"/>
        <w:jc w:val="both"/>
        <w:rPr>
          <w:rFonts w:ascii="Arial" w:eastAsia="Arial" w:hAnsi="Arial" w:cs="Arial"/>
        </w:rPr>
      </w:pPr>
      <w:r>
        <w:rPr>
          <w:rFonts w:ascii="Arial" w:eastAsia="Arial" w:hAnsi="Arial" w:cs="Arial"/>
          <w:b/>
          <w:bCs/>
        </w:rPr>
        <w:t>Artículo 14.-</w:t>
      </w:r>
      <w:r>
        <w:rPr>
          <w:rFonts w:ascii="Arial" w:eastAsia="Arial" w:hAnsi="Arial" w:cs="Arial"/>
          <w:color w:val="ED7D31"/>
        </w:rPr>
        <w:t xml:space="preserve"> </w:t>
      </w:r>
      <w:r>
        <w:rPr>
          <w:rFonts w:ascii="Arial" w:eastAsia="Arial" w:hAnsi="Arial" w:cs="Arial"/>
        </w:rPr>
        <w:t>La linealidad debe ser demostrada por medio de su capacidad de obtener respuestas analíticas directamente proporcionales a la concentración de un analito en una muestra. Una relación lineal debe ser avalada en todo el rango establecido para el método. Para el establecimiento de la linealidad, se debe utilizar, un mínimo de 5 (cinco) concentraciones diferentes para las soluciones de muestras preparadas por triplicado.</w:t>
      </w:r>
    </w:p>
    <w:p w:rsidR="00453CAA" w:rsidRDefault="00767C83">
      <w:pPr>
        <w:spacing w:before="240" w:after="240" w:line="240" w:lineRule="auto"/>
        <w:ind w:left="1418" w:right="-75" w:hanging="1418"/>
        <w:jc w:val="both"/>
        <w:rPr>
          <w:rFonts w:ascii="Arial" w:eastAsia="Arial" w:hAnsi="Arial" w:cs="Arial"/>
        </w:rPr>
      </w:pPr>
      <w:r>
        <w:rPr>
          <w:rFonts w:ascii="Arial" w:eastAsia="Arial" w:hAnsi="Arial" w:cs="Arial"/>
          <w:b/>
          <w:bCs/>
        </w:rPr>
        <w:t xml:space="preserve">              </w:t>
      </w:r>
      <w:r>
        <w:rPr>
          <w:rFonts w:ascii="Arial" w:eastAsia="Arial" w:hAnsi="Arial" w:cs="Arial"/>
        </w:rPr>
        <w:tab/>
        <w:t>Las soluciones utilizadas para la evaluación de la linealidad deben prepararse de forma independiente.</w:t>
      </w:r>
    </w:p>
    <w:p w:rsidR="00453CAA" w:rsidRDefault="00767C83">
      <w:pPr>
        <w:spacing w:before="240" w:after="240" w:line="240" w:lineRule="auto"/>
        <w:ind w:left="1418" w:right="-75" w:hanging="1418"/>
        <w:jc w:val="both"/>
        <w:rPr>
          <w:rFonts w:ascii="Arial" w:eastAsia="Arial" w:hAnsi="Arial" w:cs="Arial"/>
        </w:rPr>
      </w:pPr>
      <w:r>
        <w:rPr>
          <w:rFonts w:ascii="Arial" w:eastAsia="Arial" w:hAnsi="Arial" w:cs="Arial"/>
          <w:b/>
          <w:bCs/>
        </w:rPr>
        <w:t>Artículo 15.-</w:t>
      </w:r>
      <w:r>
        <w:rPr>
          <w:rFonts w:ascii="Arial" w:eastAsia="Arial" w:hAnsi="Arial" w:cs="Arial"/>
        </w:rPr>
        <w:t xml:space="preserve"> Disponer que deben ser presentados los siguientes datos para el parámetro linealidad:</w:t>
      </w:r>
    </w:p>
    <w:p w:rsidR="00453CAA" w:rsidRDefault="00767C83">
      <w:pPr>
        <w:numPr>
          <w:ilvl w:val="0"/>
          <w:numId w:val="1"/>
        </w:numPr>
        <w:pBdr>
          <w:top w:val="nil"/>
          <w:left w:val="nil"/>
          <w:bottom w:val="nil"/>
          <w:right w:val="nil"/>
          <w:between w:val="nil"/>
        </w:pBdr>
        <w:spacing w:before="240" w:after="0" w:line="240" w:lineRule="auto"/>
        <w:ind w:right="-75"/>
        <w:jc w:val="both"/>
        <w:rPr>
          <w:rFonts w:ascii="Arial" w:eastAsia="Arial" w:hAnsi="Arial" w:cs="Arial"/>
          <w:color w:val="000000"/>
        </w:rPr>
      </w:pPr>
      <w:r>
        <w:rPr>
          <w:rFonts w:ascii="Arial" w:eastAsia="Arial" w:hAnsi="Arial" w:cs="Arial"/>
          <w:color w:val="000000"/>
        </w:rPr>
        <w:t>Representación gráfica de las respuestas en función de la concentración del analito;</w:t>
      </w:r>
    </w:p>
    <w:p w:rsidR="00453CAA" w:rsidRDefault="00767C83">
      <w:pPr>
        <w:numPr>
          <w:ilvl w:val="0"/>
          <w:numId w:val="1"/>
        </w:numPr>
        <w:pBdr>
          <w:top w:val="nil"/>
          <w:left w:val="nil"/>
          <w:bottom w:val="nil"/>
          <w:right w:val="nil"/>
          <w:between w:val="nil"/>
        </w:pBdr>
        <w:spacing w:after="0" w:line="240" w:lineRule="auto"/>
        <w:ind w:right="-75"/>
        <w:jc w:val="both"/>
        <w:rPr>
          <w:rFonts w:ascii="Arial" w:eastAsia="Arial" w:hAnsi="Arial" w:cs="Arial"/>
          <w:color w:val="000000"/>
        </w:rPr>
      </w:pPr>
      <w:r>
        <w:rPr>
          <w:rFonts w:ascii="Arial" w:eastAsia="Arial" w:hAnsi="Arial" w:cs="Arial"/>
          <w:color w:val="000000"/>
        </w:rPr>
        <w:t>Diagrama de dispersión de residuos, acompañado de su evaluación estadística;</w:t>
      </w:r>
    </w:p>
    <w:p w:rsidR="00453CAA" w:rsidRDefault="00767C83">
      <w:pPr>
        <w:numPr>
          <w:ilvl w:val="0"/>
          <w:numId w:val="1"/>
        </w:numPr>
        <w:pBdr>
          <w:top w:val="nil"/>
          <w:left w:val="nil"/>
          <w:bottom w:val="nil"/>
          <w:right w:val="nil"/>
          <w:between w:val="nil"/>
        </w:pBdr>
        <w:spacing w:after="0" w:line="240" w:lineRule="auto"/>
        <w:ind w:right="-75"/>
        <w:jc w:val="both"/>
        <w:rPr>
          <w:rFonts w:ascii="Arial" w:eastAsia="Arial" w:hAnsi="Arial" w:cs="Arial"/>
          <w:color w:val="000000"/>
        </w:rPr>
      </w:pPr>
      <w:r>
        <w:rPr>
          <w:rFonts w:ascii="Arial" w:eastAsia="Arial" w:hAnsi="Arial" w:cs="Arial"/>
          <w:color w:val="000000"/>
        </w:rPr>
        <w:t>Ecuación de la recta de regresión de x e y, estimada por el método de los mínimos cuadrados;</w:t>
      </w:r>
    </w:p>
    <w:p w:rsidR="00453CAA" w:rsidRDefault="00767C83">
      <w:pPr>
        <w:numPr>
          <w:ilvl w:val="0"/>
          <w:numId w:val="1"/>
        </w:numPr>
        <w:pBdr>
          <w:top w:val="nil"/>
          <w:left w:val="nil"/>
          <w:bottom w:val="nil"/>
          <w:right w:val="nil"/>
          <w:between w:val="nil"/>
        </w:pBdr>
        <w:spacing w:after="0" w:line="240" w:lineRule="auto"/>
        <w:ind w:right="-75"/>
        <w:jc w:val="both"/>
        <w:rPr>
          <w:rFonts w:ascii="Arial" w:eastAsia="Arial" w:hAnsi="Arial" w:cs="Arial"/>
          <w:color w:val="000000"/>
        </w:rPr>
      </w:pPr>
      <w:r>
        <w:rPr>
          <w:rFonts w:ascii="Arial" w:eastAsia="Arial" w:hAnsi="Arial" w:cs="Arial"/>
          <w:color w:val="000000"/>
        </w:rPr>
        <w:t>La demostración de la asociación lineal entre las variables mediante el coeficiente de correlación (r) y el coeficiente de determinación (r²). El coeficiente de correlación debe estar por encima de 0,990;</w:t>
      </w:r>
    </w:p>
    <w:p w:rsidR="00453CAA" w:rsidRDefault="00767C83">
      <w:pPr>
        <w:numPr>
          <w:ilvl w:val="0"/>
          <w:numId w:val="1"/>
        </w:numPr>
        <w:pBdr>
          <w:top w:val="nil"/>
          <w:left w:val="nil"/>
          <w:bottom w:val="nil"/>
          <w:right w:val="nil"/>
          <w:between w:val="nil"/>
        </w:pBdr>
        <w:spacing w:after="0" w:line="240" w:lineRule="auto"/>
        <w:ind w:right="-75"/>
        <w:jc w:val="both"/>
        <w:rPr>
          <w:rFonts w:ascii="Arial" w:eastAsia="Arial" w:hAnsi="Arial" w:cs="Arial"/>
          <w:color w:val="000000"/>
        </w:rPr>
      </w:pPr>
      <w:r>
        <w:rPr>
          <w:rFonts w:ascii="Arial" w:eastAsia="Arial" w:hAnsi="Arial" w:cs="Arial"/>
          <w:color w:val="000000"/>
        </w:rPr>
        <w:t>La demostración de la significancia del coeficiente angular(pendiente), que debe ser significativamente diferente de cero;</w:t>
      </w:r>
    </w:p>
    <w:p w:rsidR="00453CAA" w:rsidRDefault="00767C83">
      <w:pPr>
        <w:numPr>
          <w:ilvl w:val="0"/>
          <w:numId w:val="1"/>
        </w:numPr>
        <w:pBdr>
          <w:top w:val="nil"/>
          <w:left w:val="nil"/>
          <w:bottom w:val="nil"/>
          <w:right w:val="nil"/>
          <w:between w:val="nil"/>
        </w:pBdr>
        <w:spacing w:after="0" w:line="240" w:lineRule="auto"/>
        <w:ind w:right="-75"/>
        <w:jc w:val="both"/>
        <w:rPr>
          <w:rFonts w:ascii="Arial" w:eastAsia="Arial" w:hAnsi="Arial" w:cs="Arial"/>
          <w:color w:val="000000"/>
        </w:rPr>
      </w:pPr>
      <w:r>
        <w:rPr>
          <w:rFonts w:ascii="Arial" w:eastAsia="Arial" w:hAnsi="Arial" w:cs="Arial"/>
          <w:color w:val="000000"/>
        </w:rPr>
        <w:t xml:space="preserve">En los </w:t>
      </w:r>
      <w:r>
        <w:rPr>
          <w:rFonts w:ascii="Arial" w:eastAsia="Arial" w:hAnsi="Arial" w:cs="Arial"/>
        </w:rPr>
        <w:t>análisis</w:t>
      </w:r>
      <w:r>
        <w:rPr>
          <w:rFonts w:ascii="Arial" w:eastAsia="Arial" w:hAnsi="Arial" w:cs="Arial"/>
          <w:color w:val="000000"/>
        </w:rPr>
        <w:t xml:space="preserve"> </w:t>
      </w:r>
      <w:r>
        <w:rPr>
          <w:rFonts w:ascii="Arial" w:eastAsia="Arial" w:hAnsi="Arial" w:cs="Arial"/>
        </w:rPr>
        <w:t>estadísticos</w:t>
      </w:r>
      <w:r>
        <w:rPr>
          <w:rFonts w:ascii="Arial" w:eastAsia="Arial" w:hAnsi="Arial" w:cs="Arial"/>
          <w:color w:val="000000"/>
        </w:rPr>
        <w:t xml:space="preserve">, debe ser </w:t>
      </w:r>
      <w:r>
        <w:rPr>
          <w:rFonts w:ascii="Arial" w:eastAsia="Arial" w:hAnsi="Arial" w:cs="Arial"/>
        </w:rPr>
        <w:t>considerado</w:t>
      </w:r>
      <w:r>
        <w:rPr>
          <w:rFonts w:ascii="Arial" w:eastAsia="Arial" w:hAnsi="Arial" w:cs="Arial"/>
          <w:color w:val="000000"/>
        </w:rPr>
        <w:t xml:space="preserve"> un n</w:t>
      </w:r>
      <w:r>
        <w:rPr>
          <w:rFonts w:ascii="Arial" w:eastAsia="Arial" w:hAnsi="Arial" w:cs="Arial"/>
        </w:rPr>
        <w:t>i</w:t>
      </w:r>
      <w:r>
        <w:rPr>
          <w:rFonts w:ascii="Arial" w:eastAsia="Arial" w:hAnsi="Arial" w:cs="Arial"/>
          <w:color w:val="000000"/>
        </w:rPr>
        <w:t>vel de significancia del 5% (cinco por ciento);</w:t>
      </w:r>
    </w:p>
    <w:p w:rsidR="00453CAA" w:rsidRDefault="00767C83">
      <w:pPr>
        <w:numPr>
          <w:ilvl w:val="0"/>
          <w:numId w:val="1"/>
        </w:numPr>
        <w:pBdr>
          <w:top w:val="nil"/>
          <w:left w:val="nil"/>
          <w:bottom w:val="nil"/>
          <w:right w:val="nil"/>
          <w:between w:val="nil"/>
        </w:pBdr>
        <w:spacing w:after="240" w:line="240" w:lineRule="auto"/>
        <w:ind w:right="-75"/>
        <w:jc w:val="both"/>
        <w:rPr>
          <w:rFonts w:ascii="Arial" w:eastAsia="Arial" w:hAnsi="Arial" w:cs="Arial"/>
          <w:color w:val="000000"/>
        </w:rPr>
      </w:pPr>
      <w:r>
        <w:rPr>
          <w:rFonts w:ascii="Arial" w:eastAsia="Arial" w:hAnsi="Arial" w:cs="Arial"/>
          <w:color w:val="000000"/>
        </w:rPr>
        <w:lastRenderedPageBreak/>
        <w:t xml:space="preserve">La homocedasticidad de </w:t>
      </w:r>
      <w:proofErr w:type="gramStart"/>
      <w:r>
        <w:rPr>
          <w:rFonts w:ascii="Arial" w:eastAsia="Arial" w:hAnsi="Arial" w:cs="Arial"/>
          <w:color w:val="000000"/>
        </w:rPr>
        <w:t>los  datos</w:t>
      </w:r>
      <w:proofErr w:type="gramEnd"/>
      <w:r>
        <w:rPr>
          <w:rFonts w:ascii="Arial" w:eastAsia="Arial" w:hAnsi="Arial" w:cs="Arial"/>
          <w:color w:val="000000"/>
        </w:rPr>
        <w:t xml:space="preserve"> debe ser investigada para la utilización del modelo adecuado.</w:t>
      </w:r>
    </w:p>
    <w:p w:rsidR="00453CAA" w:rsidRDefault="00767C83">
      <w:pPr>
        <w:spacing w:before="240" w:after="240" w:line="240" w:lineRule="auto"/>
        <w:ind w:left="1276" w:right="-75" w:hanging="1276"/>
        <w:jc w:val="both"/>
        <w:rPr>
          <w:rFonts w:ascii="Arial" w:eastAsia="Arial" w:hAnsi="Arial" w:cs="Arial"/>
        </w:rPr>
      </w:pPr>
      <w:r>
        <w:rPr>
          <w:rFonts w:ascii="Arial" w:eastAsia="Arial" w:hAnsi="Arial" w:cs="Arial"/>
          <w:b/>
          <w:bCs/>
        </w:rPr>
        <w:t>Artículo 16.-</w:t>
      </w:r>
      <w:r>
        <w:rPr>
          <w:rFonts w:ascii="Trebuchet MS" w:eastAsia="Trebuchet MS" w:hAnsi="Trebuchet MS" w:cs="Trebuchet MS"/>
          <w:sz w:val="15"/>
          <w:szCs w:val="15"/>
        </w:rPr>
        <w:t xml:space="preserve"> </w:t>
      </w:r>
      <w:r>
        <w:rPr>
          <w:rFonts w:ascii="Arial" w:eastAsia="Arial" w:hAnsi="Arial" w:cs="Arial"/>
        </w:rPr>
        <w:t>El rango de trabajo debe ser establecido a partir de los estudios de linealidad, juntamente con los resultados de precisión y exactitud. Deben ser considerados los siguientes rangos de trabajo:</w:t>
      </w:r>
    </w:p>
    <w:p w:rsidR="00453CAA" w:rsidRDefault="00767C83">
      <w:pPr>
        <w:numPr>
          <w:ilvl w:val="0"/>
          <w:numId w:val="2"/>
        </w:numPr>
        <w:pBdr>
          <w:top w:val="nil"/>
          <w:left w:val="nil"/>
          <w:bottom w:val="nil"/>
          <w:right w:val="nil"/>
          <w:between w:val="nil"/>
        </w:pBdr>
        <w:tabs>
          <w:tab w:val="left" w:pos="2127"/>
        </w:tabs>
        <w:spacing w:before="240" w:after="0" w:line="276" w:lineRule="auto"/>
        <w:ind w:left="2127" w:right="-75" w:hanging="709"/>
        <w:jc w:val="both"/>
        <w:rPr>
          <w:rFonts w:ascii="Arial" w:eastAsia="Arial" w:hAnsi="Arial" w:cs="Arial"/>
          <w:color w:val="000000"/>
        </w:rPr>
      </w:pPr>
      <w:r>
        <w:rPr>
          <w:rFonts w:ascii="Arial" w:eastAsia="Arial" w:hAnsi="Arial" w:cs="Arial"/>
          <w:color w:val="000000"/>
        </w:rPr>
        <w:t>Para valoración: de 80% (ochenta por ciento) a 120% (ciento veinte por ciento);</w:t>
      </w:r>
    </w:p>
    <w:p w:rsidR="00453CAA" w:rsidRDefault="00767C83">
      <w:pPr>
        <w:numPr>
          <w:ilvl w:val="0"/>
          <w:numId w:val="2"/>
        </w:numPr>
        <w:pBdr>
          <w:top w:val="nil"/>
          <w:left w:val="nil"/>
          <w:bottom w:val="nil"/>
          <w:right w:val="nil"/>
          <w:between w:val="nil"/>
        </w:pBdr>
        <w:tabs>
          <w:tab w:val="left" w:pos="2127"/>
        </w:tabs>
        <w:spacing w:after="0" w:line="276" w:lineRule="auto"/>
        <w:ind w:left="2127" w:right="-75" w:hanging="709"/>
        <w:jc w:val="both"/>
        <w:rPr>
          <w:rFonts w:ascii="Arial" w:eastAsia="Arial" w:hAnsi="Arial" w:cs="Arial"/>
          <w:color w:val="000000"/>
        </w:rPr>
      </w:pPr>
      <w:r>
        <w:rPr>
          <w:rFonts w:ascii="Arial" w:eastAsia="Arial" w:hAnsi="Arial" w:cs="Arial"/>
          <w:color w:val="000000"/>
        </w:rPr>
        <w:t>Para uniformidad de contenido: de 70% (setenta por ciento) a 130% (ciento treinta por ciento);</w:t>
      </w:r>
    </w:p>
    <w:p w:rsidR="00453CAA" w:rsidRDefault="00767C83">
      <w:pPr>
        <w:numPr>
          <w:ilvl w:val="0"/>
          <w:numId w:val="2"/>
        </w:numPr>
        <w:pBdr>
          <w:top w:val="nil"/>
          <w:left w:val="nil"/>
          <w:bottom w:val="nil"/>
          <w:right w:val="nil"/>
          <w:between w:val="nil"/>
        </w:pBdr>
        <w:tabs>
          <w:tab w:val="left" w:pos="2127"/>
        </w:tabs>
        <w:spacing w:after="0" w:line="276" w:lineRule="auto"/>
        <w:ind w:left="2127" w:right="-75" w:hanging="709"/>
        <w:jc w:val="both"/>
        <w:rPr>
          <w:rFonts w:ascii="Arial" w:eastAsia="Arial" w:hAnsi="Arial" w:cs="Arial"/>
          <w:color w:val="000000"/>
        </w:rPr>
      </w:pPr>
      <w:r>
        <w:rPr>
          <w:rFonts w:ascii="Arial" w:eastAsia="Arial" w:hAnsi="Arial" w:cs="Arial"/>
          <w:color w:val="000000"/>
        </w:rPr>
        <w:t xml:space="preserve">Para </w:t>
      </w:r>
      <w:r>
        <w:rPr>
          <w:rFonts w:ascii="Arial" w:eastAsia="Arial" w:hAnsi="Arial" w:cs="Arial"/>
        </w:rPr>
        <w:t>el test</w:t>
      </w:r>
      <w:r>
        <w:rPr>
          <w:rFonts w:ascii="Arial" w:eastAsia="Arial" w:hAnsi="Arial" w:cs="Arial"/>
          <w:color w:val="000000"/>
        </w:rPr>
        <w:t xml:space="preserve"> de disolución: de -20% (menos veinte por ciento) la menor concentración esperada a +20% (</w:t>
      </w:r>
      <w:r>
        <w:rPr>
          <w:rFonts w:ascii="Arial" w:eastAsia="Arial" w:hAnsi="Arial" w:cs="Arial"/>
        </w:rPr>
        <w:t>más</w:t>
      </w:r>
      <w:r>
        <w:rPr>
          <w:rFonts w:ascii="Arial" w:eastAsia="Arial" w:hAnsi="Arial" w:cs="Arial"/>
          <w:color w:val="000000"/>
        </w:rPr>
        <w:t xml:space="preserve"> veinte por ciento) la mayor concentración esperada a partir del perfil de disolución;</w:t>
      </w:r>
    </w:p>
    <w:p w:rsidR="00453CAA" w:rsidRDefault="00767C83">
      <w:pPr>
        <w:numPr>
          <w:ilvl w:val="0"/>
          <w:numId w:val="2"/>
        </w:numPr>
        <w:pBdr>
          <w:top w:val="nil"/>
          <w:left w:val="nil"/>
          <w:bottom w:val="nil"/>
          <w:right w:val="nil"/>
          <w:between w:val="nil"/>
        </w:pBdr>
        <w:tabs>
          <w:tab w:val="left" w:pos="2127"/>
        </w:tabs>
        <w:spacing w:after="0" w:line="276" w:lineRule="auto"/>
        <w:ind w:left="2127" w:right="-75" w:hanging="709"/>
        <w:jc w:val="both"/>
        <w:rPr>
          <w:rFonts w:ascii="Arial" w:eastAsia="Arial" w:hAnsi="Arial" w:cs="Arial"/>
          <w:color w:val="000000"/>
        </w:rPr>
      </w:pPr>
      <w:r>
        <w:rPr>
          <w:rFonts w:ascii="Arial" w:eastAsia="Arial" w:hAnsi="Arial" w:cs="Arial"/>
          <w:color w:val="000000"/>
        </w:rPr>
        <w:t xml:space="preserve">Para la determinación de impurezas: del </w:t>
      </w:r>
      <w:r>
        <w:rPr>
          <w:rFonts w:ascii="Arial" w:eastAsia="Arial" w:hAnsi="Arial" w:cs="Arial"/>
        </w:rPr>
        <w:t>límite</w:t>
      </w:r>
      <w:r>
        <w:rPr>
          <w:rFonts w:ascii="Arial" w:eastAsia="Arial" w:hAnsi="Arial" w:cs="Arial"/>
          <w:color w:val="000000"/>
        </w:rPr>
        <w:t xml:space="preserve"> de cuantificación hasta 120% (</w:t>
      </w:r>
      <w:proofErr w:type="gramStart"/>
      <w:r>
        <w:rPr>
          <w:rFonts w:ascii="Arial" w:eastAsia="Arial" w:hAnsi="Arial" w:cs="Arial"/>
          <w:color w:val="000000"/>
        </w:rPr>
        <w:t>ciento  veinte</w:t>
      </w:r>
      <w:proofErr w:type="gramEnd"/>
      <w:r>
        <w:rPr>
          <w:rFonts w:ascii="Arial" w:eastAsia="Arial" w:hAnsi="Arial" w:cs="Arial"/>
          <w:color w:val="000000"/>
        </w:rPr>
        <w:t xml:space="preserve"> por ciento) de la </w:t>
      </w:r>
      <w:r>
        <w:rPr>
          <w:rFonts w:ascii="Arial" w:eastAsia="Arial" w:hAnsi="Arial" w:cs="Arial"/>
        </w:rPr>
        <w:t>concentración</w:t>
      </w:r>
      <w:r>
        <w:rPr>
          <w:rFonts w:ascii="Arial" w:eastAsia="Arial" w:hAnsi="Arial" w:cs="Arial"/>
          <w:color w:val="000000"/>
        </w:rPr>
        <w:t xml:space="preserve"> en el </w:t>
      </w:r>
      <w:r>
        <w:rPr>
          <w:rFonts w:ascii="Arial" w:eastAsia="Arial" w:hAnsi="Arial" w:cs="Arial"/>
        </w:rPr>
        <w:t>límite</w:t>
      </w:r>
      <w:r>
        <w:rPr>
          <w:rFonts w:ascii="Arial" w:eastAsia="Arial" w:hAnsi="Arial" w:cs="Arial"/>
          <w:color w:val="000000"/>
        </w:rPr>
        <w:t xml:space="preserve"> de especificación de cada impureza individual;</w:t>
      </w:r>
    </w:p>
    <w:p w:rsidR="00453CAA" w:rsidRDefault="00767C83">
      <w:pPr>
        <w:numPr>
          <w:ilvl w:val="0"/>
          <w:numId w:val="2"/>
        </w:numPr>
        <w:pBdr>
          <w:top w:val="nil"/>
          <w:left w:val="nil"/>
          <w:bottom w:val="nil"/>
          <w:right w:val="nil"/>
          <w:between w:val="nil"/>
        </w:pBdr>
        <w:tabs>
          <w:tab w:val="left" w:pos="2127"/>
        </w:tabs>
        <w:spacing w:after="0" w:line="276" w:lineRule="auto"/>
        <w:ind w:left="2127" w:right="-75" w:hanging="709"/>
        <w:jc w:val="both"/>
        <w:rPr>
          <w:rFonts w:ascii="Arial" w:eastAsia="Arial" w:hAnsi="Arial" w:cs="Arial"/>
          <w:color w:val="000000"/>
        </w:rPr>
      </w:pPr>
      <w:r>
        <w:rPr>
          <w:rFonts w:ascii="Arial" w:eastAsia="Arial" w:hAnsi="Arial" w:cs="Arial"/>
        </w:rPr>
        <w:t>P</w:t>
      </w:r>
      <w:r>
        <w:rPr>
          <w:rFonts w:ascii="Arial" w:eastAsia="Arial" w:hAnsi="Arial" w:cs="Arial"/>
          <w:color w:val="000000"/>
        </w:rPr>
        <w:t xml:space="preserve">ara la determinación simultánea de valoración e impurezas por el </w:t>
      </w:r>
      <w:r>
        <w:rPr>
          <w:rFonts w:ascii="Arial" w:eastAsia="Arial" w:hAnsi="Arial" w:cs="Arial"/>
        </w:rPr>
        <w:t>procedimiento</w:t>
      </w:r>
      <w:r>
        <w:rPr>
          <w:rFonts w:ascii="Arial" w:eastAsia="Arial" w:hAnsi="Arial" w:cs="Arial"/>
          <w:color w:val="000000"/>
        </w:rPr>
        <w:t xml:space="preserve"> de normalización de área: del </w:t>
      </w:r>
      <w:r>
        <w:rPr>
          <w:rFonts w:ascii="Arial" w:eastAsia="Arial" w:hAnsi="Arial" w:cs="Arial"/>
        </w:rPr>
        <w:t>límite</w:t>
      </w:r>
      <w:r>
        <w:rPr>
          <w:rFonts w:ascii="Arial" w:eastAsia="Arial" w:hAnsi="Arial" w:cs="Arial"/>
          <w:color w:val="000000"/>
        </w:rPr>
        <w:t xml:space="preserve"> de cuantificación (LOQ) hasta el 120% (ciento veinte por ciento) de la concentración esperada de sustancia activa.</w:t>
      </w:r>
    </w:p>
    <w:p w:rsidR="00453CAA" w:rsidRDefault="00767C83">
      <w:pPr>
        <w:numPr>
          <w:ilvl w:val="0"/>
          <w:numId w:val="2"/>
        </w:numPr>
        <w:pBdr>
          <w:top w:val="nil"/>
          <w:left w:val="nil"/>
          <w:bottom w:val="nil"/>
          <w:right w:val="nil"/>
          <w:between w:val="nil"/>
        </w:pBdr>
        <w:tabs>
          <w:tab w:val="left" w:pos="2127"/>
        </w:tabs>
        <w:spacing w:after="240" w:line="276" w:lineRule="auto"/>
        <w:ind w:left="2127" w:right="-75" w:hanging="709"/>
        <w:jc w:val="both"/>
        <w:rPr>
          <w:rFonts w:ascii="Arial" w:eastAsia="Arial" w:hAnsi="Arial" w:cs="Arial"/>
          <w:color w:val="000000"/>
        </w:rPr>
      </w:pPr>
      <w:r>
        <w:rPr>
          <w:rFonts w:ascii="Arial" w:eastAsia="Arial" w:hAnsi="Arial" w:cs="Arial"/>
          <w:color w:val="000000"/>
        </w:rPr>
        <w:t xml:space="preserve">Rangos de trabajo diferentes a los definidos podrán ser </w:t>
      </w:r>
      <w:r>
        <w:rPr>
          <w:rFonts w:ascii="Arial" w:eastAsia="Arial" w:hAnsi="Arial" w:cs="Arial"/>
        </w:rPr>
        <w:t>utilizados</w:t>
      </w:r>
      <w:r>
        <w:rPr>
          <w:rFonts w:ascii="Arial" w:eastAsia="Arial" w:hAnsi="Arial" w:cs="Arial"/>
          <w:color w:val="000000"/>
        </w:rPr>
        <w:t xml:space="preserve"> con justificación </w:t>
      </w:r>
      <w:r>
        <w:rPr>
          <w:rFonts w:ascii="Arial" w:eastAsia="Arial" w:hAnsi="Arial" w:cs="Arial"/>
        </w:rPr>
        <w:t>técnica</w:t>
      </w:r>
      <w:r>
        <w:rPr>
          <w:rFonts w:ascii="Arial" w:eastAsia="Arial" w:hAnsi="Arial" w:cs="Arial"/>
          <w:color w:val="000000"/>
        </w:rPr>
        <w:t>.</w:t>
      </w:r>
    </w:p>
    <w:p w:rsidR="00453CAA" w:rsidRDefault="00767C83">
      <w:pPr>
        <w:spacing w:before="240" w:after="240" w:line="240" w:lineRule="auto"/>
        <w:ind w:left="1417" w:right="-75" w:hanging="1417"/>
        <w:jc w:val="both"/>
        <w:rPr>
          <w:rFonts w:ascii="Arial" w:eastAsia="Arial" w:hAnsi="Arial" w:cs="Arial"/>
        </w:rPr>
      </w:pPr>
      <w:r>
        <w:rPr>
          <w:rFonts w:ascii="Arial" w:eastAsia="Arial" w:hAnsi="Arial" w:cs="Arial"/>
          <w:b/>
          <w:bCs/>
        </w:rPr>
        <w:t>Artículo 17.-</w:t>
      </w:r>
      <w:r>
        <w:rPr>
          <w:rFonts w:ascii="Trebuchet MS" w:eastAsia="Trebuchet MS" w:hAnsi="Trebuchet MS" w:cs="Trebuchet MS"/>
          <w:b/>
          <w:bCs/>
          <w:sz w:val="15"/>
          <w:szCs w:val="15"/>
        </w:rPr>
        <w:tab/>
      </w:r>
      <w:r>
        <w:rPr>
          <w:rFonts w:ascii="Arial" w:eastAsia="Arial" w:hAnsi="Arial" w:cs="Arial"/>
        </w:rPr>
        <w:tab/>
        <w:t>El parámetro precisión debe demostrar la proximidad entre los resultados obtenidos en ensayos realizados con muestras preparadas conforme al procedimiento descrito en el método analítico validado.</w:t>
      </w:r>
    </w:p>
    <w:p w:rsidR="00453CAA" w:rsidRDefault="00767C83">
      <w:pPr>
        <w:pBdr>
          <w:top w:val="nil"/>
          <w:left w:val="nil"/>
          <w:bottom w:val="nil"/>
          <w:right w:val="nil"/>
          <w:between w:val="nil"/>
        </w:pBdr>
        <w:spacing w:before="240" w:after="240" w:line="240" w:lineRule="auto"/>
        <w:ind w:left="1417" w:right="-75"/>
        <w:jc w:val="both"/>
        <w:rPr>
          <w:rFonts w:ascii="Arial" w:eastAsia="Arial" w:hAnsi="Arial" w:cs="Arial"/>
        </w:rPr>
      </w:pPr>
      <w:r>
        <w:rPr>
          <w:rFonts w:ascii="Arial" w:eastAsia="Arial" w:hAnsi="Arial" w:cs="Arial"/>
        </w:rPr>
        <w:t>La precisión se expresará mediante la repetibilidad, la precisión intermedia o la reproducibilidad, según corresponda. Para su evaluación, deberá calcularse la desviación estándar relativa de una serie de mediciones.</w:t>
      </w:r>
    </w:p>
    <w:p w:rsidR="00453CAA" w:rsidRDefault="00767C83">
      <w:pPr>
        <w:pBdr>
          <w:top w:val="nil"/>
          <w:left w:val="nil"/>
          <w:bottom w:val="nil"/>
          <w:right w:val="nil"/>
          <w:between w:val="nil"/>
        </w:pBdr>
        <w:spacing w:before="240" w:after="240" w:line="240" w:lineRule="auto"/>
        <w:ind w:left="1417" w:right="-75"/>
        <w:jc w:val="both"/>
        <w:rPr>
          <w:rFonts w:ascii="Arial" w:eastAsia="Arial" w:hAnsi="Arial" w:cs="Arial"/>
        </w:rPr>
      </w:pPr>
      <w:r>
        <w:rPr>
          <w:rFonts w:ascii="Arial" w:eastAsia="Arial" w:hAnsi="Arial" w:cs="Arial"/>
        </w:rPr>
        <w:t>Las muestras utilizadas en la validación de la precisión deberán ser preparadas de manera independiente desde el inicio del procedimiento analítico. En el caso de muestras sólidas y semisólidas, no se permitirá el uso de soluciones diluidas provenientes de una misma solución madre.</w:t>
      </w:r>
    </w:p>
    <w:p w:rsidR="00453CAA" w:rsidRDefault="00767C83">
      <w:pPr>
        <w:pBdr>
          <w:top w:val="nil"/>
          <w:left w:val="nil"/>
          <w:bottom w:val="nil"/>
          <w:right w:val="nil"/>
          <w:between w:val="nil"/>
        </w:pBdr>
        <w:spacing w:before="240" w:after="240" w:line="240" w:lineRule="auto"/>
        <w:ind w:left="1417" w:right="-75"/>
        <w:jc w:val="both"/>
        <w:rPr>
          <w:rFonts w:ascii="Arial" w:eastAsia="Arial" w:hAnsi="Arial" w:cs="Arial"/>
        </w:rPr>
      </w:pPr>
      <w:r>
        <w:rPr>
          <w:rFonts w:ascii="Arial" w:eastAsia="Arial" w:hAnsi="Arial" w:cs="Arial"/>
        </w:rPr>
        <w:t xml:space="preserve">Cuando la valoración de la precisión implique la adición de cantidades tan pequeñas de una sustancia que resulten imposibles de pesar directamente, podrá emplearse una solución concentrada de dicha sustancia, siguiendo </w:t>
      </w:r>
      <w:r>
        <w:rPr>
          <w:rFonts w:ascii="Arial" w:eastAsia="Arial" w:hAnsi="Arial" w:cs="Arial"/>
        </w:rPr>
        <w:lastRenderedPageBreak/>
        <w:t>estrictamente el procedimiento de extracción y dilución establecido en el método analítico.</w:t>
      </w:r>
    </w:p>
    <w:p w:rsidR="00453CAA" w:rsidRDefault="00767C83">
      <w:pPr>
        <w:pBdr>
          <w:top w:val="nil"/>
          <w:left w:val="nil"/>
          <w:bottom w:val="nil"/>
          <w:right w:val="nil"/>
          <w:between w:val="nil"/>
        </w:pBdr>
        <w:spacing w:before="240" w:after="240" w:line="240" w:lineRule="auto"/>
        <w:ind w:left="1417" w:right="-75"/>
        <w:jc w:val="both"/>
        <w:rPr>
          <w:rFonts w:ascii="Arial" w:eastAsia="Arial" w:hAnsi="Arial" w:cs="Arial"/>
        </w:rPr>
      </w:pPr>
      <w:r>
        <w:rPr>
          <w:rFonts w:ascii="Arial" w:eastAsia="Arial" w:hAnsi="Arial" w:cs="Arial"/>
        </w:rPr>
        <w:t>En el caso de impurezas conocidas presentes en concentraciones inferiores al límite de especificación, la muestra deberá ser fortificada con concentraciones conocidas del estándar de impurezas. Para impurezas desconocidas, la evaluación se realizará utilizando la respuesta del ingrediente activo agregado a la matriz en la concentración correspondiente al límite de especificación de la impureza, siempre que se considere válido aplicar el mismo factor de respuesta para el ingrediente activo y la impureza.</w:t>
      </w:r>
    </w:p>
    <w:p w:rsidR="00453CAA" w:rsidRDefault="00767C83">
      <w:pPr>
        <w:spacing w:before="240" w:after="240" w:line="240" w:lineRule="auto"/>
        <w:ind w:left="1417" w:right="-75" w:hanging="1417"/>
        <w:jc w:val="both"/>
        <w:rPr>
          <w:rFonts w:ascii="Arial" w:eastAsia="Arial" w:hAnsi="Arial" w:cs="Arial"/>
        </w:rPr>
      </w:pPr>
      <w:r>
        <w:rPr>
          <w:rFonts w:ascii="Arial" w:eastAsia="Arial" w:hAnsi="Arial" w:cs="Arial"/>
          <w:b/>
          <w:bCs/>
        </w:rPr>
        <w:t>Artículo 18.-</w:t>
      </w:r>
      <w:r>
        <w:rPr>
          <w:rFonts w:ascii="Arial" w:eastAsia="Arial" w:hAnsi="Arial" w:cs="Arial"/>
        </w:rPr>
        <w:t xml:space="preserve"> </w:t>
      </w:r>
      <w:r>
        <w:rPr>
          <w:rFonts w:ascii="Arial" w:eastAsia="Arial" w:hAnsi="Arial" w:cs="Arial"/>
        </w:rPr>
        <w:tab/>
        <w:t>La determinación de repetibilidad debe obedecer a los siguientes criterios:</w:t>
      </w:r>
    </w:p>
    <w:p w:rsidR="00453CAA" w:rsidRDefault="00767C83">
      <w:pPr>
        <w:numPr>
          <w:ilvl w:val="0"/>
          <w:numId w:val="3"/>
        </w:numPr>
        <w:pBdr>
          <w:top w:val="nil"/>
          <w:left w:val="nil"/>
          <w:bottom w:val="nil"/>
          <w:right w:val="nil"/>
          <w:between w:val="nil"/>
        </w:pBdr>
        <w:tabs>
          <w:tab w:val="left" w:pos="1985"/>
        </w:tabs>
        <w:spacing w:before="240" w:after="0" w:line="240" w:lineRule="auto"/>
        <w:ind w:left="1417" w:right="-75" w:firstLine="0"/>
        <w:jc w:val="both"/>
        <w:rPr>
          <w:rFonts w:ascii="Arial" w:eastAsia="Arial" w:hAnsi="Arial" w:cs="Arial"/>
          <w:color w:val="000000"/>
        </w:rPr>
      </w:pPr>
      <w:r>
        <w:rPr>
          <w:rFonts w:ascii="Arial" w:eastAsia="Arial" w:hAnsi="Arial" w:cs="Arial"/>
          <w:color w:val="000000"/>
        </w:rPr>
        <w:t>Evaluar las muestras bajo las mismas condiciones de operación en una sola corrida analítica.</w:t>
      </w:r>
    </w:p>
    <w:p w:rsidR="00453CAA" w:rsidRDefault="00767C83">
      <w:pPr>
        <w:numPr>
          <w:ilvl w:val="0"/>
          <w:numId w:val="3"/>
        </w:numPr>
        <w:pBdr>
          <w:top w:val="nil"/>
          <w:left w:val="nil"/>
          <w:bottom w:val="nil"/>
          <w:right w:val="nil"/>
          <w:between w:val="nil"/>
        </w:pBdr>
        <w:tabs>
          <w:tab w:val="left" w:pos="1985"/>
        </w:tabs>
        <w:spacing w:after="0" w:line="240" w:lineRule="auto"/>
        <w:ind w:left="1417" w:right="-75" w:firstLine="0"/>
        <w:jc w:val="both"/>
        <w:rPr>
          <w:rFonts w:ascii="Arial" w:eastAsia="Arial" w:hAnsi="Arial" w:cs="Arial"/>
          <w:color w:val="000000"/>
        </w:rPr>
      </w:pPr>
      <w:r>
        <w:rPr>
          <w:rFonts w:ascii="Arial" w:eastAsia="Arial" w:hAnsi="Arial" w:cs="Arial"/>
          <w:color w:val="000000"/>
        </w:rPr>
        <w:t xml:space="preserve">Utilizar, como mínimo, 9 (nueve) determinaciones, teniendo en cuenta el intervalo lineal del método analítico, o sea, 3 (tres) concentraciones: baja, media </w:t>
      </w:r>
      <w:r w:rsidR="004C242B">
        <w:rPr>
          <w:rFonts w:ascii="Arial" w:eastAsia="Arial" w:hAnsi="Arial" w:cs="Arial"/>
          <w:color w:val="000000"/>
        </w:rPr>
        <w:t>y alta</w:t>
      </w:r>
      <w:r>
        <w:rPr>
          <w:rFonts w:ascii="Arial" w:eastAsia="Arial" w:hAnsi="Arial" w:cs="Arial"/>
          <w:color w:val="000000"/>
        </w:rPr>
        <w:t xml:space="preserve">, </w:t>
      </w:r>
      <w:proofErr w:type="spellStart"/>
      <w:r>
        <w:rPr>
          <w:rFonts w:ascii="Arial" w:eastAsia="Arial" w:hAnsi="Arial" w:cs="Arial"/>
          <w:color w:val="000000"/>
        </w:rPr>
        <w:t>com</w:t>
      </w:r>
      <w:proofErr w:type="spellEnd"/>
      <w:r>
        <w:rPr>
          <w:rFonts w:ascii="Arial" w:eastAsia="Arial" w:hAnsi="Arial" w:cs="Arial"/>
          <w:color w:val="000000"/>
        </w:rPr>
        <w:t xml:space="preserve"> 3 (tres) réplicas en cada </w:t>
      </w:r>
      <w:proofErr w:type="spellStart"/>
      <w:r>
        <w:rPr>
          <w:rFonts w:ascii="Arial" w:eastAsia="Arial" w:hAnsi="Arial" w:cs="Arial"/>
          <w:color w:val="000000"/>
        </w:rPr>
        <w:t>nível</w:t>
      </w:r>
      <w:proofErr w:type="spellEnd"/>
      <w:r>
        <w:rPr>
          <w:rFonts w:ascii="Arial" w:eastAsia="Arial" w:hAnsi="Arial" w:cs="Arial"/>
          <w:color w:val="000000"/>
        </w:rPr>
        <w:t>.</w:t>
      </w:r>
    </w:p>
    <w:p w:rsidR="00453CAA" w:rsidRDefault="00767C83">
      <w:pPr>
        <w:numPr>
          <w:ilvl w:val="0"/>
          <w:numId w:val="3"/>
        </w:numPr>
        <w:pBdr>
          <w:top w:val="nil"/>
          <w:left w:val="nil"/>
          <w:bottom w:val="nil"/>
          <w:right w:val="nil"/>
          <w:between w:val="nil"/>
        </w:pBdr>
        <w:tabs>
          <w:tab w:val="left" w:pos="1985"/>
        </w:tabs>
        <w:spacing w:after="240" w:line="240" w:lineRule="auto"/>
        <w:ind w:left="1417" w:right="-75" w:firstLine="0"/>
        <w:jc w:val="both"/>
        <w:rPr>
          <w:rFonts w:ascii="Arial" w:eastAsia="Arial" w:hAnsi="Arial" w:cs="Arial"/>
          <w:color w:val="000000"/>
        </w:rPr>
      </w:pPr>
      <w:r>
        <w:rPr>
          <w:rFonts w:ascii="Arial" w:eastAsia="Arial" w:hAnsi="Arial" w:cs="Arial"/>
          <w:color w:val="000000"/>
        </w:rPr>
        <w:t xml:space="preserve">Los </w:t>
      </w:r>
      <w:r>
        <w:rPr>
          <w:rFonts w:ascii="Arial" w:eastAsia="Arial" w:hAnsi="Arial" w:cs="Arial"/>
        </w:rPr>
        <w:t>criterios</w:t>
      </w:r>
      <w:r>
        <w:rPr>
          <w:rFonts w:ascii="Arial" w:eastAsia="Arial" w:hAnsi="Arial" w:cs="Arial"/>
          <w:color w:val="000000"/>
        </w:rPr>
        <w:t xml:space="preserve"> de </w:t>
      </w:r>
      <w:r>
        <w:rPr>
          <w:rFonts w:ascii="Arial" w:eastAsia="Arial" w:hAnsi="Arial" w:cs="Arial"/>
        </w:rPr>
        <w:t>aceptación</w:t>
      </w:r>
      <w:r>
        <w:rPr>
          <w:rFonts w:ascii="Arial" w:eastAsia="Arial" w:hAnsi="Arial" w:cs="Arial"/>
          <w:color w:val="000000"/>
        </w:rPr>
        <w:t xml:space="preserve"> deben ser definidos y justificados de acuerdo con los </w:t>
      </w:r>
      <w:r>
        <w:rPr>
          <w:rFonts w:ascii="Arial" w:eastAsia="Arial" w:hAnsi="Arial" w:cs="Arial"/>
        </w:rPr>
        <w:t>siguientes</w:t>
      </w:r>
      <w:r>
        <w:rPr>
          <w:rFonts w:ascii="Arial" w:eastAsia="Arial" w:hAnsi="Arial" w:cs="Arial"/>
          <w:color w:val="000000"/>
        </w:rPr>
        <w:t xml:space="preserve"> aspectos: objetivo y variabilidad intrínseca del método, concentración de trabajo y concentración del analito en la muestra.</w:t>
      </w:r>
    </w:p>
    <w:p w:rsidR="00453CAA" w:rsidRDefault="00767C83">
      <w:pPr>
        <w:spacing w:before="240" w:after="240" w:line="240" w:lineRule="auto"/>
        <w:ind w:left="1417" w:right="-75" w:hanging="1417"/>
        <w:jc w:val="both"/>
        <w:rPr>
          <w:rFonts w:ascii="Arial" w:eastAsia="Arial" w:hAnsi="Arial" w:cs="Arial"/>
        </w:rPr>
      </w:pPr>
      <w:bookmarkStart w:id="3" w:name="_heading=h.ncvwbg5lsxl7" w:colFirst="0" w:colLast="0"/>
      <w:bookmarkEnd w:id="3"/>
      <w:r>
        <w:rPr>
          <w:rFonts w:ascii="Arial" w:eastAsia="Arial" w:hAnsi="Arial" w:cs="Arial"/>
          <w:b/>
          <w:bCs/>
        </w:rPr>
        <w:t>Artículo 19.-</w:t>
      </w:r>
      <w:r>
        <w:rPr>
          <w:rFonts w:ascii="Arial" w:eastAsia="Arial" w:hAnsi="Arial" w:cs="Arial"/>
        </w:rPr>
        <w:t xml:space="preserve"> La determinación de precisión intermedia debe obedecer a los siguientes criterios:</w:t>
      </w:r>
    </w:p>
    <w:p w:rsidR="00453CAA" w:rsidRDefault="00767C83">
      <w:pPr>
        <w:numPr>
          <w:ilvl w:val="0"/>
          <w:numId w:val="4"/>
        </w:numPr>
        <w:pBdr>
          <w:top w:val="nil"/>
          <w:left w:val="nil"/>
          <w:bottom w:val="nil"/>
          <w:right w:val="nil"/>
          <w:between w:val="nil"/>
        </w:pBdr>
        <w:spacing w:before="240" w:after="0" w:line="276" w:lineRule="auto"/>
        <w:ind w:left="2267" w:right="-75" w:hanging="708"/>
        <w:jc w:val="both"/>
        <w:rPr>
          <w:rFonts w:ascii="Arial" w:eastAsia="Arial" w:hAnsi="Arial" w:cs="Arial"/>
          <w:color w:val="000000"/>
        </w:rPr>
      </w:pPr>
      <w:r>
        <w:rPr>
          <w:rFonts w:ascii="Arial" w:eastAsia="Arial" w:hAnsi="Arial" w:cs="Arial"/>
          <w:color w:val="000000"/>
        </w:rPr>
        <w:t xml:space="preserve">Expresar la proximidad entre los resultados obtenidos del análisis de una misma muestra, en un mismo laboratorio, en por lo menos dos </w:t>
      </w:r>
      <w:r>
        <w:rPr>
          <w:rFonts w:ascii="Arial" w:eastAsia="Arial" w:hAnsi="Arial" w:cs="Arial"/>
        </w:rPr>
        <w:t>días</w:t>
      </w:r>
      <w:r>
        <w:rPr>
          <w:rFonts w:ascii="Arial" w:eastAsia="Arial" w:hAnsi="Arial" w:cs="Arial"/>
          <w:color w:val="000000"/>
        </w:rPr>
        <w:t xml:space="preserve"> diferentes, realizado por operadores diferentes; y</w:t>
      </w:r>
    </w:p>
    <w:p w:rsidR="00453CAA" w:rsidRDefault="00767C83">
      <w:pPr>
        <w:numPr>
          <w:ilvl w:val="0"/>
          <w:numId w:val="4"/>
        </w:numPr>
        <w:pBdr>
          <w:top w:val="nil"/>
          <w:left w:val="nil"/>
          <w:bottom w:val="nil"/>
          <w:right w:val="nil"/>
          <w:between w:val="nil"/>
        </w:pBdr>
        <w:spacing w:after="0" w:line="276" w:lineRule="auto"/>
        <w:ind w:left="2267" w:right="-75" w:hanging="708"/>
        <w:jc w:val="both"/>
        <w:rPr>
          <w:rFonts w:ascii="Arial" w:eastAsia="Arial" w:hAnsi="Arial" w:cs="Arial"/>
          <w:color w:val="000000"/>
        </w:rPr>
      </w:pPr>
      <w:bookmarkStart w:id="4" w:name="_heading=h.essezwk52ikc" w:colFirst="0" w:colLast="0"/>
      <w:bookmarkEnd w:id="4"/>
      <w:r>
        <w:rPr>
          <w:rFonts w:ascii="Arial" w:eastAsia="Arial" w:hAnsi="Arial" w:cs="Arial"/>
          <w:color w:val="000000"/>
        </w:rPr>
        <w:t xml:space="preserve">Considerar las mismas concentraciones y el mismo número de determinaciones descritas en la </w:t>
      </w:r>
      <w:r>
        <w:rPr>
          <w:rFonts w:ascii="Arial" w:eastAsia="Arial" w:hAnsi="Arial" w:cs="Arial"/>
        </w:rPr>
        <w:t>evaluación</w:t>
      </w:r>
      <w:r>
        <w:rPr>
          <w:rFonts w:ascii="Arial" w:eastAsia="Arial" w:hAnsi="Arial" w:cs="Arial"/>
          <w:color w:val="000000"/>
        </w:rPr>
        <w:t xml:space="preserve"> de la repetibilidad. </w:t>
      </w:r>
    </w:p>
    <w:p w:rsidR="00453CAA" w:rsidRDefault="00453CAA">
      <w:pPr>
        <w:pBdr>
          <w:top w:val="nil"/>
          <w:left w:val="nil"/>
          <w:bottom w:val="nil"/>
          <w:right w:val="nil"/>
          <w:between w:val="nil"/>
        </w:pBdr>
        <w:spacing w:after="0" w:line="276" w:lineRule="auto"/>
        <w:ind w:left="1560" w:right="-75"/>
        <w:jc w:val="both"/>
        <w:rPr>
          <w:rFonts w:ascii="Arial" w:eastAsia="Arial" w:hAnsi="Arial" w:cs="Arial"/>
          <w:color w:val="000000"/>
        </w:rPr>
      </w:pPr>
    </w:p>
    <w:p w:rsidR="00453CAA" w:rsidRDefault="00767C83">
      <w:pPr>
        <w:pBdr>
          <w:top w:val="nil"/>
          <w:left w:val="nil"/>
          <w:bottom w:val="nil"/>
          <w:right w:val="nil"/>
          <w:between w:val="nil"/>
        </w:pBdr>
        <w:spacing w:after="0" w:line="276" w:lineRule="auto"/>
        <w:ind w:left="1560" w:right="-75" w:hanging="1418"/>
        <w:jc w:val="both"/>
        <w:rPr>
          <w:rFonts w:ascii="Arial" w:eastAsia="Arial" w:hAnsi="Arial" w:cs="Arial"/>
          <w:color w:val="000000"/>
        </w:rPr>
      </w:pPr>
      <w:bookmarkStart w:id="5" w:name="_heading=h.4591vbc4qp10" w:colFirst="0" w:colLast="0"/>
      <w:bookmarkEnd w:id="5"/>
      <w:r>
        <w:rPr>
          <w:rFonts w:ascii="Arial" w:eastAsia="Arial" w:hAnsi="Arial" w:cs="Arial"/>
          <w:b/>
          <w:bCs/>
          <w:color w:val="000000"/>
        </w:rPr>
        <w:t>Artículo 20.-</w:t>
      </w:r>
      <w:r>
        <w:rPr>
          <w:rFonts w:ascii="Arial" w:eastAsia="Arial" w:hAnsi="Arial" w:cs="Arial"/>
          <w:color w:val="000000"/>
        </w:rPr>
        <w:t xml:space="preserve"> La reproducibilidad debe ser obtenida por medio de la similitud de los resultados obtenidos en laboratorios diferentes. La reproducibilidad es aplicable en estudios colaborativos o en la validación de métodos analíticos para su </w:t>
      </w:r>
      <w:r>
        <w:rPr>
          <w:rFonts w:ascii="Arial" w:eastAsia="Arial" w:hAnsi="Arial" w:cs="Arial"/>
        </w:rPr>
        <w:t>inclusión</w:t>
      </w:r>
      <w:r>
        <w:rPr>
          <w:rFonts w:ascii="Arial" w:eastAsia="Arial" w:hAnsi="Arial" w:cs="Arial"/>
          <w:color w:val="000000"/>
        </w:rPr>
        <w:t xml:space="preserve"> en compendios oficiales, mediante </w:t>
      </w:r>
      <w:r w:rsidR="004C242B">
        <w:rPr>
          <w:rFonts w:ascii="Arial" w:eastAsia="Arial" w:hAnsi="Arial" w:cs="Arial"/>
          <w:color w:val="000000"/>
        </w:rPr>
        <w:t>pruebas estadísticas</w:t>
      </w:r>
      <w:r>
        <w:rPr>
          <w:rFonts w:ascii="Arial" w:eastAsia="Arial" w:hAnsi="Arial" w:cs="Arial"/>
          <w:color w:val="000000"/>
        </w:rPr>
        <w:t xml:space="preserve"> adecuadas. Los </w:t>
      </w:r>
      <w:r>
        <w:rPr>
          <w:rFonts w:ascii="Arial" w:eastAsia="Arial" w:hAnsi="Arial" w:cs="Arial"/>
        </w:rPr>
        <w:t>criterios</w:t>
      </w:r>
      <w:r>
        <w:rPr>
          <w:rFonts w:ascii="Arial" w:eastAsia="Arial" w:hAnsi="Arial" w:cs="Arial"/>
          <w:color w:val="000000"/>
        </w:rPr>
        <w:t xml:space="preserve"> de aceptación para la desviación estándar relativa deberán justificarse de acuerdo con los siguientes aspectos: objetivo y variabilidad intrínseca del método, concentración de trabajo y concentración del analito en la muestra.</w:t>
      </w:r>
    </w:p>
    <w:p w:rsidR="00453CAA" w:rsidRDefault="00453CAA">
      <w:pPr>
        <w:pBdr>
          <w:top w:val="nil"/>
          <w:left w:val="nil"/>
          <w:bottom w:val="nil"/>
          <w:right w:val="nil"/>
          <w:between w:val="nil"/>
        </w:pBdr>
        <w:spacing w:after="0" w:line="276" w:lineRule="auto"/>
        <w:ind w:left="1560" w:right="-75" w:hanging="1418"/>
        <w:jc w:val="both"/>
        <w:rPr>
          <w:rFonts w:ascii="Arial" w:eastAsia="Arial" w:hAnsi="Arial" w:cs="Arial"/>
          <w:color w:val="000000"/>
        </w:rPr>
      </w:pPr>
    </w:p>
    <w:p w:rsidR="00453CAA" w:rsidRDefault="00767C83">
      <w:pPr>
        <w:pBdr>
          <w:top w:val="nil"/>
          <w:left w:val="nil"/>
          <w:bottom w:val="nil"/>
          <w:right w:val="nil"/>
          <w:between w:val="nil"/>
        </w:pBdr>
        <w:spacing w:after="0" w:line="276" w:lineRule="auto"/>
        <w:ind w:left="1560" w:right="-75" w:hanging="1418"/>
        <w:jc w:val="both"/>
        <w:rPr>
          <w:rFonts w:ascii="Arial" w:eastAsia="Arial" w:hAnsi="Arial" w:cs="Arial"/>
          <w:color w:val="000000"/>
        </w:rPr>
      </w:pPr>
      <w:bookmarkStart w:id="6" w:name="_heading=h.7x31k5uksrb5" w:colFirst="0" w:colLast="0"/>
      <w:bookmarkEnd w:id="6"/>
      <w:r>
        <w:rPr>
          <w:rFonts w:ascii="Arial" w:eastAsia="Arial" w:hAnsi="Arial" w:cs="Arial"/>
          <w:b/>
          <w:bCs/>
          <w:color w:val="000000"/>
        </w:rPr>
        <w:lastRenderedPageBreak/>
        <w:t>Artículo 21.-</w:t>
      </w:r>
      <w:r w:rsidR="004C242B">
        <w:rPr>
          <w:rFonts w:ascii="Arial" w:eastAsia="Arial" w:hAnsi="Arial" w:cs="Arial"/>
          <w:b/>
          <w:bCs/>
          <w:color w:val="000000"/>
        </w:rPr>
        <w:t xml:space="preserve">  </w:t>
      </w:r>
      <w:r>
        <w:rPr>
          <w:rFonts w:ascii="Trebuchet MS" w:eastAsia="Trebuchet MS" w:hAnsi="Trebuchet MS" w:cs="Trebuchet MS"/>
          <w:b/>
          <w:bCs/>
          <w:color w:val="000000"/>
          <w:sz w:val="15"/>
          <w:szCs w:val="15"/>
        </w:rPr>
        <w:t xml:space="preserve"> </w:t>
      </w:r>
      <w:r>
        <w:rPr>
          <w:rFonts w:ascii="Arial" w:eastAsia="Arial" w:hAnsi="Arial" w:cs="Arial"/>
          <w:color w:val="000000"/>
        </w:rPr>
        <w:t xml:space="preserve">El parámetro exactitud de un método analítico debe demostrarse por medio del grado de concordancia entre los resultados individuales del método en estudio en relación a un valor aceptado como verdadero. Debe realizarse con un mínimo de 9 (nueve) determinaciones, contemplando el intervalo lineal del método analítico, o sea, 3 (tres) concentraciones: baja, media y alta, </w:t>
      </w:r>
      <w:proofErr w:type="spellStart"/>
      <w:r>
        <w:rPr>
          <w:rFonts w:ascii="Arial" w:eastAsia="Arial" w:hAnsi="Arial" w:cs="Arial"/>
          <w:color w:val="000000"/>
        </w:rPr>
        <w:t>com</w:t>
      </w:r>
      <w:proofErr w:type="spellEnd"/>
      <w:r>
        <w:rPr>
          <w:rFonts w:ascii="Arial" w:eastAsia="Arial" w:hAnsi="Arial" w:cs="Arial"/>
          <w:color w:val="000000"/>
        </w:rPr>
        <w:t xml:space="preserve"> 3 (tres) réplicas en cada </w:t>
      </w:r>
      <w:proofErr w:type="spellStart"/>
      <w:r>
        <w:rPr>
          <w:rFonts w:ascii="Arial" w:eastAsia="Arial" w:hAnsi="Arial" w:cs="Arial"/>
          <w:color w:val="000000"/>
        </w:rPr>
        <w:t>nível</w:t>
      </w:r>
      <w:proofErr w:type="spellEnd"/>
      <w:r>
        <w:rPr>
          <w:rFonts w:ascii="Arial" w:eastAsia="Arial" w:hAnsi="Arial" w:cs="Arial"/>
          <w:color w:val="000000"/>
        </w:rPr>
        <w:t xml:space="preserve">. Las muestras deben ser preparadas de manera </w:t>
      </w:r>
      <w:r>
        <w:rPr>
          <w:rFonts w:ascii="Arial" w:eastAsia="Arial" w:hAnsi="Arial" w:cs="Arial"/>
        </w:rPr>
        <w:t>independiente</w:t>
      </w:r>
      <w:r>
        <w:rPr>
          <w:rFonts w:ascii="Arial" w:eastAsia="Arial" w:hAnsi="Arial" w:cs="Arial"/>
          <w:color w:val="000000"/>
        </w:rPr>
        <w:t>.</w:t>
      </w:r>
      <w:r>
        <w:rPr>
          <w:rFonts w:ascii="Trebuchet MS" w:eastAsia="Trebuchet MS" w:hAnsi="Trebuchet MS" w:cs="Trebuchet MS"/>
          <w:b/>
          <w:bCs/>
          <w:color w:val="000000"/>
          <w:sz w:val="15"/>
          <w:szCs w:val="15"/>
        </w:rPr>
        <w:t xml:space="preserve"> </w:t>
      </w:r>
      <w:r>
        <w:rPr>
          <w:rFonts w:ascii="Arial" w:eastAsia="Arial" w:hAnsi="Arial" w:cs="Arial"/>
          <w:color w:val="000000"/>
        </w:rPr>
        <w:t xml:space="preserve">Debe calcularse la Desviación estándar relativa para cada concentración y los </w:t>
      </w:r>
      <w:r>
        <w:rPr>
          <w:rFonts w:ascii="Arial" w:eastAsia="Arial" w:hAnsi="Arial" w:cs="Arial"/>
        </w:rPr>
        <w:t>criterios</w:t>
      </w:r>
      <w:r>
        <w:rPr>
          <w:rFonts w:ascii="Arial" w:eastAsia="Arial" w:hAnsi="Arial" w:cs="Arial"/>
          <w:color w:val="000000"/>
        </w:rPr>
        <w:t xml:space="preserve"> de aceptación para los porcentajes de recuperación y la Desviación estándar relativa obtenida deben ser justificadas técnicamente.</w:t>
      </w:r>
    </w:p>
    <w:p w:rsidR="00453CAA" w:rsidRDefault="00453CAA">
      <w:pPr>
        <w:pBdr>
          <w:top w:val="nil"/>
          <w:left w:val="nil"/>
          <w:bottom w:val="nil"/>
          <w:right w:val="nil"/>
          <w:between w:val="nil"/>
        </w:pBdr>
        <w:spacing w:after="0" w:line="276" w:lineRule="auto"/>
        <w:ind w:left="1560" w:right="-75" w:hanging="1418"/>
        <w:jc w:val="both"/>
        <w:rPr>
          <w:rFonts w:ascii="Arial" w:eastAsia="Arial" w:hAnsi="Arial" w:cs="Arial"/>
          <w:color w:val="000000"/>
        </w:rPr>
      </w:pPr>
    </w:p>
    <w:p w:rsidR="00453CAA" w:rsidRDefault="00767C83">
      <w:pPr>
        <w:pBdr>
          <w:top w:val="nil"/>
          <w:left w:val="nil"/>
          <w:bottom w:val="nil"/>
          <w:right w:val="nil"/>
          <w:between w:val="nil"/>
        </w:pBdr>
        <w:spacing w:after="0" w:line="276" w:lineRule="auto"/>
        <w:ind w:left="1560" w:right="-75" w:hanging="1418"/>
        <w:jc w:val="both"/>
        <w:rPr>
          <w:rFonts w:ascii="Arial" w:eastAsia="Arial" w:hAnsi="Arial" w:cs="Arial"/>
          <w:color w:val="000000"/>
        </w:rPr>
      </w:pPr>
      <w:r>
        <w:rPr>
          <w:rFonts w:ascii="Arial" w:eastAsia="Arial" w:hAnsi="Arial" w:cs="Arial"/>
          <w:b/>
          <w:bCs/>
          <w:color w:val="000000"/>
        </w:rPr>
        <w:t>Artículo 22.</w:t>
      </w:r>
      <w:r w:rsidR="004C242B">
        <w:rPr>
          <w:rFonts w:ascii="Arial" w:eastAsia="Arial" w:hAnsi="Arial" w:cs="Arial"/>
          <w:b/>
          <w:bCs/>
          <w:color w:val="000000"/>
        </w:rPr>
        <w:t>-</w:t>
      </w:r>
      <w:r w:rsidR="004C242B">
        <w:rPr>
          <w:rFonts w:ascii="Trebuchet MS" w:eastAsia="Trebuchet MS" w:hAnsi="Trebuchet MS" w:cs="Trebuchet MS"/>
          <w:b/>
          <w:bCs/>
          <w:color w:val="000000"/>
          <w:sz w:val="15"/>
          <w:szCs w:val="15"/>
        </w:rPr>
        <w:t xml:space="preserve">   </w:t>
      </w:r>
      <w:r w:rsidR="004C242B">
        <w:rPr>
          <w:rFonts w:ascii="Arial" w:eastAsia="Arial" w:hAnsi="Arial" w:cs="Arial"/>
          <w:color w:val="000000"/>
        </w:rPr>
        <w:t>Para</w:t>
      </w:r>
      <w:r>
        <w:rPr>
          <w:rFonts w:ascii="Arial" w:eastAsia="Arial" w:hAnsi="Arial" w:cs="Arial"/>
          <w:color w:val="000000"/>
        </w:rPr>
        <w:t xml:space="preserve"> determinar la exactitud, debe ser utilizado el enfoque </w:t>
      </w:r>
      <w:r>
        <w:rPr>
          <w:rFonts w:ascii="Arial" w:eastAsia="Arial" w:hAnsi="Arial" w:cs="Arial"/>
        </w:rPr>
        <w:t>más</w:t>
      </w:r>
      <w:r>
        <w:rPr>
          <w:rFonts w:ascii="Arial" w:eastAsia="Arial" w:hAnsi="Arial" w:cs="Arial"/>
          <w:color w:val="000000"/>
        </w:rPr>
        <w:t xml:space="preserve"> </w:t>
      </w:r>
      <w:r>
        <w:rPr>
          <w:rFonts w:ascii="Arial" w:eastAsia="Arial" w:hAnsi="Arial" w:cs="Arial"/>
        </w:rPr>
        <w:t>adecuado</w:t>
      </w:r>
      <w:r>
        <w:rPr>
          <w:rFonts w:ascii="Arial" w:eastAsia="Arial" w:hAnsi="Arial" w:cs="Arial"/>
          <w:color w:val="000000"/>
        </w:rPr>
        <w:t xml:space="preserve">, según el método analítico en estudio: </w:t>
      </w:r>
    </w:p>
    <w:p w:rsidR="00453CAA" w:rsidRDefault="00767C83">
      <w:pPr>
        <w:numPr>
          <w:ilvl w:val="0"/>
          <w:numId w:val="5"/>
        </w:numPr>
        <w:pBdr>
          <w:top w:val="nil"/>
          <w:left w:val="nil"/>
          <w:bottom w:val="nil"/>
          <w:right w:val="nil"/>
          <w:between w:val="nil"/>
        </w:pBdr>
        <w:tabs>
          <w:tab w:val="left" w:pos="1701"/>
        </w:tabs>
        <w:spacing w:after="200" w:line="276" w:lineRule="auto"/>
        <w:ind w:left="1417" w:right="-75" w:firstLine="285"/>
        <w:jc w:val="both"/>
        <w:rPr>
          <w:rFonts w:ascii="Arial" w:eastAsia="Arial" w:hAnsi="Arial" w:cs="Arial"/>
          <w:b/>
          <w:bCs/>
          <w:color w:val="000000"/>
        </w:rPr>
      </w:pPr>
      <w:r>
        <w:rPr>
          <w:rFonts w:ascii="Arial" w:eastAsia="Arial" w:hAnsi="Arial" w:cs="Arial"/>
          <w:b/>
          <w:bCs/>
          <w:color w:val="000000"/>
        </w:rPr>
        <w:t xml:space="preserve">Para IFA: </w:t>
      </w:r>
    </w:p>
    <w:p w:rsidR="00453CAA" w:rsidRDefault="00767C83">
      <w:pPr>
        <w:numPr>
          <w:ilvl w:val="0"/>
          <w:numId w:val="6"/>
        </w:numPr>
        <w:pBdr>
          <w:top w:val="nil"/>
          <w:left w:val="nil"/>
          <w:bottom w:val="nil"/>
          <w:right w:val="nil"/>
          <w:between w:val="nil"/>
        </w:pBdr>
        <w:tabs>
          <w:tab w:val="left" w:pos="1701"/>
        </w:tabs>
        <w:spacing w:after="0" w:line="276" w:lineRule="auto"/>
        <w:ind w:right="-75" w:hanging="77"/>
        <w:jc w:val="both"/>
        <w:rPr>
          <w:rFonts w:ascii="Arial" w:eastAsia="Arial" w:hAnsi="Arial" w:cs="Arial"/>
          <w:color w:val="000000"/>
        </w:rPr>
      </w:pPr>
      <w:r>
        <w:rPr>
          <w:rFonts w:ascii="Arial" w:eastAsia="Arial" w:hAnsi="Arial" w:cs="Arial"/>
          <w:color w:val="000000"/>
        </w:rPr>
        <w:t xml:space="preserve">Aplicar el método propuesto utilizando una sustancia </w:t>
      </w:r>
      <w:r>
        <w:rPr>
          <w:rFonts w:ascii="Arial" w:eastAsia="Arial" w:hAnsi="Arial" w:cs="Arial"/>
        </w:rPr>
        <w:t>química de referencia</w:t>
      </w:r>
      <w:r>
        <w:rPr>
          <w:rFonts w:ascii="Arial" w:eastAsia="Arial" w:hAnsi="Arial" w:cs="Arial"/>
          <w:color w:val="000000"/>
        </w:rPr>
        <w:t xml:space="preserve"> (SQR).</w:t>
      </w:r>
    </w:p>
    <w:p w:rsidR="00453CAA" w:rsidRDefault="00767C83">
      <w:pPr>
        <w:numPr>
          <w:ilvl w:val="0"/>
          <w:numId w:val="6"/>
        </w:numPr>
        <w:pBdr>
          <w:top w:val="nil"/>
          <w:left w:val="nil"/>
          <w:bottom w:val="nil"/>
          <w:right w:val="nil"/>
          <w:between w:val="nil"/>
        </w:pBdr>
        <w:tabs>
          <w:tab w:val="left" w:pos="1701"/>
        </w:tabs>
        <w:spacing w:after="0" w:line="276" w:lineRule="auto"/>
        <w:ind w:right="-75" w:hanging="77"/>
        <w:jc w:val="both"/>
        <w:rPr>
          <w:rFonts w:ascii="Arial" w:eastAsia="Arial" w:hAnsi="Arial" w:cs="Arial"/>
          <w:color w:val="000000"/>
        </w:rPr>
      </w:pPr>
      <w:r>
        <w:rPr>
          <w:rFonts w:ascii="Arial" w:eastAsia="Arial" w:hAnsi="Arial" w:cs="Arial"/>
          <w:color w:val="000000"/>
        </w:rPr>
        <w:t>Comparar los resultados obtenidos con los resultados de un segundo método validado, cuya exactitud haya sido establecida; o</w:t>
      </w:r>
    </w:p>
    <w:p w:rsidR="00453CAA" w:rsidRDefault="00767C83">
      <w:pPr>
        <w:numPr>
          <w:ilvl w:val="0"/>
          <w:numId w:val="6"/>
        </w:numPr>
        <w:pBdr>
          <w:top w:val="nil"/>
          <w:left w:val="nil"/>
          <w:bottom w:val="nil"/>
          <w:right w:val="nil"/>
          <w:between w:val="nil"/>
        </w:pBdr>
        <w:tabs>
          <w:tab w:val="left" w:pos="1701"/>
        </w:tabs>
        <w:spacing w:after="0" w:line="276" w:lineRule="auto"/>
        <w:ind w:right="-75" w:hanging="77"/>
        <w:jc w:val="both"/>
        <w:rPr>
          <w:rFonts w:ascii="Arial" w:eastAsia="Arial" w:hAnsi="Arial" w:cs="Arial"/>
          <w:color w:val="000000"/>
        </w:rPr>
      </w:pPr>
      <w:r>
        <w:rPr>
          <w:rFonts w:ascii="Arial" w:eastAsia="Arial" w:hAnsi="Arial" w:cs="Arial"/>
          <w:color w:val="000000"/>
        </w:rPr>
        <w:t xml:space="preserve">En el caso del analito en </w:t>
      </w:r>
      <w:r>
        <w:rPr>
          <w:rFonts w:ascii="Arial" w:eastAsia="Arial" w:hAnsi="Arial" w:cs="Arial"/>
        </w:rPr>
        <w:t>una matriz</w:t>
      </w:r>
      <w:r>
        <w:rPr>
          <w:rFonts w:ascii="Arial" w:eastAsia="Arial" w:hAnsi="Arial" w:cs="Arial"/>
          <w:color w:val="000000"/>
        </w:rPr>
        <w:t xml:space="preserve"> compleja, realizar el análisis utilizando el método de adición SQR.</w:t>
      </w:r>
    </w:p>
    <w:p w:rsidR="00453CAA" w:rsidRDefault="00453CAA">
      <w:pPr>
        <w:pBdr>
          <w:top w:val="nil"/>
          <w:left w:val="nil"/>
          <w:bottom w:val="nil"/>
          <w:right w:val="nil"/>
          <w:between w:val="nil"/>
        </w:pBdr>
        <w:tabs>
          <w:tab w:val="left" w:pos="1701"/>
        </w:tabs>
        <w:spacing w:after="0" w:line="276" w:lineRule="auto"/>
        <w:ind w:left="1778" w:right="-75"/>
        <w:jc w:val="both"/>
        <w:rPr>
          <w:rFonts w:ascii="Arial" w:eastAsia="Arial" w:hAnsi="Arial" w:cs="Arial"/>
          <w:color w:val="000000"/>
        </w:rPr>
      </w:pPr>
    </w:p>
    <w:p w:rsidR="00453CAA" w:rsidRDefault="00767C83">
      <w:pPr>
        <w:numPr>
          <w:ilvl w:val="0"/>
          <w:numId w:val="5"/>
        </w:numPr>
        <w:pBdr>
          <w:top w:val="nil"/>
          <w:left w:val="nil"/>
          <w:bottom w:val="nil"/>
          <w:right w:val="nil"/>
          <w:between w:val="nil"/>
        </w:pBdr>
        <w:tabs>
          <w:tab w:val="left" w:pos="1701"/>
        </w:tabs>
        <w:spacing w:after="200" w:line="276" w:lineRule="auto"/>
        <w:ind w:right="-75" w:firstLine="838"/>
        <w:jc w:val="both"/>
        <w:rPr>
          <w:rFonts w:ascii="Arial" w:eastAsia="Arial" w:hAnsi="Arial" w:cs="Arial"/>
          <w:b/>
          <w:bCs/>
          <w:color w:val="000000"/>
        </w:rPr>
      </w:pPr>
      <w:r>
        <w:rPr>
          <w:rFonts w:ascii="Arial" w:eastAsia="Arial" w:hAnsi="Arial" w:cs="Arial"/>
          <w:b/>
          <w:bCs/>
          <w:color w:val="000000"/>
        </w:rPr>
        <w:t xml:space="preserve">Para </w:t>
      </w:r>
      <w:r>
        <w:rPr>
          <w:rFonts w:ascii="Arial" w:eastAsia="Arial" w:hAnsi="Arial" w:cs="Arial"/>
          <w:b/>
          <w:bCs/>
        </w:rPr>
        <w:t>producto</w:t>
      </w:r>
      <w:r>
        <w:rPr>
          <w:rFonts w:ascii="Arial" w:eastAsia="Arial" w:hAnsi="Arial" w:cs="Arial"/>
          <w:b/>
          <w:bCs/>
          <w:color w:val="000000"/>
        </w:rPr>
        <w:t xml:space="preserve"> terminado:</w:t>
      </w:r>
    </w:p>
    <w:p w:rsidR="00453CAA" w:rsidRDefault="00767C83">
      <w:pPr>
        <w:numPr>
          <w:ilvl w:val="0"/>
          <w:numId w:val="7"/>
        </w:numPr>
        <w:pBdr>
          <w:top w:val="nil"/>
          <w:left w:val="nil"/>
          <w:bottom w:val="nil"/>
          <w:right w:val="nil"/>
          <w:between w:val="nil"/>
        </w:pBdr>
        <w:tabs>
          <w:tab w:val="left" w:pos="1701"/>
        </w:tabs>
        <w:spacing w:after="0" w:line="276" w:lineRule="auto"/>
        <w:ind w:left="1984" w:right="-75"/>
        <w:jc w:val="both"/>
        <w:rPr>
          <w:rFonts w:ascii="Arial" w:eastAsia="Arial" w:hAnsi="Arial" w:cs="Arial"/>
          <w:color w:val="000000"/>
        </w:rPr>
      </w:pPr>
      <w:r>
        <w:rPr>
          <w:rFonts w:ascii="Arial" w:eastAsia="Arial" w:hAnsi="Arial" w:cs="Arial"/>
          <w:color w:val="000000"/>
        </w:rPr>
        <w:t>Aplicar el método propuesto en el análisis de una muestra en la que se añadió una cantidad conocida de sustancia química de referencia a la matriz.</w:t>
      </w:r>
    </w:p>
    <w:p w:rsidR="00453CAA" w:rsidRDefault="00767C83">
      <w:pPr>
        <w:numPr>
          <w:ilvl w:val="0"/>
          <w:numId w:val="7"/>
        </w:numPr>
        <w:pBdr>
          <w:top w:val="nil"/>
          <w:left w:val="nil"/>
          <w:bottom w:val="nil"/>
          <w:right w:val="nil"/>
          <w:between w:val="nil"/>
        </w:pBdr>
        <w:tabs>
          <w:tab w:val="left" w:pos="1701"/>
        </w:tabs>
        <w:spacing w:after="0" w:line="276" w:lineRule="auto"/>
        <w:ind w:left="1984" w:right="-75"/>
        <w:jc w:val="both"/>
        <w:rPr>
          <w:rFonts w:ascii="Arial" w:eastAsia="Arial" w:hAnsi="Arial" w:cs="Arial"/>
          <w:color w:val="000000"/>
        </w:rPr>
      </w:pPr>
      <w:r>
        <w:rPr>
          <w:rFonts w:ascii="Arial" w:eastAsia="Arial" w:hAnsi="Arial" w:cs="Arial"/>
          <w:color w:val="000000"/>
        </w:rPr>
        <w:t>Si no se dispone de muestras de todos los componentes del fármaco, se puede realizar un análisis utilizando el método de adición SQR, en el que se conocen cantidades de SQR que se añaden a la solución del producto terminado; o</w:t>
      </w:r>
    </w:p>
    <w:p w:rsidR="00453CAA" w:rsidRDefault="00767C83">
      <w:pPr>
        <w:numPr>
          <w:ilvl w:val="0"/>
          <w:numId w:val="7"/>
        </w:numPr>
        <w:pBdr>
          <w:top w:val="nil"/>
          <w:left w:val="nil"/>
          <w:bottom w:val="nil"/>
          <w:right w:val="nil"/>
          <w:between w:val="nil"/>
        </w:pBdr>
        <w:tabs>
          <w:tab w:val="left" w:pos="1701"/>
        </w:tabs>
        <w:spacing w:after="0" w:line="276" w:lineRule="auto"/>
        <w:ind w:left="1984" w:right="-75"/>
        <w:jc w:val="both"/>
        <w:rPr>
          <w:rFonts w:ascii="Arial" w:eastAsia="Arial" w:hAnsi="Arial" w:cs="Arial"/>
          <w:color w:val="000000"/>
        </w:rPr>
      </w:pPr>
      <w:r>
        <w:rPr>
          <w:rFonts w:ascii="Arial" w:eastAsia="Arial" w:hAnsi="Arial" w:cs="Arial"/>
          <w:color w:val="000000"/>
        </w:rPr>
        <w:t>Comparar los resultados obtenidos con los resultados de un segundo método validado.</w:t>
      </w:r>
    </w:p>
    <w:p w:rsidR="00453CAA" w:rsidRDefault="00453CAA">
      <w:pPr>
        <w:pBdr>
          <w:top w:val="nil"/>
          <w:left w:val="nil"/>
          <w:bottom w:val="nil"/>
          <w:right w:val="nil"/>
          <w:between w:val="nil"/>
        </w:pBdr>
        <w:tabs>
          <w:tab w:val="left" w:pos="1701"/>
        </w:tabs>
        <w:spacing w:after="0" w:line="276" w:lineRule="auto"/>
        <w:ind w:left="1778" w:right="-75"/>
        <w:jc w:val="both"/>
        <w:rPr>
          <w:rFonts w:ascii="Arial" w:eastAsia="Arial" w:hAnsi="Arial" w:cs="Arial"/>
          <w:color w:val="000000"/>
        </w:rPr>
      </w:pPr>
    </w:p>
    <w:p w:rsidR="004C242B" w:rsidRDefault="004C242B">
      <w:pPr>
        <w:pBdr>
          <w:top w:val="nil"/>
          <w:left w:val="nil"/>
          <w:bottom w:val="nil"/>
          <w:right w:val="nil"/>
          <w:between w:val="nil"/>
        </w:pBdr>
        <w:tabs>
          <w:tab w:val="left" w:pos="1701"/>
        </w:tabs>
        <w:spacing w:after="0" w:line="276" w:lineRule="auto"/>
        <w:ind w:left="1778" w:right="-75"/>
        <w:jc w:val="both"/>
        <w:rPr>
          <w:rFonts w:ascii="Arial" w:eastAsia="Arial" w:hAnsi="Arial" w:cs="Arial"/>
          <w:color w:val="000000"/>
        </w:rPr>
      </w:pPr>
    </w:p>
    <w:p w:rsidR="004C242B" w:rsidRDefault="004C242B">
      <w:pPr>
        <w:pBdr>
          <w:top w:val="nil"/>
          <w:left w:val="nil"/>
          <w:bottom w:val="nil"/>
          <w:right w:val="nil"/>
          <w:between w:val="nil"/>
        </w:pBdr>
        <w:tabs>
          <w:tab w:val="left" w:pos="1701"/>
        </w:tabs>
        <w:spacing w:after="0" w:line="276" w:lineRule="auto"/>
        <w:ind w:left="1778" w:right="-75"/>
        <w:jc w:val="both"/>
        <w:rPr>
          <w:rFonts w:ascii="Arial" w:eastAsia="Arial" w:hAnsi="Arial" w:cs="Arial"/>
          <w:color w:val="000000"/>
        </w:rPr>
      </w:pPr>
    </w:p>
    <w:p w:rsidR="004C242B" w:rsidRDefault="004C242B">
      <w:pPr>
        <w:pBdr>
          <w:top w:val="nil"/>
          <w:left w:val="nil"/>
          <w:bottom w:val="nil"/>
          <w:right w:val="nil"/>
          <w:between w:val="nil"/>
        </w:pBdr>
        <w:tabs>
          <w:tab w:val="left" w:pos="1701"/>
        </w:tabs>
        <w:spacing w:after="0" w:line="276" w:lineRule="auto"/>
        <w:ind w:left="1778" w:right="-75"/>
        <w:jc w:val="both"/>
        <w:rPr>
          <w:rFonts w:ascii="Arial" w:eastAsia="Arial" w:hAnsi="Arial" w:cs="Arial"/>
          <w:color w:val="000000"/>
        </w:rPr>
      </w:pPr>
    </w:p>
    <w:p w:rsidR="00453CAA" w:rsidRDefault="00767C83">
      <w:pPr>
        <w:numPr>
          <w:ilvl w:val="0"/>
          <w:numId w:val="5"/>
        </w:numPr>
        <w:pBdr>
          <w:top w:val="nil"/>
          <w:left w:val="nil"/>
          <w:bottom w:val="nil"/>
          <w:right w:val="nil"/>
          <w:between w:val="nil"/>
        </w:pBdr>
        <w:tabs>
          <w:tab w:val="left" w:pos="1701"/>
        </w:tabs>
        <w:spacing w:after="200" w:line="276" w:lineRule="auto"/>
        <w:ind w:right="-75" w:firstLine="838"/>
        <w:jc w:val="both"/>
        <w:rPr>
          <w:rFonts w:ascii="Arial" w:eastAsia="Arial" w:hAnsi="Arial" w:cs="Arial"/>
          <w:b/>
          <w:bCs/>
          <w:color w:val="000000"/>
        </w:rPr>
      </w:pPr>
      <w:r>
        <w:rPr>
          <w:rFonts w:ascii="Arial" w:eastAsia="Arial" w:hAnsi="Arial" w:cs="Arial"/>
          <w:b/>
          <w:bCs/>
          <w:color w:val="000000"/>
        </w:rPr>
        <w:lastRenderedPageBreak/>
        <w:t>Para impurezas:</w:t>
      </w:r>
    </w:p>
    <w:p w:rsidR="00453CAA" w:rsidRDefault="00767C83">
      <w:pPr>
        <w:numPr>
          <w:ilvl w:val="0"/>
          <w:numId w:val="8"/>
        </w:numPr>
        <w:pBdr>
          <w:top w:val="nil"/>
          <w:left w:val="nil"/>
          <w:bottom w:val="nil"/>
          <w:right w:val="nil"/>
          <w:between w:val="nil"/>
        </w:pBdr>
        <w:tabs>
          <w:tab w:val="left" w:pos="1701"/>
        </w:tabs>
        <w:spacing w:after="0" w:line="276" w:lineRule="auto"/>
        <w:ind w:left="1984" w:right="-75"/>
        <w:jc w:val="both"/>
        <w:rPr>
          <w:rFonts w:ascii="Arial" w:eastAsia="Arial" w:hAnsi="Arial" w:cs="Arial"/>
          <w:color w:val="000000"/>
        </w:rPr>
      </w:pPr>
      <w:r>
        <w:rPr>
          <w:rFonts w:ascii="Arial" w:eastAsia="Arial" w:hAnsi="Arial" w:cs="Arial"/>
          <w:color w:val="000000"/>
        </w:rPr>
        <w:t>Aplicar el método de adición estándar, en el que se añaden a la muestra cantidades conocidas de impurezas o productos de degradación;</w:t>
      </w:r>
    </w:p>
    <w:p w:rsidR="00453CAA" w:rsidRDefault="00767C83">
      <w:pPr>
        <w:numPr>
          <w:ilvl w:val="0"/>
          <w:numId w:val="8"/>
        </w:numPr>
        <w:pBdr>
          <w:top w:val="nil"/>
          <w:left w:val="nil"/>
          <w:bottom w:val="nil"/>
          <w:right w:val="nil"/>
          <w:between w:val="nil"/>
        </w:pBdr>
        <w:tabs>
          <w:tab w:val="left" w:pos="1701"/>
        </w:tabs>
        <w:spacing w:after="0" w:line="276" w:lineRule="auto"/>
        <w:ind w:left="1984" w:right="-75"/>
        <w:jc w:val="both"/>
        <w:rPr>
          <w:rFonts w:ascii="Arial" w:eastAsia="Arial" w:hAnsi="Arial" w:cs="Arial"/>
          <w:color w:val="000000"/>
        </w:rPr>
      </w:pPr>
      <w:r>
        <w:rPr>
          <w:rFonts w:ascii="Arial" w:eastAsia="Arial" w:hAnsi="Arial" w:cs="Arial"/>
          <w:color w:val="000000"/>
        </w:rPr>
        <w:t>Si no se disponen de muestras de ciertas impurezas o productos de degradación, los resultados obtenidos pueden compararse con un segundo método validado y puede utilizarse el factor de respuesta relacionado con el principio activo (API);</w:t>
      </w:r>
    </w:p>
    <w:p w:rsidR="00453CAA" w:rsidRDefault="00767C83">
      <w:pPr>
        <w:numPr>
          <w:ilvl w:val="0"/>
          <w:numId w:val="8"/>
        </w:numPr>
        <w:pBdr>
          <w:top w:val="nil"/>
          <w:left w:val="nil"/>
          <w:bottom w:val="nil"/>
          <w:right w:val="nil"/>
          <w:between w:val="nil"/>
        </w:pBdr>
        <w:tabs>
          <w:tab w:val="left" w:pos="1701"/>
        </w:tabs>
        <w:spacing w:after="0" w:line="276" w:lineRule="auto"/>
        <w:ind w:left="1984" w:right="-75"/>
        <w:jc w:val="both"/>
        <w:rPr>
          <w:rFonts w:ascii="Arial" w:eastAsia="Arial" w:hAnsi="Arial" w:cs="Arial"/>
          <w:color w:val="000000"/>
        </w:rPr>
      </w:pPr>
      <w:r>
        <w:rPr>
          <w:rFonts w:ascii="Arial" w:eastAsia="Arial" w:hAnsi="Arial" w:cs="Arial"/>
          <w:color w:val="000000"/>
        </w:rPr>
        <w:t xml:space="preserve">Para impurezas desconocidas, la precisión debe evaluarse comparando la respuesta del SQR del API o de la impureza conocida, de acuerdo con el método propuesto, sobre un rango de concentración que incluya el rango de trabajo del método, siempre que se considere el mismo factor de respuesta. </w:t>
      </w:r>
    </w:p>
    <w:p w:rsidR="00453CAA" w:rsidRDefault="00767C83">
      <w:pPr>
        <w:pBdr>
          <w:top w:val="nil"/>
          <w:left w:val="nil"/>
          <w:bottom w:val="nil"/>
          <w:right w:val="nil"/>
          <w:between w:val="nil"/>
        </w:pBdr>
        <w:tabs>
          <w:tab w:val="left" w:pos="1701"/>
        </w:tabs>
        <w:spacing w:after="0" w:line="276" w:lineRule="auto"/>
        <w:ind w:left="1984" w:right="-75"/>
        <w:jc w:val="both"/>
        <w:rPr>
          <w:rFonts w:ascii="Arial" w:eastAsia="Arial" w:hAnsi="Arial" w:cs="Arial"/>
          <w:color w:val="000000"/>
        </w:rPr>
      </w:pPr>
      <w:r>
        <w:rPr>
          <w:rFonts w:ascii="Arial" w:eastAsia="Arial" w:hAnsi="Arial" w:cs="Arial"/>
          <w:color w:val="000000"/>
        </w:rPr>
        <w:t>En todos los casos, el método para calcular las concentraciones de analito debe ser el mismo que el descrito en el método analítico en cuestión.</w:t>
      </w:r>
    </w:p>
    <w:p w:rsidR="00453CAA" w:rsidRDefault="00453CAA">
      <w:pPr>
        <w:pBdr>
          <w:top w:val="nil"/>
          <w:left w:val="nil"/>
          <w:bottom w:val="nil"/>
          <w:right w:val="nil"/>
          <w:between w:val="nil"/>
        </w:pBdr>
        <w:tabs>
          <w:tab w:val="left" w:pos="1701"/>
        </w:tabs>
        <w:spacing w:after="0" w:line="276" w:lineRule="auto"/>
        <w:ind w:left="1778" w:right="-75"/>
        <w:jc w:val="both"/>
        <w:rPr>
          <w:rFonts w:ascii="Arial" w:eastAsia="Arial" w:hAnsi="Arial" w:cs="Arial"/>
          <w:color w:val="000000"/>
        </w:rPr>
      </w:pPr>
    </w:p>
    <w:p w:rsidR="00453CAA" w:rsidRDefault="00767C83">
      <w:pPr>
        <w:pBdr>
          <w:top w:val="nil"/>
          <w:left w:val="nil"/>
          <w:bottom w:val="nil"/>
          <w:right w:val="nil"/>
          <w:between w:val="nil"/>
        </w:pBdr>
        <w:tabs>
          <w:tab w:val="left" w:pos="1701"/>
        </w:tabs>
        <w:spacing w:after="0" w:line="276" w:lineRule="auto"/>
        <w:ind w:left="1984" w:right="-75"/>
        <w:jc w:val="both"/>
        <w:rPr>
          <w:rFonts w:ascii="Arial" w:eastAsia="Arial" w:hAnsi="Arial" w:cs="Arial"/>
          <w:color w:val="000000"/>
        </w:rPr>
      </w:pPr>
      <w:bookmarkStart w:id="7" w:name="_heading=h.3w3rxkjnwguh" w:colFirst="0" w:colLast="0"/>
      <w:bookmarkEnd w:id="7"/>
      <w:r>
        <w:rPr>
          <w:rFonts w:ascii="Arial" w:eastAsia="Arial" w:hAnsi="Arial" w:cs="Arial"/>
          <w:color w:val="000000"/>
        </w:rPr>
        <w:t xml:space="preserve">La exactitud debe ser expresada como el porcentaje de recuperación del analito de concentración conocida añadido a la muestra, o como la relación entre la concentración media, determinada experimentalmente, y la concentración teórica correspondiente, conforme a la fórmula 1 </w:t>
      </w:r>
      <w:r>
        <w:rPr>
          <w:rFonts w:ascii="Arial" w:eastAsia="Arial" w:hAnsi="Arial" w:cs="Arial"/>
        </w:rPr>
        <w:t>de</w:t>
      </w:r>
      <w:r>
        <w:rPr>
          <w:rFonts w:ascii="Arial" w:eastAsia="Arial" w:hAnsi="Arial" w:cs="Arial"/>
          <w:color w:val="000000"/>
        </w:rPr>
        <w:t xml:space="preserve">l Anexo II, que forma parte de la </w:t>
      </w:r>
      <w:r>
        <w:rPr>
          <w:rFonts w:ascii="Arial" w:eastAsia="Arial" w:hAnsi="Arial" w:cs="Arial"/>
        </w:rPr>
        <w:t>presente resolución</w:t>
      </w:r>
      <w:r>
        <w:rPr>
          <w:rFonts w:ascii="Arial" w:eastAsia="Arial" w:hAnsi="Arial" w:cs="Arial"/>
          <w:color w:val="000000"/>
        </w:rPr>
        <w:t>.</w:t>
      </w:r>
    </w:p>
    <w:p w:rsidR="00453CAA" w:rsidRDefault="00453CAA">
      <w:pPr>
        <w:pBdr>
          <w:top w:val="nil"/>
          <w:left w:val="nil"/>
          <w:bottom w:val="nil"/>
          <w:right w:val="nil"/>
          <w:between w:val="nil"/>
        </w:pBdr>
        <w:spacing w:after="0" w:line="276" w:lineRule="auto"/>
        <w:ind w:left="1560" w:right="-75" w:hanging="1418"/>
        <w:jc w:val="both"/>
        <w:rPr>
          <w:rFonts w:ascii="Arial" w:eastAsia="Arial" w:hAnsi="Arial" w:cs="Arial"/>
        </w:rPr>
      </w:pPr>
    </w:p>
    <w:p w:rsidR="00453CAA" w:rsidRDefault="00767C83">
      <w:pPr>
        <w:pBdr>
          <w:top w:val="nil"/>
          <w:left w:val="nil"/>
          <w:bottom w:val="nil"/>
          <w:right w:val="nil"/>
          <w:between w:val="nil"/>
        </w:pBdr>
        <w:spacing w:after="0" w:line="276" w:lineRule="auto"/>
        <w:ind w:left="1560" w:right="-75" w:hanging="1418"/>
        <w:jc w:val="both"/>
        <w:rPr>
          <w:rFonts w:ascii="Arial" w:eastAsia="Arial" w:hAnsi="Arial" w:cs="Arial"/>
          <w:color w:val="000000"/>
        </w:rPr>
      </w:pPr>
      <w:r>
        <w:rPr>
          <w:rFonts w:ascii="Arial" w:eastAsia="Arial" w:hAnsi="Arial" w:cs="Arial"/>
          <w:b/>
          <w:bCs/>
          <w:color w:val="000000"/>
        </w:rPr>
        <w:t>Artículo 23.</w:t>
      </w:r>
      <w:r w:rsidR="004C242B">
        <w:rPr>
          <w:rFonts w:ascii="Arial" w:eastAsia="Arial" w:hAnsi="Arial" w:cs="Arial"/>
          <w:b/>
          <w:bCs/>
          <w:color w:val="000000"/>
        </w:rPr>
        <w:t>-</w:t>
      </w:r>
      <w:r w:rsidR="004C242B">
        <w:rPr>
          <w:rFonts w:ascii="Arial" w:eastAsia="Arial" w:hAnsi="Arial" w:cs="Arial"/>
          <w:color w:val="000000"/>
        </w:rPr>
        <w:t xml:space="preserve">   El</w:t>
      </w:r>
      <w:r>
        <w:rPr>
          <w:rFonts w:ascii="Arial" w:eastAsia="Arial" w:hAnsi="Arial" w:cs="Arial"/>
          <w:color w:val="000000"/>
        </w:rPr>
        <w:t xml:space="preserve"> límite de detección debe ser demostrado obteniendo la menor cantidad de analito que puede ser detectado en una muestra, pero, no necesariamente cuantificado, bajo las condiciones experimentales establecidas. La determinación del límite de detección puede ser realizada por medio del método visual, relación señal</w:t>
      </w:r>
      <w:r>
        <w:rPr>
          <w:rFonts w:ascii="Arial" w:eastAsia="Arial" w:hAnsi="Arial" w:cs="Arial"/>
        </w:rPr>
        <w:t>/</w:t>
      </w:r>
      <w:r>
        <w:rPr>
          <w:rFonts w:ascii="Arial" w:eastAsia="Arial" w:hAnsi="Arial" w:cs="Arial"/>
          <w:color w:val="000000"/>
        </w:rPr>
        <w:t>ruido, fundamentado en la determinación del blanco o en parámetros de la curva de calibración, teniendo en cuenta las particularidades del método analítico utilizado.</w:t>
      </w:r>
    </w:p>
    <w:p w:rsidR="00453CAA" w:rsidRDefault="00767C83">
      <w:pPr>
        <w:pBdr>
          <w:top w:val="nil"/>
          <w:left w:val="nil"/>
          <w:bottom w:val="nil"/>
          <w:right w:val="nil"/>
          <w:between w:val="nil"/>
        </w:pBdr>
        <w:spacing w:after="0" w:line="276" w:lineRule="auto"/>
        <w:ind w:left="1560" w:right="-75" w:hanging="1418"/>
        <w:jc w:val="both"/>
        <w:rPr>
          <w:rFonts w:ascii="Arial" w:eastAsia="Arial" w:hAnsi="Arial" w:cs="Arial"/>
          <w:color w:val="000000"/>
        </w:rPr>
      </w:pPr>
      <w:bookmarkStart w:id="8" w:name="_heading=h.wyrjaybh68fp" w:colFirst="0" w:colLast="0"/>
      <w:bookmarkEnd w:id="8"/>
      <w:r>
        <w:rPr>
          <w:rFonts w:ascii="Arial" w:eastAsia="Arial" w:hAnsi="Arial" w:cs="Arial"/>
          <w:color w:val="000000"/>
        </w:rPr>
        <w:t xml:space="preserve">           </w:t>
      </w:r>
      <w:r w:rsidR="001F2881">
        <w:rPr>
          <w:rFonts w:ascii="Arial" w:eastAsia="Arial" w:hAnsi="Arial" w:cs="Arial"/>
          <w:color w:val="000000"/>
        </w:rPr>
        <w:tab/>
      </w:r>
      <w:r>
        <w:rPr>
          <w:rFonts w:ascii="Arial" w:eastAsia="Arial" w:hAnsi="Arial" w:cs="Arial"/>
          <w:color w:val="000000"/>
        </w:rPr>
        <w:t xml:space="preserve">Para los métodos visuales, el límite de detección se determina por la concentración más baja a la que se puede observar el efecto visual esperado. </w:t>
      </w:r>
    </w:p>
    <w:p w:rsidR="00453CAA" w:rsidRDefault="00453CAA">
      <w:pPr>
        <w:pBdr>
          <w:top w:val="nil"/>
          <w:left w:val="nil"/>
          <w:bottom w:val="nil"/>
          <w:right w:val="nil"/>
          <w:between w:val="nil"/>
        </w:pBdr>
        <w:spacing w:after="0" w:line="276" w:lineRule="auto"/>
        <w:ind w:left="1560" w:right="-75" w:hanging="1418"/>
        <w:jc w:val="both"/>
        <w:rPr>
          <w:rFonts w:ascii="Arial" w:eastAsia="Arial" w:hAnsi="Arial" w:cs="Arial"/>
          <w:color w:val="000000"/>
        </w:rPr>
      </w:pPr>
    </w:p>
    <w:p w:rsidR="00453CAA" w:rsidRDefault="00767C83">
      <w:pPr>
        <w:pBdr>
          <w:top w:val="nil"/>
          <w:left w:val="nil"/>
          <w:bottom w:val="nil"/>
          <w:right w:val="nil"/>
          <w:between w:val="nil"/>
        </w:pBdr>
        <w:spacing w:after="0" w:line="276" w:lineRule="auto"/>
        <w:ind w:left="1560" w:right="-75" w:hanging="1418"/>
        <w:jc w:val="both"/>
        <w:rPr>
          <w:rFonts w:ascii="Arial" w:eastAsia="Arial" w:hAnsi="Arial" w:cs="Arial"/>
          <w:color w:val="000000"/>
        </w:rPr>
      </w:pPr>
      <w:bookmarkStart w:id="9" w:name="_heading=h.wemxh7dklb21" w:colFirst="0" w:colLast="0"/>
      <w:bookmarkEnd w:id="9"/>
      <w:r>
        <w:rPr>
          <w:rFonts w:ascii="Arial" w:eastAsia="Arial" w:hAnsi="Arial" w:cs="Arial"/>
          <w:b/>
          <w:bCs/>
          <w:color w:val="000000"/>
        </w:rPr>
        <w:t>Artículo 24.-</w:t>
      </w:r>
      <w:r>
        <w:rPr>
          <w:rFonts w:ascii="Arial" w:eastAsia="Arial" w:hAnsi="Arial" w:cs="Arial"/>
          <w:color w:val="000000"/>
        </w:rPr>
        <w:t xml:space="preserve">   Para métodos instrumentales el límite de detección puede ser determinado a través de la relación señal</w:t>
      </w:r>
      <w:r>
        <w:rPr>
          <w:rFonts w:ascii="Arial" w:eastAsia="Arial" w:hAnsi="Arial" w:cs="Arial"/>
        </w:rPr>
        <w:t>/</w:t>
      </w:r>
      <w:r>
        <w:rPr>
          <w:rFonts w:ascii="Arial" w:eastAsia="Arial" w:hAnsi="Arial" w:cs="Arial"/>
          <w:color w:val="000000"/>
        </w:rPr>
        <w:t xml:space="preserve">ruido. El método utilizado para </w:t>
      </w:r>
      <w:r w:rsidR="004C242B">
        <w:rPr>
          <w:rFonts w:ascii="Arial" w:eastAsia="Arial" w:hAnsi="Arial" w:cs="Arial"/>
          <w:color w:val="000000"/>
        </w:rPr>
        <w:t>la determinación</w:t>
      </w:r>
      <w:r>
        <w:rPr>
          <w:rFonts w:ascii="Arial" w:eastAsia="Arial" w:hAnsi="Arial" w:cs="Arial"/>
          <w:color w:val="000000"/>
        </w:rPr>
        <w:t xml:space="preserve"> de </w:t>
      </w:r>
      <w:r>
        <w:rPr>
          <w:rFonts w:ascii="Arial" w:eastAsia="Arial" w:hAnsi="Arial" w:cs="Arial"/>
        </w:rPr>
        <w:t>dicha relación</w:t>
      </w:r>
      <w:r>
        <w:rPr>
          <w:rFonts w:ascii="Arial" w:eastAsia="Arial" w:hAnsi="Arial" w:cs="Arial"/>
          <w:color w:val="000000"/>
        </w:rPr>
        <w:t xml:space="preserve"> debe ser descrito </w:t>
      </w:r>
      <w:r w:rsidR="004C242B">
        <w:rPr>
          <w:rFonts w:ascii="Arial" w:eastAsia="Arial" w:hAnsi="Arial" w:cs="Arial"/>
          <w:color w:val="000000"/>
        </w:rPr>
        <w:t>y justificado</w:t>
      </w:r>
      <w:r>
        <w:rPr>
          <w:rFonts w:ascii="Arial" w:eastAsia="Arial" w:hAnsi="Arial" w:cs="Arial"/>
          <w:color w:val="000000"/>
        </w:rPr>
        <w:t>. La relación señal</w:t>
      </w:r>
      <w:r>
        <w:rPr>
          <w:rFonts w:ascii="Arial" w:eastAsia="Arial" w:hAnsi="Arial" w:cs="Arial"/>
        </w:rPr>
        <w:t>/</w:t>
      </w:r>
      <w:r>
        <w:rPr>
          <w:rFonts w:ascii="Arial" w:eastAsia="Arial" w:hAnsi="Arial" w:cs="Arial"/>
          <w:color w:val="000000"/>
        </w:rPr>
        <w:t xml:space="preserve">ruido debe </w:t>
      </w:r>
      <w:r>
        <w:rPr>
          <w:rFonts w:ascii="Arial" w:eastAsia="Arial" w:hAnsi="Arial" w:cs="Arial"/>
          <w:color w:val="000000"/>
        </w:rPr>
        <w:lastRenderedPageBreak/>
        <w:t xml:space="preserve">ser mayor o igual a </w:t>
      </w:r>
      <w:r>
        <w:rPr>
          <w:rFonts w:ascii="Arial" w:eastAsia="Arial" w:hAnsi="Arial" w:cs="Arial"/>
        </w:rPr>
        <w:t>3</w:t>
      </w:r>
      <w:r>
        <w:rPr>
          <w:rFonts w:ascii="Arial" w:eastAsia="Arial" w:hAnsi="Arial" w:cs="Arial"/>
          <w:color w:val="000000"/>
        </w:rPr>
        <w:t>:1. Para las determinaciones basadas en parámetros de la curva analítica, el límite de detección puede ser calculado por la fórmula 2 del Anexo II, que forma parte de la presente resoluci</w:t>
      </w:r>
      <w:r>
        <w:rPr>
          <w:rFonts w:ascii="Arial" w:eastAsia="Arial" w:hAnsi="Arial" w:cs="Arial"/>
        </w:rPr>
        <w:t>ón</w:t>
      </w:r>
      <w:r>
        <w:rPr>
          <w:rFonts w:ascii="Arial" w:eastAsia="Arial" w:hAnsi="Arial" w:cs="Arial"/>
          <w:color w:val="000000"/>
        </w:rPr>
        <w:t>.</w:t>
      </w:r>
    </w:p>
    <w:p w:rsidR="00453CAA" w:rsidRDefault="00453CAA">
      <w:pPr>
        <w:pBdr>
          <w:top w:val="nil"/>
          <w:left w:val="nil"/>
          <w:bottom w:val="nil"/>
          <w:right w:val="nil"/>
          <w:between w:val="nil"/>
        </w:pBdr>
        <w:spacing w:after="0" w:line="276" w:lineRule="auto"/>
        <w:ind w:left="1560" w:right="-75" w:hanging="1418"/>
        <w:jc w:val="both"/>
        <w:rPr>
          <w:rFonts w:ascii="Arial" w:eastAsia="Arial" w:hAnsi="Arial" w:cs="Arial"/>
          <w:color w:val="000000"/>
        </w:rPr>
      </w:pPr>
    </w:p>
    <w:p w:rsidR="00453CAA" w:rsidRDefault="00767C83">
      <w:pPr>
        <w:pBdr>
          <w:top w:val="nil"/>
          <w:left w:val="nil"/>
          <w:bottom w:val="nil"/>
          <w:right w:val="nil"/>
          <w:between w:val="nil"/>
        </w:pBdr>
        <w:spacing w:after="0" w:line="276" w:lineRule="auto"/>
        <w:ind w:left="1560" w:right="-75" w:hanging="1418"/>
        <w:jc w:val="both"/>
        <w:rPr>
          <w:rFonts w:ascii="Arial" w:eastAsia="Arial" w:hAnsi="Arial" w:cs="Arial"/>
          <w:color w:val="000000"/>
        </w:rPr>
      </w:pPr>
      <w:r>
        <w:rPr>
          <w:rFonts w:ascii="Arial" w:eastAsia="Arial" w:hAnsi="Arial" w:cs="Arial"/>
          <w:b/>
          <w:bCs/>
          <w:color w:val="000000"/>
        </w:rPr>
        <w:t>Artículo 25.-</w:t>
      </w:r>
      <w:r>
        <w:rPr>
          <w:rFonts w:ascii="Arial" w:eastAsia="Arial" w:hAnsi="Arial" w:cs="Arial"/>
          <w:color w:val="000000"/>
        </w:rPr>
        <w:t xml:space="preserve"> </w:t>
      </w:r>
      <w:r>
        <w:rPr>
          <w:rFonts w:ascii="Arial" w:eastAsia="Arial" w:hAnsi="Arial" w:cs="Arial"/>
          <w:color w:val="000000"/>
        </w:rPr>
        <w:tab/>
        <w:t>El límite de cuantificación es la menor cantidad de analito en una muestra que puede ser determinada con precisión y exactitud aceptables bajo las condiciones experimentales establecidas. El límite de cuantificación debe ser consistente con el límite de especificación de la impureza.</w:t>
      </w:r>
    </w:p>
    <w:p w:rsidR="00453CAA" w:rsidRDefault="00453CAA">
      <w:pPr>
        <w:pBdr>
          <w:top w:val="nil"/>
          <w:left w:val="nil"/>
          <w:bottom w:val="nil"/>
          <w:right w:val="nil"/>
          <w:between w:val="nil"/>
        </w:pBdr>
        <w:spacing w:after="0" w:line="276" w:lineRule="auto"/>
        <w:ind w:left="1560" w:right="-75" w:hanging="1418"/>
        <w:jc w:val="both"/>
        <w:rPr>
          <w:rFonts w:ascii="Arial" w:eastAsia="Arial" w:hAnsi="Arial" w:cs="Arial"/>
        </w:rPr>
      </w:pPr>
    </w:p>
    <w:p w:rsidR="00453CAA" w:rsidRDefault="00767C83">
      <w:pPr>
        <w:pBdr>
          <w:top w:val="nil"/>
          <w:left w:val="nil"/>
          <w:bottom w:val="nil"/>
          <w:right w:val="nil"/>
          <w:between w:val="nil"/>
        </w:pBdr>
        <w:spacing w:after="0" w:line="276" w:lineRule="auto"/>
        <w:ind w:left="1560" w:right="-75" w:hanging="1418"/>
        <w:jc w:val="both"/>
        <w:rPr>
          <w:rFonts w:ascii="Arial" w:eastAsia="Arial" w:hAnsi="Arial" w:cs="Arial"/>
          <w:color w:val="000000"/>
        </w:rPr>
      </w:pPr>
      <w:r>
        <w:rPr>
          <w:rFonts w:ascii="Arial" w:eastAsia="Arial" w:hAnsi="Arial" w:cs="Arial"/>
          <w:b/>
          <w:bCs/>
          <w:color w:val="000000"/>
        </w:rPr>
        <w:t xml:space="preserve">                   </w:t>
      </w:r>
      <w:r>
        <w:rPr>
          <w:rFonts w:ascii="Arial" w:eastAsia="Arial" w:hAnsi="Arial" w:cs="Arial"/>
          <w:b/>
          <w:bCs/>
        </w:rPr>
        <w:tab/>
      </w:r>
      <w:r>
        <w:rPr>
          <w:rFonts w:ascii="Arial" w:eastAsia="Arial" w:hAnsi="Arial" w:cs="Arial"/>
          <w:color w:val="000000"/>
        </w:rPr>
        <w:t>Para la determinación del límite de cuantificación debe tenerse en cuenta que la relación señal/ruido debe ser como mínimo de 10:1. Para las determinaciones basadas en parámetros de la curva analítica, el límite de cuantificación puede ser calculado por la fórmula 3 del Anexo II.</w:t>
      </w:r>
    </w:p>
    <w:p w:rsidR="00453CAA" w:rsidRDefault="00453CAA">
      <w:pPr>
        <w:pBdr>
          <w:top w:val="nil"/>
          <w:left w:val="nil"/>
          <w:bottom w:val="nil"/>
          <w:right w:val="nil"/>
          <w:between w:val="nil"/>
        </w:pBdr>
        <w:spacing w:after="0" w:line="276" w:lineRule="auto"/>
        <w:ind w:left="1560" w:right="-75" w:hanging="1418"/>
        <w:jc w:val="both"/>
        <w:rPr>
          <w:rFonts w:ascii="Arial" w:eastAsia="Arial" w:hAnsi="Arial" w:cs="Arial"/>
          <w:b/>
          <w:bCs/>
          <w:color w:val="ED7D31"/>
        </w:rPr>
      </w:pPr>
    </w:p>
    <w:p w:rsidR="00453CAA" w:rsidRDefault="00767C83">
      <w:pPr>
        <w:pBdr>
          <w:top w:val="nil"/>
          <w:left w:val="nil"/>
          <w:bottom w:val="nil"/>
          <w:right w:val="nil"/>
          <w:between w:val="nil"/>
        </w:pBdr>
        <w:spacing w:after="0" w:line="276" w:lineRule="auto"/>
        <w:ind w:left="1560" w:right="-75" w:hanging="1418"/>
        <w:jc w:val="both"/>
        <w:rPr>
          <w:rFonts w:ascii="Arial" w:eastAsia="Arial" w:hAnsi="Arial" w:cs="Arial"/>
          <w:color w:val="000000"/>
        </w:rPr>
      </w:pPr>
      <w:r>
        <w:rPr>
          <w:rFonts w:ascii="Arial" w:eastAsia="Arial" w:hAnsi="Arial" w:cs="Arial"/>
          <w:b/>
          <w:bCs/>
          <w:color w:val="000000"/>
        </w:rPr>
        <w:t>Artículo 26.-</w:t>
      </w:r>
      <w:r>
        <w:rPr>
          <w:rFonts w:ascii="Arial" w:eastAsia="Arial" w:hAnsi="Arial" w:cs="Arial"/>
          <w:color w:val="000000"/>
        </w:rPr>
        <w:t xml:space="preserve"> </w:t>
      </w:r>
      <w:r w:rsidR="004C242B">
        <w:rPr>
          <w:rFonts w:ascii="Arial" w:eastAsia="Arial" w:hAnsi="Arial" w:cs="Arial"/>
          <w:color w:val="000000"/>
        </w:rPr>
        <w:t xml:space="preserve"> </w:t>
      </w:r>
      <w:r>
        <w:rPr>
          <w:rFonts w:ascii="Arial" w:eastAsia="Arial" w:hAnsi="Arial" w:cs="Arial"/>
          <w:color w:val="000000"/>
        </w:rPr>
        <w:t xml:space="preserve"> La robustez es un parámetro típicamente implementado en el desarrollo de un método analítico que indica su capacidad en resistir a pequeñas y deliberadas variaciones de las condiciones analíticas. En caso de que exista susceptibilidad del método a variaciones en las condiciones analíticas, estas </w:t>
      </w:r>
      <w:r>
        <w:rPr>
          <w:rFonts w:ascii="Arial" w:eastAsia="Arial" w:hAnsi="Arial" w:cs="Arial"/>
        </w:rPr>
        <w:t>deberán</w:t>
      </w:r>
      <w:r>
        <w:rPr>
          <w:rFonts w:ascii="Arial" w:eastAsia="Arial" w:hAnsi="Arial" w:cs="Arial"/>
          <w:color w:val="000000"/>
        </w:rPr>
        <w:t xml:space="preserve"> ser controladas por medio de precauciones descritas en el método.</w:t>
      </w:r>
    </w:p>
    <w:p w:rsidR="00453CAA" w:rsidRDefault="00767C83">
      <w:pPr>
        <w:pBdr>
          <w:top w:val="nil"/>
          <w:left w:val="nil"/>
          <w:bottom w:val="nil"/>
          <w:right w:val="nil"/>
          <w:between w:val="nil"/>
        </w:pBdr>
        <w:spacing w:after="0" w:line="276" w:lineRule="auto"/>
        <w:ind w:left="1560" w:right="-75" w:hanging="1418"/>
        <w:jc w:val="both"/>
        <w:rPr>
          <w:rFonts w:ascii="Arial" w:eastAsia="Arial" w:hAnsi="Arial" w:cs="Arial"/>
          <w:color w:val="000000"/>
        </w:rPr>
      </w:pPr>
      <w:r>
        <w:rPr>
          <w:rFonts w:ascii="Arial" w:eastAsia="Arial" w:hAnsi="Arial" w:cs="Arial"/>
          <w:color w:val="ED7D31"/>
        </w:rPr>
        <w:t xml:space="preserve">                       </w:t>
      </w:r>
      <w:r>
        <w:rPr>
          <w:rFonts w:ascii="Arial" w:eastAsia="Arial" w:hAnsi="Arial" w:cs="Arial"/>
          <w:color w:val="000000"/>
        </w:rPr>
        <w:t xml:space="preserve">Para métodos cuantitativos, el impacto de las variaciones propuestas sobre los resultados obtenidos deberá ser comprobado con los mismos criterios utilizados para la precisión. En el caso de métodos cualitativos, debe ser verificado si las variaciones propuestas interfieren en la respuesta analítica. </w:t>
      </w:r>
    </w:p>
    <w:p w:rsidR="00453CAA" w:rsidRDefault="00767C83">
      <w:pPr>
        <w:pBdr>
          <w:top w:val="nil"/>
          <w:left w:val="nil"/>
          <w:bottom w:val="nil"/>
          <w:right w:val="nil"/>
          <w:between w:val="nil"/>
        </w:pBdr>
        <w:spacing w:after="240" w:line="276" w:lineRule="auto"/>
        <w:ind w:left="1560" w:right="-75" w:hanging="1418"/>
        <w:jc w:val="both"/>
        <w:rPr>
          <w:rFonts w:ascii="Arial" w:eastAsia="Arial" w:hAnsi="Arial" w:cs="Arial"/>
        </w:rPr>
      </w:pPr>
      <w:r>
        <w:rPr>
          <w:rFonts w:ascii="Arial" w:eastAsia="Arial" w:hAnsi="Arial" w:cs="Arial"/>
          <w:color w:val="000000"/>
        </w:rPr>
        <w:t xml:space="preserve">                    </w:t>
      </w:r>
      <w:r>
        <w:rPr>
          <w:rFonts w:ascii="Arial" w:eastAsia="Arial" w:hAnsi="Arial" w:cs="Arial"/>
        </w:rPr>
        <w:tab/>
      </w:r>
      <w:r>
        <w:rPr>
          <w:rFonts w:ascii="Arial" w:eastAsia="Arial" w:hAnsi="Arial" w:cs="Arial"/>
          <w:color w:val="000000"/>
        </w:rPr>
        <w:t>La evaluación de los parámetros descritos en el Anexo III deberán incluirse en el informe de validación</w:t>
      </w:r>
      <w:r>
        <w:rPr>
          <w:rFonts w:ascii="Arial" w:eastAsia="Arial" w:hAnsi="Arial" w:cs="Arial"/>
        </w:rPr>
        <w:t>.</w:t>
      </w:r>
    </w:p>
    <w:p w:rsidR="00453CAA" w:rsidRDefault="00767C83">
      <w:pPr>
        <w:pBdr>
          <w:top w:val="nil"/>
          <w:left w:val="nil"/>
          <w:bottom w:val="nil"/>
          <w:right w:val="nil"/>
          <w:between w:val="nil"/>
        </w:pBdr>
        <w:spacing w:after="240" w:line="276" w:lineRule="auto"/>
        <w:ind w:left="1560" w:right="-75" w:hanging="1560"/>
        <w:jc w:val="both"/>
        <w:rPr>
          <w:rFonts w:ascii="Arial" w:eastAsia="Arial" w:hAnsi="Arial" w:cs="Arial"/>
        </w:rPr>
      </w:pPr>
      <w:r>
        <w:rPr>
          <w:rFonts w:ascii="Arial" w:eastAsia="Arial" w:hAnsi="Arial" w:cs="Arial"/>
          <w:b/>
          <w:bCs/>
        </w:rPr>
        <w:t>Artículo 27.-</w:t>
      </w:r>
      <w:r>
        <w:rPr>
          <w:rFonts w:ascii="Arial" w:eastAsia="Arial" w:hAnsi="Arial" w:cs="Arial"/>
          <w:b/>
          <w:bCs/>
        </w:rPr>
        <w:tab/>
      </w:r>
      <w:r>
        <w:rPr>
          <w:rFonts w:ascii="Arial" w:eastAsia="Arial" w:hAnsi="Arial" w:cs="Arial"/>
        </w:rPr>
        <w:t>Encomendar a la Dirección General de Control de Calidad el cumplimiento de lo establecido en la presente Resolución.</w:t>
      </w:r>
    </w:p>
    <w:p w:rsidR="00453CAA" w:rsidRDefault="00767C83">
      <w:pPr>
        <w:spacing w:before="240" w:after="240" w:line="240" w:lineRule="auto"/>
        <w:ind w:left="1440" w:right="-75" w:hanging="1440"/>
        <w:jc w:val="both"/>
        <w:rPr>
          <w:rFonts w:ascii="Arial" w:eastAsia="Arial" w:hAnsi="Arial" w:cs="Arial"/>
        </w:rPr>
      </w:pPr>
      <w:r>
        <w:rPr>
          <w:rFonts w:ascii="Arial" w:eastAsia="Arial" w:hAnsi="Arial" w:cs="Arial"/>
          <w:b/>
          <w:bCs/>
        </w:rPr>
        <w:t>Artículo 28.-</w:t>
      </w:r>
      <w:r>
        <w:rPr>
          <w:rFonts w:ascii="Arial" w:eastAsia="Arial" w:hAnsi="Arial" w:cs="Arial"/>
          <w:b/>
          <w:bCs/>
        </w:rPr>
        <w:tab/>
      </w:r>
      <w:r w:rsidR="004C242B">
        <w:rPr>
          <w:rFonts w:ascii="Arial" w:eastAsia="Arial" w:hAnsi="Arial" w:cs="Arial"/>
          <w:b/>
          <w:bCs/>
        </w:rPr>
        <w:t xml:space="preserve"> </w:t>
      </w:r>
      <w:r>
        <w:rPr>
          <w:rFonts w:ascii="Arial" w:eastAsia="Arial" w:hAnsi="Arial" w:cs="Arial"/>
        </w:rPr>
        <w:t>Disponer que</w:t>
      </w:r>
      <w:r>
        <w:rPr>
          <w:rFonts w:ascii="Arial" w:eastAsia="Arial" w:hAnsi="Arial" w:cs="Arial"/>
          <w:b/>
          <w:bCs/>
        </w:rPr>
        <w:t xml:space="preserve"> </w:t>
      </w:r>
      <w:r>
        <w:rPr>
          <w:rFonts w:ascii="Arial" w:eastAsia="Arial" w:hAnsi="Arial" w:cs="Arial"/>
        </w:rPr>
        <w:t>la presente resolución entrará en vigencia a partir de la fecha de su firma.</w:t>
      </w:r>
    </w:p>
    <w:p w:rsidR="00453CAA" w:rsidRDefault="00767C83">
      <w:pPr>
        <w:spacing w:before="240" w:after="240" w:line="240" w:lineRule="auto"/>
        <w:ind w:left="1440" w:right="-75" w:hanging="1440"/>
        <w:jc w:val="both"/>
        <w:rPr>
          <w:rFonts w:ascii="Arial" w:eastAsia="Arial" w:hAnsi="Arial" w:cs="Arial"/>
        </w:rPr>
      </w:pPr>
      <w:r>
        <w:rPr>
          <w:rFonts w:ascii="Arial" w:eastAsia="Arial" w:hAnsi="Arial" w:cs="Arial"/>
          <w:b/>
          <w:bCs/>
        </w:rPr>
        <w:t>Artículo 29.-</w:t>
      </w:r>
      <w:r>
        <w:rPr>
          <w:rFonts w:ascii="Arial" w:eastAsia="Arial" w:hAnsi="Arial" w:cs="Arial"/>
          <w:b/>
          <w:bCs/>
        </w:rPr>
        <w:tab/>
      </w:r>
      <w:r w:rsidR="004C242B">
        <w:rPr>
          <w:rFonts w:ascii="Arial" w:eastAsia="Arial" w:hAnsi="Arial" w:cs="Arial"/>
          <w:b/>
          <w:bCs/>
        </w:rPr>
        <w:t xml:space="preserve"> </w:t>
      </w:r>
      <w:r>
        <w:rPr>
          <w:rFonts w:ascii="Arial" w:eastAsia="Arial" w:hAnsi="Arial" w:cs="Arial"/>
        </w:rPr>
        <w:t>Comunicar a quienes corresponda y cumplido, archivar</w:t>
      </w:r>
    </w:p>
    <w:p w:rsidR="00453CAA" w:rsidRDefault="00453CAA">
      <w:pPr>
        <w:spacing w:before="240" w:after="240" w:line="240" w:lineRule="auto"/>
        <w:ind w:right="-75"/>
        <w:jc w:val="both"/>
        <w:rPr>
          <w:rFonts w:ascii="Arial" w:eastAsia="Arial" w:hAnsi="Arial" w:cs="Arial"/>
        </w:rPr>
      </w:pPr>
      <w:bookmarkStart w:id="10" w:name="_heading=h.v9g7ngj2taop" w:colFirst="0" w:colLast="0"/>
      <w:bookmarkEnd w:id="10"/>
    </w:p>
    <w:p w:rsidR="00453CAA" w:rsidRDefault="00453CAA">
      <w:pPr>
        <w:spacing w:before="240" w:after="240" w:line="240" w:lineRule="auto"/>
        <w:ind w:left="-1530" w:right="-75"/>
        <w:jc w:val="both"/>
        <w:rPr>
          <w:rFonts w:ascii="Arial" w:eastAsia="Arial" w:hAnsi="Arial" w:cs="Arial"/>
        </w:rPr>
      </w:pPr>
      <w:bookmarkStart w:id="11" w:name="_heading=h.paciz7e7yhv0" w:colFirst="0" w:colLast="0"/>
      <w:bookmarkEnd w:id="11"/>
    </w:p>
    <w:p w:rsidR="00453CAA" w:rsidRDefault="00453CAA">
      <w:pPr>
        <w:spacing w:line="240" w:lineRule="auto"/>
        <w:ind w:right="-75"/>
        <w:jc w:val="center"/>
        <w:rPr>
          <w:rFonts w:ascii="Arial" w:eastAsia="Arial" w:hAnsi="Arial" w:cs="Arial"/>
          <w:b/>
          <w:bCs/>
        </w:rPr>
      </w:pPr>
    </w:p>
    <w:p w:rsidR="00453CAA" w:rsidRDefault="00767C83">
      <w:pPr>
        <w:spacing w:after="0" w:line="240" w:lineRule="auto"/>
        <w:ind w:right="-75"/>
        <w:jc w:val="center"/>
        <w:rPr>
          <w:rFonts w:ascii="Arial" w:eastAsia="Arial" w:hAnsi="Arial" w:cs="Arial"/>
          <w:b/>
          <w:bCs/>
        </w:rPr>
      </w:pPr>
      <w:r>
        <w:rPr>
          <w:rFonts w:ascii="Arial" w:eastAsia="Arial" w:hAnsi="Arial" w:cs="Arial"/>
          <w:b/>
          <w:bCs/>
        </w:rPr>
        <w:t>MSC. Q.F. JORGE ILIOU</w:t>
      </w:r>
    </w:p>
    <w:p w:rsidR="00453CAA" w:rsidRDefault="00767C83">
      <w:pPr>
        <w:spacing w:after="0" w:line="240" w:lineRule="auto"/>
        <w:ind w:right="-75"/>
        <w:jc w:val="center"/>
        <w:rPr>
          <w:rFonts w:ascii="Arial" w:eastAsia="Arial" w:hAnsi="Arial" w:cs="Arial"/>
          <w:b/>
          <w:bCs/>
        </w:rPr>
      </w:pPr>
      <w:r>
        <w:rPr>
          <w:rFonts w:ascii="Arial" w:eastAsia="Arial" w:hAnsi="Arial" w:cs="Arial"/>
          <w:b/>
          <w:bCs/>
        </w:rPr>
        <w:t>DIRECTOR NACIONAL INTERINO</w:t>
      </w:r>
    </w:p>
    <w:p w:rsidR="00453CAA" w:rsidRDefault="00767C83">
      <w:pPr>
        <w:spacing w:after="0" w:line="240" w:lineRule="auto"/>
        <w:ind w:right="-75"/>
        <w:jc w:val="center"/>
        <w:rPr>
          <w:rFonts w:ascii="Arial" w:eastAsia="Arial" w:hAnsi="Arial" w:cs="Arial"/>
          <w:b/>
          <w:bCs/>
        </w:rPr>
      </w:pPr>
      <w:r>
        <w:rPr>
          <w:rFonts w:ascii="Arial" w:eastAsia="Arial" w:hAnsi="Arial" w:cs="Arial"/>
          <w:b/>
          <w:bCs/>
        </w:rPr>
        <w:t>DIRECCIÓN NACIONAL DE VIGILANCIA SANITARIA</w:t>
      </w:r>
    </w:p>
    <w:p w:rsidR="00453CAA" w:rsidRDefault="00453CAA">
      <w:pPr>
        <w:spacing w:after="0" w:line="240" w:lineRule="auto"/>
        <w:ind w:right="-75"/>
        <w:jc w:val="center"/>
        <w:rPr>
          <w:rFonts w:ascii="Arial" w:eastAsia="Arial" w:hAnsi="Arial" w:cs="Arial"/>
          <w:b/>
          <w:bCs/>
        </w:rPr>
      </w:pPr>
    </w:p>
    <w:p w:rsidR="00453CAA" w:rsidRDefault="00453CAA">
      <w:pPr>
        <w:spacing w:after="0" w:line="240" w:lineRule="auto"/>
        <w:ind w:right="-75"/>
        <w:jc w:val="center"/>
        <w:rPr>
          <w:rFonts w:ascii="Arial" w:eastAsia="Arial" w:hAnsi="Arial" w:cs="Arial"/>
          <w:b/>
          <w:bCs/>
        </w:rPr>
      </w:pPr>
    </w:p>
    <w:p w:rsidR="00453CAA" w:rsidRDefault="00453CAA">
      <w:pPr>
        <w:spacing w:after="0" w:line="240" w:lineRule="auto"/>
        <w:ind w:right="-75"/>
        <w:jc w:val="center"/>
        <w:rPr>
          <w:rFonts w:ascii="Arial" w:eastAsia="Arial" w:hAnsi="Arial" w:cs="Arial"/>
          <w:b/>
          <w:bCs/>
        </w:rPr>
      </w:pPr>
    </w:p>
    <w:p w:rsidR="00453CAA" w:rsidRDefault="00767C83">
      <w:pPr>
        <w:spacing w:after="0" w:line="240" w:lineRule="auto"/>
        <w:ind w:right="-75"/>
        <w:jc w:val="center"/>
        <w:rPr>
          <w:rFonts w:ascii="Arial" w:eastAsia="Arial" w:hAnsi="Arial" w:cs="Arial"/>
          <w:b/>
          <w:bCs/>
        </w:rPr>
      </w:pPr>
      <w:r>
        <w:br w:type="page"/>
      </w:r>
    </w:p>
    <w:p w:rsidR="00453CAA" w:rsidRDefault="00453CAA">
      <w:pPr>
        <w:spacing w:after="0" w:line="240" w:lineRule="auto"/>
        <w:ind w:right="-75"/>
        <w:jc w:val="center"/>
        <w:rPr>
          <w:rFonts w:ascii="Arial" w:eastAsia="Arial" w:hAnsi="Arial" w:cs="Arial"/>
          <w:b/>
          <w:bCs/>
        </w:rPr>
      </w:pPr>
    </w:p>
    <w:p w:rsidR="00453CAA" w:rsidRDefault="00767C83">
      <w:pPr>
        <w:pBdr>
          <w:top w:val="nil"/>
          <w:left w:val="nil"/>
          <w:bottom w:val="nil"/>
          <w:right w:val="nil"/>
          <w:between w:val="nil"/>
        </w:pBdr>
        <w:spacing w:line="240" w:lineRule="auto"/>
        <w:ind w:right="-75"/>
        <w:jc w:val="center"/>
        <w:rPr>
          <w:rFonts w:ascii="Arial" w:eastAsia="Arial" w:hAnsi="Arial" w:cs="Arial"/>
          <w:b/>
          <w:bCs/>
        </w:rPr>
      </w:pPr>
      <w:bookmarkStart w:id="12" w:name="_heading=h.jyot0qva0zhb" w:colFirst="0" w:colLast="0"/>
      <w:bookmarkEnd w:id="12"/>
      <w:r>
        <w:rPr>
          <w:rFonts w:ascii="Arial" w:eastAsia="Arial" w:hAnsi="Arial" w:cs="Arial"/>
          <w:b/>
          <w:bCs/>
        </w:rPr>
        <w:t xml:space="preserve">  ANEXO I</w:t>
      </w:r>
    </w:p>
    <w:p w:rsidR="00453CAA" w:rsidRDefault="00767C83">
      <w:pPr>
        <w:pBdr>
          <w:top w:val="nil"/>
          <w:left w:val="nil"/>
          <w:bottom w:val="nil"/>
          <w:right w:val="nil"/>
          <w:between w:val="nil"/>
        </w:pBdr>
        <w:spacing w:after="0" w:line="240" w:lineRule="auto"/>
        <w:ind w:right="-75"/>
        <w:jc w:val="center"/>
        <w:rPr>
          <w:rFonts w:ascii="Arial" w:eastAsia="Arial" w:hAnsi="Arial" w:cs="Arial"/>
          <w:b/>
          <w:bCs/>
        </w:rPr>
      </w:pPr>
      <w:r>
        <w:rPr>
          <w:rFonts w:ascii="Arial" w:eastAsia="Arial" w:hAnsi="Arial" w:cs="Arial"/>
          <w:b/>
          <w:bCs/>
        </w:rPr>
        <w:t>PARÁMETROS DE VALIDACIÓN ANALÍTICA</w:t>
      </w:r>
    </w:p>
    <w:p w:rsidR="00453CAA" w:rsidRDefault="00453CAA">
      <w:pPr>
        <w:spacing w:after="0" w:line="240" w:lineRule="auto"/>
        <w:ind w:right="-75"/>
        <w:jc w:val="center"/>
        <w:rPr>
          <w:rFonts w:ascii="Arial" w:eastAsia="Arial" w:hAnsi="Arial" w:cs="Arial"/>
          <w:b/>
          <w:bCs/>
        </w:rPr>
      </w:pPr>
    </w:p>
    <w:tbl>
      <w:tblPr>
        <w:tblStyle w:val="a0"/>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0"/>
        <w:gridCol w:w="1665"/>
        <w:gridCol w:w="1470"/>
        <w:gridCol w:w="1290"/>
        <w:gridCol w:w="2010"/>
      </w:tblGrid>
      <w:tr w:rsidR="00453CAA">
        <w:trPr>
          <w:trHeight w:val="220"/>
        </w:trPr>
        <w:tc>
          <w:tcPr>
            <w:tcW w:w="2460" w:type="dxa"/>
            <w:vMerge w:val="restart"/>
          </w:tcPr>
          <w:p w:rsidR="00453CAA" w:rsidRDefault="00453CAA">
            <w:pPr>
              <w:pBdr>
                <w:top w:val="nil"/>
                <w:left w:val="nil"/>
                <w:bottom w:val="nil"/>
                <w:right w:val="nil"/>
                <w:between w:val="nil"/>
              </w:pBdr>
              <w:spacing w:line="240" w:lineRule="auto"/>
              <w:ind w:left="-5" w:right="-75" w:firstLine="0"/>
              <w:jc w:val="center"/>
              <w:rPr>
                <w:rFonts w:ascii="Arial" w:eastAsia="Arial" w:hAnsi="Arial" w:cs="Arial"/>
                <w:b/>
                <w:bCs/>
              </w:rPr>
            </w:pPr>
          </w:p>
          <w:p w:rsidR="00453CAA" w:rsidRDefault="00767C83">
            <w:pPr>
              <w:pBdr>
                <w:top w:val="nil"/>
                <w:left w:val="nil"/>
                <w:bottom w:val="nil"/>
                <w:right w:val="nil"/>
                <w:between w:val="nil"/>
              </w:pBdr>
              <w:spacing w:line="240" w:lineRule="auto"/>
              <w:ind w:left="-5" w:right="-75" w:firstLine="0"/>
              <w:jc w:val="center"/>
              <w:rPr>
                <w:rFonts w:ascii="Arial" w:eastAsia="Arial" w:hAnsi="Arial" w:cs="Arial"/>
                <w:b/>
                <w:bCs/>
              </w:rPr>
            </w:pPr>
            <w:r>
              <w:rPr>
                <w:rFonts w:ascii="Arial" w:eastAsia="Arial" w:hAnsi="Arial" w:cs="Arial"/>
                <w:b/>
                <w:bCs/>
              </w:rPr>
              <w:t>Parámetro evaluado</w:t>
            </w:r>
          </w:p>
        </w:tc>
        <w:tc>
          <w:tcPr>
            <w:tcW w:w="1665" w:type="dxa"/>
            <w:vMerge w:val="restart"/>
          </w:tcPr>
          <w:p w:rsidR="00453CAA" w:rsidRDefault="00453CAA">
            <w:pPr>
              <w:pBdr>
                <w:top w:val="nil"/>
                <w:left w:val="nil"/>
                <w:bottom w:val="nil"/>
                <w:right w:val="nil"/>
                <w:between w:val="nil"/>
              </w:pBdr>
              <w:spacing w:line="240" w:lineRule="auto"/>
              <w:ind w:right="-75" w:firstLine="0"/>
              <w:jc w:val="center"/>
              <w:rPr>
                <w:rFonts w:ascii="Arial" w:eastAsia="Arial" w:hAnsi="Arial" w:cs="Arial"/>
                <w:b/>
                <w:bCs/>
              </w:rPr>
            </w:pPr>
          </w:p>
          <w:p w:rsidR="00453CAA" w:rsidRDefault="00767C83">
            <w:pPr>
              <w:pBdr>
                <w:top w:val="nil"/>
                <w:left w:val="nil"/>
                <w:bottom w:val="nil"/>
                <w:right w:val="nil"/>
                <w:between w:val="nil"/>
              </w:pBdr>
              <w:spacing w:line="240" w:lineRule="auto"/>
              <w:ind w:right="-75" w:firstLine="0"/>
              <w:jc w:val="center"/>
              <w:rPr>
                <w:rFonts w:ascii="Arial" w:eastAsia="Arial" w:hAnsi="Arial" w:cs="Arial"/>
                <w:b/>
                <w:bCs/>
              </w:rPr>
            </w:pPr>
            <w:r>
              <w:rPr>
                <w:rFonts w:ascii="Arial" w:eastAsia="Arial" w:hAnsi="Arial" w:cs="Arial"/>
                <w:b/>
                <w:bCs/>
              </w:rPr>
              <w:t>Identificación</w:t>
            </w:r>
          </w:p>
        </w:tc>
        <w:tc>
          <w:tcPr>
            <w:tcW w:w="2760" w:type="dxa"/>
            <w:gridSpan w:val="2"/>
          </w:tcPr>
          <w:p w:rsidR="00453CAA" w:rsidRDefault="00453CAA">
            <w:pPr>
              <w:pBdr>
                <w:top w:val="nil"/>
                <w:left w:val="nil"/>
                <w:bottom w:val="nil"/>
                <w:right w:val="nil"/>
                <w:between w:val="nil"/>
              </w:pBdr>
              <w:spacing w:after="0" w:line="240" w:lineRule="auto"/>
              <w:ind w:right="-75" w:hanging="2"/>
              <w:jc w:val="center"/>
              <w:rPr>
                <w:rFonts w:ascii="Arial" w:eastAsia="Arial" w:hAnsi="Arial" w:cs="Arial"/>
                <w:b/>
                <w:bCs/>
              </w:rPr>
            </w:pPr>
          </w:p>
          <w:p w:rsidR="00453CAA" w:rsidRDefault="00767C83">
            <w:pPr>
              <w:pBdr>
                <w:top w:val="nil"/>
                <w:left w:val="nil"/>
                <w:bottom w:val="nil"/>
                <w:right w:val="nil"/>
                <w:between w:val="nil"/>
              </w:pBdr>
              <w:spacing w:line="240" w:lineRule="auto"/>
              <w:ind w:right="-75" w:firstLine="0"/>
              <w:jc w:val="center"/>
              <w:rPr>
                <w:rFonts w:ascii="Arial" w:eastAsia="Arial" w:hAnsi="Arial" w:cs="Arial"/>
                <w:b/>
                <w:bCs/>
              </w:rPr>
            </w:pPr>
            <w:r>
              <w:rPr>
                <w:rFonts w:ascii="Arial" w:eastAsia="Arial" w:hAnsi="Arial" w:cs="Arial"/>
                <w:b/>
                <w:bCs/>
              </w:rPr>
              <w:t>Ensayo de impurezas</w:t>
            </w:r>
          </w:p>
        </w:tc>
        <w:tc>
          <w:tcPr>
            <w:tcW w:w="2010" w:type="dxa"/>
            <w:vMerge w:val="restart"/>
          </w:tcPr>
          <w:p w:rsidR="00453CAA" w:rsidRDefault="00767C83">
            <w:pPr>
              <w:spacing w:after="0" w:line="240" w:lineRule="auto"/>
              <w:ind w:right="-75" w:hanging="2"/>
              <w:jc w:val="center"/>
              <w:rPr>
                <w:rFonts w:ascii="Arial" w:eastAsia="Arial" w:hAnsi="Arial" w:cs="Arial"/>
                <w:b/>
                <w:bCs/>
              </w:rPr>
            </w:pPr>
            <w:r>
              <w:rPr>
                <w:rFonts w:ascii="Arial" w:eastAsia="Arial" w:hAnsi="Arial" w:cs="Arial"/>
                <w:b/>
                <w:bCs/>
              </w:rPr>
              <w:t>Cuantificación (Valoración, Disolución, uniformidad de contenido y potencia)</w:t>
            </w:r>
          </w:p>
        </w:tc>
      </w:tr>
      <w:tr w:rsidR="00453CAA">
        <w:trPr>
          <w:trHeight w:val="220"/>
        </w:trPr>
        <w:tc>
          <w:tcPr>
            <w:tcW w:w="2460" w:type="dxa"/>
            <w:vMerge/>
          </w:tcPr>
          <w:p w:rsidR="00453CAA" w:rsidRDefault="00453CAA">
            <w:pPr>
              <w:widowControl w:val="0"/>
              <w:pBdr>
                <w:top w:val="nil"/>
                <w:left w:val="nil"/>
                <w:bottom w:val="nil"/>
                <w:right w:val="nil"/>
                <w:between w:val="nil"/>
              </w:pBdr>
              <w:spacing w:after="0" w:line="276" w:lineRule="auto"/>
              <w:ind w:firstLine="0"/>
              <w:rPr>
                <w:rFonts w:ascii="Arial" w:eastAsia="Arial" w:hAnsi="Arial" w:cs="Arial"/>
                <w:b/>
                <w:bCs/>
              </w:rPr>
            </w:pPr>
          </w:p>
        </w:tc>
        <w:tc>
          <w:tcPr>
            <w:tcW w:w="1665" w:type="dxa"/>
            <w:vMerge/>
          </w:tcPr>
          <w:p w:rsidR="00453CAA" w:rsidRDefault="00453CAA">
            <w:pPr>
              <w:widowControl w:val="0"/>
              <w:pBdr>
                <w:top w:val="nil"/>
                <w:left w:val="nil"/>
                <w:bottom w:val="nil"/>
                <w:right w:val="nil"/>
                <w:between w:val="nil"/>
              </w:pBdr>
              <w:spacing w:after="0" w:line="276" w:lineRule="auto"/>
              <w:ind w:firstLine="0"/>
              <w:rPr>
                <w:rFonts w:ascii="Arial" w:eastAsia="Arial" w:hAnsi="Arial" w:cs="Arial"/>
                <w:b/>
                <w:bCs/>
              </w:rPr>
            </w:pPr>
          </w:p>
        </w:tc>
        <w:tc>
          <w:tcPr>
            <w:tcW w:w="1470" w:type="dxa"/>
          </w:tcPr>
          <w:p w:rsidR="00453CAA" w:rsidRDefault="00453CAA">
            <w:pPr>
              <w:pBdr>
                <w:top w:val="nil"/>
                <w:left w:val="nil"/>
                <w:bottom w:val="nil"/>
                <w:right w:val="nil"/>
                <w:between w:val="nil"/>
              </w:pBdr>
              <w:spacing w:after="0" w:line="240" w:lineRule="auto"/>
              <w:ind w:left="-23" w:right="-75" w:firstLine="0"/>
              <w:jc w:val="center"/>
              <w:rPr>
                <w:rFonts w:ascii="Arial" w:eastAsia="Arial" w:hAnsi="Arial" w:cs="Arial"/>
                <w:b/>
                <w:bCs/>
              </w:rPr>
            </w:pPr>
          </w:p>
          <w:p w:rsidR="00453CAA" w:rsidRDefault="00767C83">
            <w:pPr>
              <w:pBdr>
                <w:top w:val="nil"/>
                <w:left w:val="nil"/>
                <w:bottom w:val="nil"/>
                <w:right w:val="nil"/>
                <w:between w:val="nil"/>
              </w:pBdr>
              <w:spacing w:after="0" w:line="240" w:lineRule="auto"/>
              <w:ind w:left="-23" w:right="-75" w:firstLine="0"/>
              <w:jc w:val="center"/>
              <w:rPr>
                <w:rFonts w:ascii="Arial" w:eastAsia="Arial" w:hAnsi="Arial" w:cs="Arial"/>
                <w:b/>
                <w:bCs/>
              </w:rPr>
            </w:pPr>
            <w:r>
              <w:rPr>
                <w:rFonts w:ascii="Arial" w:eastAsia="Arial" w:hAnsi="Arial" w:cs="Arial"/>
                <w:b/>
                <w:bCs/>
              </w:rPr>
              <w:t>Cuantitativo</w:t>
            </w:r>
          </w:p>
        </w:tc>
        <w:tc>
          <w:tcPr>
            <w:tcW w:w="1290" w:type="dxa"/>
          </w:tcPr>
          <w:p w:rsidR="00453CAA" w:rsidRDefault="00453CAA">
            <w:pPr>
              <w:spacing w:after="0" w:line="240" w:lineRule="auto"/>
              <w:ind w:right="-75" w:firstLine="0"/>
              <w:jc w:val="center"/>
              <w:rPr>
                <w:rFonts w:ascii="Arial" w:eastAsia="Arial" w:hAnsi="Arial" w:cs="Arial"/>
                <w:b/>
                <w:bCs/>
              </w:rPr>
            </w:pPr>
          </w:p>
          <w:p w:rsidR="00453CAA" w:rsidRDefault="00767C83">
            <w:pPr>
              <w:spacing w:after="0" w:line="240" w:lineRule="auto"/>
              <w:ind w:right="-75" w:firstLine="0"/>
              <w:jc w:val="center"/>
              <w:rPr>
                <w:rFonts w:ascii="Arial" w:eastAsia="Arial" w:hAnsi="Arial" w:cs="Arial"/>
                <w:b/>
                <w:bCs/>
              </w:rPr>
            </w:pPr>
            <w:r>
              <w:rPr>
                <w:rFonts w:ascii="Arial" w:eastAsia="Arial" w:hAnsi="Arial" w:cs="Arial"/>
                <w:b/>
                <w:bCs/>
              </w:rPr>
              <w:t>Ensayo límite</w:t>
            </w:r>
          </w:p>
        </w:tc>
        <w:tc>
          <w:tcPr>
            <w:tcW w:w="2010" w:type="dxa"/>
            <w:vMerge/>
          </w:tcPr>
          <w:p w:rsidR="00453CAA" w:rsidRDefault="00453CAA">
            <w:pPr>
              <w:widowControl w:val="0"/>
              <w:pBdr>
                <w:top w:val="nil"/>
                <w:left w:val="nil"/>
                <w:bottom w:val="nil"/>
                <w:right w:val="nil"/>
                <w:between w:val="nil"/>
              </w:pBdr>
              <w:spacing w:after="0" w:line="276" w:lineRule="auto"/>
              <w:ind w:firstLine="0"/>
              <w:rPr>
                <w:rFonts w:ascii="Arial" w:eastAsia="Arial" w:hAnsi="Arial" w:cs="Arial"/>
                <w:b/>
                <w:bCs/>
              </w:rPr>
            </w:pPr>
          </w:p>
        </w:tc>
      </w:tr>
      <w:tr w:rsidR="00453CAA">
        <w:trPr>
          <w:trHeight w:val="315"/>
        </w:trPr>
        <w:tc>
          <w:tcPr>
            <w:tcW w:w="2460" w:type="dxa"/>
          </w:tcPr>
          <w:p w:rsidR="00453CAA" w:rsidRDefault="00767C83">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Exactitud</w:t>
            </w:r>
          </w:p>
        </w:tc>
        <w:tc>
          <w:tcPr>
            <w:tcW w:w="1665"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7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29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201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r>
      <w:tr w:rsidR="00453CAA">
        <w:trPr>
          <w:trHeight w:val="299"/>
        </w:trPr>
        <w:tc>
          <w:tcPr>
            <w:tcW w:w="2460" w:type="dxa"/>
          </w:tcPr>
          <w:p w:rsidR="00453CAA" w:rsidRDefault="00767C83">
            <w:pPr>
              <w:pBdr>
                <w:top w:val="nil"/>
                <w:left w:val="nil"/>
                <w:bottom w:val="nil"/>
                <w:right w:val="nil"/>
                <w:between w:val="nil"/>
              </w:pBdr>
              <w:spacing w:after="0" w:line="240" w:lineRule="auto"/>
              <w:ind w:right="-75" w:firstLine="0"/>
              <w:jc w:val="both"/>
              <w:rPr>
                <w:rFonts w:ascii="Arial" w:eastAsia="Arial" w:hAnsi="Arial" w:cs="Arial"/>
              </w:rPr>
            </w:pPr>
            <w:r>
              <w:rPr>
                <w:rFonts w:ascii="Arial" w:eastAsia="Arial" w:hAnsi="Arial" w:cs="Arial"/>
              </w:rPr>
              <w:t>Precisión – repetibilidad</w:t>
            </w:r>
          </w:p>
        </w:tc>
        <w:tc>
          <w:tcPr>
            <w:tcW w:w="1665"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7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290" w:type="dxa"/>
          </w:tcPr>
          <w:p w:rsidR="00453CAA" w:rsidRDefault="00767C83">
            <w:pPr>
              <w:spacing w:after="0" w:line="240" w:lineRule="auto"/>
              <w:ind w:right="-75" w:hanging="2"/>
              <w:jc w:val="center"/>
              <w:rPr>
                <w:rFonts w:ascii="Arial" w:eastAsia="Arial" w:hAnsi="Arial" w:cs="Arial"/>
              </w:rPr>
            </w:pPr>
            <w:r>
              <w:rPr>
                <w:rFonts w:ascii="Arial" w:eastAsia="Arial" w:hAnsi="Arial" w:cs="Arial"/>
              </w:rPr>
              <w:t>No</w:t>
            </w:r>
          </w:p>
        </w:tc>
        <w:tc>
          <w:tcPr>
            <w:tcW w:w="201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r>
      <w:tr w:rsidR="00453CAA">
        <w:trPr>
          <w:trHeight w:val="299"/>
        </w:trPr>
        <w:tc>
          <w:tcPr>
            <w:tcW w:w="2460" w:type="dxa"/>
          </w:tcPr>
          <w:p w:rsidR="00453CAA" w:rsidRDefault="00767C83">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Precisión – intermedia</w:t>
            </w:r>
          </w:p>
        </w:tc>
        <w:tc>
          <w:tcPr>
            <w:tcW w:w="1665"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7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 (1)</w:t>
            </w:r>
          </w:p>
        </w:tc>
        <w:tc>
          <w:tcPr>
            <w:tcW w:w="1290" w:type="dxa"/>
          </w:tcPr>
          <w:p w:rsidR="00453CAA" w:rsidRDefault="00767C83">
            <w:pPr>
              <w:spacing w:after="0" w:line="240" w:lineRule="auto"/>
              <w:ind w:right="-75" w:hanging="2"/>
              <w:jc w:val="center"/>
              <w:rPr>
                <w:rFonts w:ascii="Arial" w:eastAsia="Arial" w:hAnsi="Arial" w:cs="Arial"/>
              </w:rPr>
            </w:pPr>
            <w:r>
              <w:rPr>
                <w:rFonts w:ascii="Arial" w:eastAsia="Arial" w:hAnsi="Arial" w:cs="Arial"/>
              </w:rPr>
              <w:t>No</w:t>
            </w:r>
          </w:p>
        </w:tc>
        <w:tc>
          <w:tcPr>
            <w:tcW w:w="201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 (1)</w:t>
            </w:r>
          </w:p>
        </w:tc>
      </w:tr>
      <w:tr w:rsidR="00453CAA">
        <w:trPr>
          <w:trHeight w:val="299"/>
        </w:trPr>
        <w:tc>
          <w:tcPr>
            <w:tcW w:w="2460" w:type="dxa"/>
          </w:tcPr>
          <w:p w:rsidR="00453CAA" w:rsidRDefault="00767C83">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Selectividad (2)</w:t>
            </w:r>
          </w:p>
        </w:tc>
        <w:tc>
          <w:tcPr>
            <w:tcW w:w="1665"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47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290" w:type="dxa"/>
          </w:tcPr>
          <w:p w:rsidR="00453CAA" w:rsidRDefault="00767C83">
            <w:pPr>
              <w:spacing w:after="0" w:line="240" w:lineRule="auto"/>
              <w:ind w:right="-75" w:hanging="2"/>
              <w:jc w:val="center"/>
              <w:rPr>
                <w:rFonts w:ascii="Arial" w:eastAsia="Arial" w:hAnsi="Arial" w:cs="Arial"/>
              </w:rPr>
            </w:pPr>
            <w:r>
              <w:rPr>
                <w:rFonts w:ascii="Arial" w:eastAsia="Arial" w:hAnsi="Arial" w:cs="Arial"/>
              </w:rPr>
              <w:t>Sí</w:t>
            </w:r>
          </w:p>
        </w:tc>
        <w:tc>
          <w:tcPr>
            <w:tcW w:w="201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r>
      <w:tr w:rsidR="00453CAA">
        <w:trPr>
          <w:trHeight w:val="299"/>
        </w:trPr>
        <w:tc>
          <w:tcPr>
            <w:tcW w:w="2460" w:type="dxa"/>
          </w:tcPr>
          <w:p w:rsidR="00453CAA" w:rsidRDefault="00767C83">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Límite de detección</w:t>
            </w:r>
          </w:p>
        </w:tc>
        <w:tc>
          <w:tcPr>
            <w:tcW w:w="1665"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7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 (3)</w:t>
            </w:r>
          </w:p>
        </w:tc>
        <w:tc>
          <w:tcPr>
            <w:tcW w:w="1290" w:type="dxa"/>
          </w:tcPr>
          <w:p w:rsidR="00453CAA" w:rsidRDefault="00767C83">
            <w:pPr>
              <w:spacing w:after="0" w:line="240" w:lineRule="auto"/>
              <w:ind w:right="-75" w:hanging="2"/>
              <w:jc w:val="center"/>
              <w:rPr>
                <w:rFonts w:ascii="Arial" w:eastAsia="Arial" w:hAnsi="Arial" w:cs="Arial"/>
              </w:rPr>
            </w:pPr>
            <w:r>
              <w:rPr>
                <w:rFonts w:ascii="Arial" w:eastAsia="Arial" w:hAnsi="Arial" w:cs="Arial"/>
              </w:rPr>
              <w:t>Sí</w:t>
            </w:r>
          </w:p>
        </w:tc>
        <w:tc>
          <w:tcPr>
            <w:tcW w:w="201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r>
      <w:tr w:rsidR="00453CAA">
        <w:trPr>
          <w:trHeight w:val="299"/>
        </w:trPr>
        <w:tc>
          <w:tcPr>
            <w:tcW w:w="2460" w:type="dxa"/>
          </w:tcPr>
          <w:p w:rsidR="00453CAA" w:rsidRDefault="00767C83">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Límite de cuantificación</w:t>
            </w:r>
          </w:p>
        </w:tc>
        <w:tc>
          <w:tcPr>
            <w:tcW w:w="1665"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7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290" w:type="dxa"/>
          </w:tcPr>
          <w:p w:rsidR="00453CAA" w:rsidRDefault="00767C83">
            <w:pPr>
              <w:spacing w:after="0" w:line="240" w:lineRule="auto"/>
              <w:ind w:right="-75" w:hanging="2"/>
              <w:jc w:val="center"/>
              <w:rPr>
                <w:rFonts w:ascii="Arial" w:eastAsia="Arial" w:hAnsi="Arial" w:cs="Arial"/>
              </w:rPr>
            </w:pPr>
            <w:r>
              <w:rPr>
                <w:rFonts w:ascii="Arial" w:eastAsia="Arial" w:hAnsi="Arial" w:cs="Arial"/>
              </w:rPr>
              <w:t>No</w:t>
            </w:r>
          </w:p>
        </w:tc>
        <w:tc>
          <w:tcPr>
            <w:tcW w:w="201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 (3)</w:t>
            </w:r>
          </w:p>
        </w:tc>
      </w:tr>
      <w:tr w:rsidR="00453CAA">
        <w:trPr>
          <w:trHeight w:val="299"/>
        </w:trPr>
        <w:tc>
          <w:tcPr>
            <w:tcW w:w="2460" w:type="dxa"/>
          </w:tcPr>
          <w:p w:rsidR="00453CAA" w:rsidRDefault="00767C83">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Linealidad</w:t>
            </w:r>
          </w:p>
        </w:tc>
        <w:tc>
          <w:tcPr>
            <w:tcW w:w="1665"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7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290" w:type="dxa"/>
          </w:tcPr>
          <w:p w:rsidR="00453CAA" w:rsidRDefault="00767C83">
            <w:pPr>
              <w:spacing w:after="0" w:line="240" w:lineRule="auto"/>
              <w:ind w:right="-75" w:hanging="2"/>
              <w:jc w:val="center"/>
              <w:rPr>
                <w:rFonts w:ascii="Arial" w:eastAsia="Arial" w:hAnsi="Arial" w:cs="Arial"/>
              </w:rPr>
            </w:pPr>
            <w:r>
              <w:rPr>
                <w:rFonts w:ascii="Arial" w:eastAsia="Arial" w:hAnsi="Arial" w:cs="Arial"/>
              </w:rPr>
              <w:t>No</w:t>
            </w:r>
          </w:p>
        </w:tc>
        <w:tc>
          <w:tcPr>
            <w:tcW w:w="201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r>
      <w:tr w:rsidR="00453CAA">
        <w:trPr>
          <w:trHeight w:val="299"/>
        </w:trPr>
        <w:tc>
          <w:tcPr>
            <w:tcW w:w="2460" w:type="dxa"/>
          </w:tcPr>
          <w:p w:rsidR="00453CAA" w:rsidRDefault="00767C83">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Rango</w:t>
            </w:r>
          </w:p>
        </w:tc>
        <w:tc>
          <w:tcPr>
            <w:tcW w:w="1665"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7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290" w:type="dxa"/>
          </w:tcPr>
          <w:p w:rsidR="00453CAA" w:rsidRDefault="00767C83">
            <w:pPr>
              <w:spacing w:after="0" w:line="240" w:lineRule="auto"/>
              <w:ind w:right="-75" w:hanging="2"/>
              <w:jc w:val="center"/>
              <w:rPr>
                <w:rFonts w:ascii="Arial" w:eastAsia="Arial" w:hAnsi="Arial" w:cs="Arial"/>
              </w:rPr>
            </w:pPr>
            <w:r>
              <w:rPr>
                <w:rFonts w:ascii="Arial" w:eastAsia="Arial" w:hAnsi="Arial" w:cs="Arial"/>
              </w:rPr>
              <w:t>No</w:t>
            </w:r>
          </w:p>
        </w:tc>
        <w:tc>
          <w:tcPr>
            <w:tcW w:w="2010" w:type="dxa"/>
          </w:tcPr>
          <w:p w:rsidR="00453CAA" w:rsidRDefault="00767C83">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r>
    </w:tbl>
    <w:p w:rsidR="00453CAA" w:rsidRDefault="00453CAA">
      <w:pPr>
        <w:spacing w:after="0" w:line="240" w:lineRule="auto"/>
        <w:ind w:right="-75"/>
        <w:rPr>
          <w:rFonts w:ascii="Arial" w:eastAsia="Arial" w:hAnsi="Arial" w:cs="Arial"/>
          <w:b/>
          <w:bCs/>
        </w:rPr>
      </w:pPr>
    </w:p>
    <w:p w:rsidR="00453CAA" w:rsidRDefault="00453CAA">
      <w:pPr>
        <w:spacing w:after="0" w:line="240" w:lineRule="auto"/>
        <w:ind w:right="-75"/>
        <w:jc w:val="center"/>
        <w:rPr>
          <w:rFonts w:ascii="Arial" w:eastAsia="Arial" w:hAnsi="Arial" w:cs="Arial"/>
          <w:b/>
          <w:bCs/>
        </w:rPr>
      </w:pPr>
    </w:p>
    <w:p w:rsidR="00453CAA" w:rsidRDefault="00767C83">
      <w:pPr>
        <w:pBdr>
          <w:top w:val="nil"/>
          <w:left w:val="nil"/>
          <w:bottom w:val="nil"/>
          <w:right w:val="nil"/>
          <w:between w:val="nil"/>
        </w:pBdr>
        <w:spacing w:line="240" w:lineRule="auto"/>
        <w:ind w:right="-75"/>
        <w:jc w:val="both"/>
        <w:rPr>
          <w:rFonts w:ascii="Arial" w:eastAsia="Arial" w:hAnsi="Arial" w:cs="Arial"/>
          <w:b/>
          <w:bCs/>
        </w:rPr>
      </w:pPr>
      <w:r>
        <w:rPr>
          <w:rFonts w:ascii="Arial" w:eastAsia="Arial" w:hAnsi="Arial" w:cs="Arial"/>
          <w:b/>
          <w:bCs/>
        </w:rPr>
        <w:t>Notas:</w:t>
      </w:r>
    </w:p>
    <w:p w:rsidR="00453CAA" w:rsidRDefault="00767C83">
      <w:pPr>
        <w:numPr>
          <w:ilvl w:val="0"/>
          <w:numId w:val="12"/>
        </w:numPr>
        <w:pBdr>
          <w:top w:val="nil"/>
          <w:left w:val="nil"/>
          <w:bottom w:val="nil"/>
          <w:right w:val="nil"/>
          <w:between w:val="nil"/>
        </w:pBdr>
        <w:spacing w:after="0" w:line="240" w:lineRule="auto"/>
        <w:ind w:left="-283" w:right="-75"/>
        <w:jc w:val="both"/>
        <w:rPr>
          <w:rFonts w:ascii="Arial" w:eastAsia="Arial" w:hAnsi="Arial" w:cs="Arial"/>
          <w:color w:val="000000"/>
        </w:rPr>
      </w:pPr>
      <w:r>
        <w:rPr>
          <w:rFonts w:ascii="Arial" w:eastAsia="Arial" w:hAnsi="Arial" w:cs="Arial"/>
          <w:color w:val="000000"/>
        </w:rPr>
        <w:t>En los casos en que se haya evaluado la reproducibilidad, no es necesario realizar la precisión intermedia.</w:t>
      </w:r>
    </w:p>
    <w:p w:rsidR="00453CAA" w:rsidRDefault="00453CAA">
      <w:pPr>
        <w:pBdr>
          <w:top w:val="nil"/>
          <w:left w:val="nil"/>
          <w:bottom w:val="nil"/>
          <w:right w:val="nil"/>
          <w:between w:val="nil"/>
        </w:pBdr>
        <w:spacing w:after="0" w:line="240" w:lineRule="auto"/>
        <w:ind w:left="720" w:right="-75"/>
        <w:jc w:val="both"/>
        <w:rPr>
          <w:rFonts w:ascii="Arial" w:eastAsia="Arial" w:hAnsi="Arial" w:cs="Arial"/>
        </w:rPr>
      </w:pPr>
    </w:p>
    <w:p w:rsidR="00453CAA" w:rsidRDefault="00767C83">
      <w:pPr>
        <w:numPr>
          <w:ilvl w:val="0"/>
          <w:numId w:val="12"/>
        </w:numPr>
        <w:pBdr>
          <w:top w:val="nil"/>
          <w:left w:val="nil"/>
          <w:bottom w:val="nil"/>
          <w:right w:val="nil"/>
          <w:between w:val="nil"/>
        </w:pBdr>
        <w:spacing w:after="0" w:line="240" w:lineRule="auto"/>
        <w:ind w:left="-283" w:right="-75"/>
        <w:jc w:val="both"/>
        <w:rPr>
          <w:rFonts w:ascii="Arial" w:eastAsia="Arial" w:hAnsi="Arial" w:cs="Arial"/>
          <w:color w:val="000000"/>
        </w:rPr>
      </w:pPr>
      <w:r>
        <w:rPr>
          <w:rFonts w:ascii="Arial" w:eastAsia="Arial" w:hAnsi="Arial" w:cs="Arial"/>
          <w:color w:val="000000"/>
        </w:rPr>
        <w:t>En los ensayos de identificación, puede ser necesaria la combinación de dos o más procedimientos analíticos para alcanzar el nivel requerido de discriminación</w:t>
      </w:r>
      <w:r>
        <w:rPr>
          <w:rFonts w:ascii="Arial" w:eastAsia="Arial" w:hAnsi="Arial" w:cs="Arial"/>
        </w:rPr>
        <w:t>.</w:t>
      </w:r>
    </w:p>
    <w:p w:rsidR="00453CAA" w:rsidRDefault="00453CAA">
      <w:pPr>
        <w:pBdr>
          <w:top w:val="nil"/>
          <w:left w:val="nil"/>
          <w:bottom w:val="nil"/>
          <w:right w:val="nil"/>
          <w:between w:val="nil"/>
        </w:pBdr>
        <w:spacing w:after="0" w:line="240" w:lineRule="auto"/>
        <w:ind w:left="720" w:right="-75"/>
        <w:jc w:val="both"/>
        <w:rPr>
          <w:rFonts w:ascii="Arial" w:eastAsia="Arial" w:hAnsi="Arial" w:cs="Arial"/>
        </w:rPr>
      </w:pPr>
    </w:p>
    <w:p w:rsidR="00453CAA" w:rsidRDefault="00767C83">
      <w:pPr>
        <w:numPr>
          <w:ilvl w:val="0"/>
          <w:numId w:val="12"/>
        </w:numPr>
        <w:pBdr>
          <w:top w:val="nil"/>
          <w:left w:val="nil"/>
          <w:bottom w:val="nil"/>
          <w:right w:val="nil"/>
          <w:between w:val="nil"/>
        </w:pBdr>
        <w:spacing w:after="0" w:line="240" w:lineRule="auto"/>
        <w:ind w:left="-283" w:right="-75"/>
        <w:jc w:val="both"/>
        <w:rPr>
          <w:rFonts w:ascii="Arial" w:eastAsia="Arial" w:hAnsi="Arial" w:cs="Arial"/>
          <w:color w:val="000000"/>
        </w:rPr>
      </w:pPr>
      <w:r>
        <w:rPr>
          <w:rFonts w:ascii="Arial" w:eastAsia="Arial" w:hAnsi="Arial" w:cs="Arial"/>
          <w:color w:val="000000"/>
        </w:rPr>
        <w:t>La evaluación de límite de detección o límite de cuantificación puede ser necesaria en algunos casos específicos, dependiendo de la naturaleza del ensayo.</w:t>
      </w:r>
    </w:p>
    <w:p w:rsidR="00453CAA" w:rsidRDefault="00453CAA">
      <w:pPr>
        <w:spacing w:after="0" w:line="240" w:lineRule="auto"/>
        <w:ind w:right="-75"/>
        <w:jc w:val="center"/>
        <w:rPr>
          <w:rFonts w:ascii="Arial" w:eastAsia="Arial" w:hAnsi="Arial" w:cs="Arial"/>
          <w:b/>
          <w:bCs/>
        </w:rPr>
      </w:pPr>
    </w:p>
    <w:p w:rsidR="00453CAA" w:rsidRDefault="00453CAA">
      <w:pPr>
        <w:spacing w:after="0" w:line="240" w:lineRule="auto"/>
        <w:ind w:right="-75"/>
        <w:jc w:val="center"/>
        <w:rPr>
          <w:rFonts w:ascii="Arial" w:eastAsia="Arial" w:hAnsi="Arial" w:cs="Arial"/>
          <w:b/>
          <w:bCs/>
        </w:rPr>
      </w:pPr>
    </w:p>
    <w:p w:rsidR="00453CAA" w:rsidRDefault="00453CAA">
      <w:pPr>
        <w:spacing w:after="0" w:line="240" w:lineRule="auto"/>
        <w:ind w:right="-75"/>
        <w:jc w:val="center"/>
        <w:rPr>
          <w:rFonts w:ascii="Arial" w:eastAsia="Arial" w:hAnsi="Arial" w:cs="Arial"/>
          <w:b/>
          <w:bCs/>
        </w:rPr>
      </w:pPr>
    </w:p>
    <w:p w:rsidR="00453CAA" w:rsidRDefault="00453CAA">
      <w:pPr>
        <w:spacing w:after="0" w:line="240" w:lineRule="auto"/>
        <w:ind w:right="-75"/>
        <w:jc w:val="center"/>
        <w:rPr>
          <w:rFonts w:ascii="Arial" w:eastAsia="Arial" w:hAnsi="Arial" w:cs="Arial"/>
          <w:b/>
          <w:bCs/>
        </w:rPr>
      </w:pPr>
    </w:p>
    <w:p w:rsidR="00453CAA" w:rsidRDefault="00453CAA">
      <w:pPr>
        <w:spacing w:after="0" w:line="240" w:lineRule="auto"/>
        <w:ind w:right="-75"/>
        <w:jc w:val="center"/>
        <w:rPr>
          <w:rFonts w:ascii="Arial" w:eastAsia="Arial" w:hAnsi="Arial" w:cs="Arial"/>
          <w:b/>
          <w:bCs/>
        </w:rPr>
      </w:pPr>
    </w:p>
    <w:p w:rsidR="00453CAA" w:rsidRDefault="00453CAA">
      <w:pPr>
        <w:spacing w:after="0" w:line="240" w:lineRule="auto"/>
        <w:ind w:right="-75"/>
        <w:jc w:val="center"/>
        <w:rPr>
          <w:rFonts w:ascii="Arial" w:eastAsia="Arial" w:hAnsi="Arial" w:cs="Arial"/>
          <w:b/>
          <w:bCs/>
        </w:rPr>
      </w:pPr>
    </w:p>
    <w:p w:rsidR="00453CAA" w:rsidRDefault="00453CAA">
      <w:pPr>
        <w:spacing w:after="0" w:line="240" w:lineRule="auto"/>
        <w:ind w:right="-75"/>
        <w:jc w:val="center"/>
        <w:rPr>
          <w:rFonts w:ascii="Arial" w:eastAsia="Arial" w:hAnsi="Arial" w:cs="Arial"/>
          <w:b/>
          <w:bCs/>
        </w:rPr>
      </w:pPr>
    </w:p>
    <w:p w:rsidR="001F2881" w:rsidRDefault="001F2881">
      <w:pPr>
        <w:rPr>
          <w:rFonts w:ascii="Arial" w:eastAsia="Arial" w:hAnsi="Arial" w:cs="Arial"/>
          <w:b/>
          <w:bCs/>
        </w:rPr>
      </w:pPr>
      <w:r>
        <w:rPr>
          <w:rFonts w:ascii="Arial" w:eastAsia="Arial" w:hAnsi="Arial" w:cs="Arial"/>
          <w:b/>
          <w:bCs/>
        </w:rPr>
        <w:br w:type="page"/>
      </w:r>
    </w:p>
    <w:p w:rsidR="00453CAA" w:rsidRDefault="00453CAA">
      <w:pPr>
        <w:spacing w:after="0" w:line="240" w:lineRule="auto"/>
        <w:ind w:right="-75"/>
        <w:jc w:val="center"/>
        <w:rPr>
          <w:rFonts w:ascii="Arial" w:eastAsia="Arial" w:hAnsi="Arial" w:cs="Arial"/>
          <w:b/>
          <w:bCs/>
        </w:rPr>
      </w:pPr>
    </w:p>
    <w:p w:rsidR="00453CAA" w:rsidRDefault="00767C83">
      <w:pPr>
        <w:pBdr>
          <w:top w:val="nil"/>
          <w:left w:val="nil"/>
          <w:bottom w:val="nil"/>
          <w:right w:val="nil"/>
          <w:between w:val="nil"/>
        </w:pBdr>
        <w:spacing w:after="0" w:line="240" w:lineRule="auto"/>
        <w:ind w:left="720" w:right="-75"/>
        <w:jc w:val="center"/>
        <w:rPr>
          <w:rFonts w:ascii="Arial" w:eastAsia="Arial" w:hAnsi="Arial" w:cs="Arial"/>
          <w:b/>
          <w:bCs/>
          <w:color w:val="000000"/>
        </w:rPr>
      </w:pPr>
      <w:r>
        <w:rPr>
          <w:rFonts w:ascii="Arial" w:eastAsia="Arial" w:hAnsi="Arial" w:cs="Arial"/>
          <w:b/>
          <w:bCs/>
          <w:color w:val="000000"/>
        </w:rPr>
        <w:t>ANEXO II</w:t>
      </w:r>
    </w:p>
    <w:p w:rsidR="00453CAA" w:rsidRDefault="00453CAA">
      <w:pPr>
        <w:pBdr>
          <w:top w:val="nil"/>
          <w:left w:val="nil"/>
          <w:bottom w:val="nil"/>
          <w:right w:val="nil"/>
          <w:between w:val="nil"/>
        </w:pBdr>
        <w:spacing w:after="0" w:line="240" w:lineRule="auto"/>
        <w:ind w:left="720" w:right="-75"/>
        <w:jc w:val="center"/>
        <w:rPr>
          <w:rFonts w:ascii="Arial" w:eastAsia="Arial" w:hAnsi="Arial" w:cs="Arial"/>
          <w:b/>
          <w:bCs/>
          <w:color w:val="000000"/>
        </w:rPr>
      </w:pPr>
    </w:p>
    <w:p w:rsidR="00453CAA" w:rsidRDefault="00767C83">
      <w:pPr>
        <w:pBdr>
          <w:top w:val="nil"/>
          <w:left w:val="nil"/>
          <w:bottom w:val="nil"/>
          <w:right w:val="nil"/>
          <w:between w:val="nil"/>
        </w:pBdr>
        <w:spacing w:line="240" w:lineRule="auto"/>
        <w:ind w:left="720" w:right="-75"/>
        <w:jc w:val="center"/>
        <w:rPr>
          <w:rFonts w:ascii="Arial" w:eastAsia="Arial" w:hAnsi="Arial" w:cs="Arial"/>
          <w:b/>
          <w:bCs/>
          <w:color w:val="000000"/>
        </w:rPr>
      </w:pPr>
      <w:r>
        <w:rPr>
          <w:rFonts w:ascii="Arial" w:eastAsia="Arial" w:hAnsi="Arial" w:cs="Arial"/>
          <w:b/>
          <w:bCs/>
          <w:color w:val="000000"/>
        </w:rPr>
        <w:t>FÓRMULAS A SER UTILIZADAS</w:t>
      </w:r>
    </w:p>
    <w:p w:rsidR="00453CAA" w:rsidRDefault="00453CAA">
      <w:pPr>
        <w:pBdr>
          <w:top w:val="nil"/>
          <w:left w:val="nil"/>
          <w:bottom w:val="nil"/>
          <w:right w:val="nil"/>
          <w:between w:val="nil"/>
        </w:pBdr>
        <w:spacing w:after="0" w:line="240" w:lineRule="auto"/>
        <w:ind w:right="-75"/>
        <w:jc w:val="both"/>
        <w:rPr>
          <w:rFonts w:ascii="Arial" w:eastAsia="Arial" w:hAnsi="Arial" w:cs="Arial"/>
          <w:color w:val="000000"/>
        </w:rPr>
      </w:pPr>
    </w:p>
    <w:p w:rsidR="00453CAA" w:rsidRDefault="00453CAA">
      <w:pPr>
        <w:pBdr>
          <w:top w:val="nil"/>
          <w:left w:val="nil"/>
          <w:bottom w:val="nil"/>
          <w:right w:val="nil"/>
          <w:between w:val="nil"/>
        </w:pBdr>
        <w:spacing w:after="0" w:line="240" w:lineRule="auto"/>
        <w:ind w:right="-75"/>
        <w:jc w:val="both"/>
        <w:rPr>
          <w:rFonts w:ascii="Arial" w:eastAsia="Arial" w:hAnsi="Arial" w:cs="Arial"/>
        </w:rPr>
      </w:pPr>
    </w:p>
    <w:p w:rsidR="00453CAA" w:rsidRDefault="00767C83">
      <w:pPr>
        <w:pBdr>
          <w:top w:val="nil"/>
          <w:left w:val="nil"/>
          <w:bottom w:val="nil"/>
          <w:right w:val="nil"/>
          <w:between w:val="nil"/>
        </w:pBdr>
        <w:spacing w:after="0" w:line="240" w:lineRule="auto"/>
        <w:ind w:left="-283" w:right="-75"/>
        <w:jc w:val="both"/>
        <w:rPr>
          <w:rFonts w:ascii="Arial" w:eastAsia="Arial" w:hAnsi="Arial" w:cs="Arial"/>
          <w:b/>
          <w:bCs/>
          <w:color w:val="000000"/>
        </w:rPr>
      </w:pPr>
      <w:r>
        <w:rPr>
          <w:rFonts w:ascii="Arial" w:eastAsia="Arial" w:hAnsi="Arial" w:cs="Arial"/>
          <w:b/>
          <w:bCs/>
          <w:color w:val="000000"/>
        </w:rPr>
        <w:t xml:space="preserve">Fórmula </w:t>
      </w:r>
      <w:r>
        <w:rPr>
          <w:rFonts w:ascii="Arial" w:eastAsia="Arial" w:hAnsi="Arial" w:cs="Arial"/>
          <w:b/>
          <w:bCs/>
        </w:rPr>
        <w:t>1</w:t>
      </w:r>
      <w:r>
        <w:rPr>
          <w:rFonts w:ascii="Arial" w:eastAsia="Arial" w:hAnsi="Arial" w:cs="Arial"/>
          <w:b/>
          <w:bCs/>
          <w:color w:val="000000"/>
        </w:rPr>
        <w:t>. Cálculo de exactitud</w:t>
      </w:r>
    </w:p>
    <w:p w:rsidR="00453CAA" w:rsidRDefault="00453CAA">
      <w:pPr>
        <w:pBdr>
          <w:top w:val="nil"/>
          <w:left w:val="nil"/>
          <w:bottom w:val="nil"/>
          <w:right w:val="nil"/>
          <w:between w:val="nil"/>
        </w:pBdr>
        <w:spacing w:after="0" w:line="240" w:lineRule="auto"/>
        <w:ind w:left="-283" w:right="-75"/>
        <w:jc w:val="both"/>
        <w:rPr>
          <w:rFonts w:ascii="Arial" w:eastAsia="Arial" w:hAnsi="Arial" w:cs="Arial"/>
          <w:color w:val="000000"/>
        </w:rPr>
      </w:pPr>
    </w:p>
    <w:p w:rsidR="00453CAA" w:rsidRDefault="00453CAA">
      <w:pPr>
        <w:pBdr>
          <w:top w:val="nil"/>
          <w:left w:val="nil"/>
          <w:bottom w:val="nil"/>
          <w:right w:val="nil"/>
          <w:between w:val="nil"/>
        </w:pBdr>
        <w:spacing w:after="0" w:line="240" w:lineRule="auto"/>
        <w:ind w:left="-283" w:right="-75"/>
        <w:jc w:val="both"/>
        <w:rPr>
          <w:rFonts w:ascii="Arial" w:eastAsia="Arial" w:hAnsi="Arial" w:cs="Arial"/>
          <w:color w:val="000000"/>
        </w:rPr>
      </w:pPr>
    </w:p>
    <w:p w:rsidR="00453CAA" w:rsidRDefault="00767C83">
      <w:pPr>
        <w:pBdr>
          <w:top w:val="nil"/>
          <w:left w:val="nil"/>
          <w:bottom w:val="nil"/>
          <w:right w:val="nil"/>
          <w:between w:val="nil"/>
        </w:pBdr>
        <w:spacing w:after="0" w:line="240" w:lineRule="auto"/>
        <w:ind w:left="-283" w:right="-75"/>
        <w:jc w:val="both"/>
        <w:rPr>
          <w:rFonts w:ascii="Arial" w:eastAsia="Arial" w:hAnsi="Arial" w:cs="Arial"/>
          <w:color w:val="000000"/>
        </w:rPr>
      </w:pPr>
      <w:r>
        <w:rPr>
          <w:rFonts w:ascii="Arial" w:eastAsia="Arial" w:hAnsi="Arial" w:cs="Arial"/>
          <w:color w:val="000000"/>
        </w:rPr>
        <w:t xml:space="preserve">Recuperación= </w:t>
      </w:r>
      <w:r>
        <w:rPr>
          <w:rFonts w:ascii="Arial" w:eastAsia="Arial" w:hAnsi="Arial" w:cs="Arial"/>
          <w:color w:val="000000"/>
          <w:u w:val="single"/>
        </w:rPr>
        <w:t>Concentración media experimental</w:t>
      </w:r>
      <w:r>
        <w:rPr>
          <w:rFonts w:ascii="Arial" w:eastAsia="Arial" w:hAnsi="Arial" w:cs="Arial"/>
          <w:color w:val="000000"/>
        </w:rPr>
        <w:t xml:space="preserve"> x 100</w:t>
      </w:r>
    </w:p>
    <w:p w:rsidR="00453CAA" w:rsidRDefault="00767C83">
      <w:pPr>
        <w:pBdr>
          <w:top w:val="nil"/>
          <w:left w:val="nil"/>
          <w:bottom w:val="nil"/>
          <w:right w:val="nil"/>
          <w:between w:val="nil"/>
        </w:pBdr>
        <w:spacing w:after="0" w:line="240" w:lineRule="auto"/>
        <w:ind w:left="-283" w:right="-75"/>
        <w:jc w:val="both"/>
        <w:rPr>
          <w:rFonts w:ascii="Arial" w:eastAsia="Arial" w:hAnsi="Arial" w:cs="Arial"/>
          <w:color w:val="000000"/>
        </w:rPr>
      </w:pPr>
      <w:r>
        <w:rPr>
          <w:rFonts w:ascii="Arial" w:eastAsia="Arial" w:hAnsi="Arial" w:cs="Arial"/>
          <w:color w:val="000000"/>
        </w:rPr>
        <w:t xml:space="preserve">                                     Concentración teórica</w:t>
      </w:r>
    </w:p>
    <w:p w:rsidR="00453CAA" w:rsidRDefault="00453CAA">
      <w:pPr>
        <w:pBdr>
          <w:top w:val="nil"/>
          <w:left w:val="nil"/>
          <w:bottom w:val="nil"/>
          <w:right w:val="nil"/>
          <w:between w:val="nil"/>
        </w:pBdr>
        <w:spacing w:after="0" w:line="240" w:lineRule="auto"/>
        <w:ind w:left="-283" w:right="-75"/>
        <w:jc w:val="both"/>
        <w:rPr>
          <w:rFonts w:ascii="Arial" w:eastAsia="Arial" w:hAnsi="Arial" w:cs="Arial"/>
          <w:color w:val="000000"/>
        </w:rPr>
      </w:pPr>
    </w:p>
    <w:p w:rsidR="00453CAA" w:rsidRDefault="00767C83">
      <w:pPr>
        <w:pBdr>
          <w:top w:val="nil"/>
          <w:left w:val="nil"/>
          <w:bottom w:val="nil"/>
          <w:right w:val="nil"/>
          <w:between w:val="nil"/>
        </w:pBdr>
        <w:spacing w:after="0" w:line="240" w:lineRule="auto"/>
        <w:ind w:left="-283" w:right="-75"/>
        <w:jc w:val="both"/>
        <w:rPr>
          <w:rFonts w:ascii="Arial" w:eastAsia="Arial" w:hAnsi="Arial" w:cs="Arial"/>
          <w:b/>
          <w:bCs/>
          <w:color w:val="000000"/>
        </w:rPr>
      </w:pPr>
      <w:r>
        <w:rPr>
          <w:rFonts w:ascii="Arial" w:eastAsia="Arial" w:hAnsi="Arial" w:cs="Arial"/>
          <w:b/>
          <w:bCs/>
          <w:color w:val="000000"/>
        </w:rPr>
        <w:t xml:space="preserve">                                                       o</w:t>
      </w:r>
    </w:p>
    <w:p w:rsidR="00453CAA" w:rsidRDefault="00453CAA">
      <w:pPr>
        <w:pBdr>
          <w:top w:val="nil"/>
          <w:left w:val="nil"/>
          <w:bottom w:val="nil"/>
          <w:right w:val="nil"/>
          <w:between w:val="nil"/>
        </w:pBdr>
        <w:spacing w:after="0" w:line="240" w:lineRule="auto"/>
        <w:ind w:left="-283" w:right="-75"/>
        <w:jc w:val="both"/>
        <w:rPr>
          <w:rFonts w:ascii="Arial" w:eastAsia="Arial" w:hAnsi="Arial" w:cs="Arial"/>
          <w:b/>
          <w:bCs/>
          <w:color w:val="000000"/>
        </w:rPr>
      </w:pPr>
    </w:p>
    <w:p w:rsidR="00453CAA" w:rsidRDefault="00767C83">
      <w:pPr>
        <w:pBdr>
          <w:top w:val="nil"/>
          <w:left w:val="nil"/>
          <w:bottom w:val="nil"/>
          <w:right w:val="nil"/>
          <w:between w:val="nil"/>
        </w:pBdr>
        <w:spacing w:after="0" w:line="240" w:lineRule="auto"/>
        <w:ind w:left="-283" w:right="-75"/>
        <w:jc w:val="both"/>
        <w:rPr>
          <w:rFonts w:ascii="Arial" w:eastAsia="Arial" w:hAnsi="Arial" w:cs="Arial"/>
          <w:color w:val="000000"/>
        </w:rPr>
      </w:pPr>
      <w:r>
        <w:rPr>
          <w:rFonts w:ascii="Arial" w:eastAsia="Arial" w:hAnsi="Arial" w:cs="Arial"/>
          <w:color w:val="000000"/>
        </w:rPr>
        <w:t xml:space="preserve">Recuperación= </w:t>
      </w:r>
      <w:r>
        <w:rPr>
          <w:rFonts w:ascii="Arial" w:eastAsia="Arial" w:hAnsi="Arial" w:cs="Arial"/>
          <w:color w:val="000000"/>
          <w:u w:val="single"/>
        </w:rPr>
        <w:t xml:space="preserve">CA (muestra añadida) </w:t>
      </w:r>
      <w:proofErr w:type="gramStart"/>
      <w:r>
        <w:rPr>
          <w:rFonts w:ascii="Arial" w:eastAsia="Arial" w:hAnsi="Arial" w:cs="Arial"/>
          <w:color w:val="000000"/>
          <w:u w:val="single"/>
        </w:rPr>
        <w:t>-  CA</w:t>
      </w:r>
      <w:proofErr w:type="gramEnd"/>
      <w:r>
        <w:rPr>
          <w:rFonts w:ascii="Arial" w:eastAsia="Arial" w:hAnsi="Arial" w:cs="Arial"/>
          <w:color w:val="000000"/>
          <w:u w:val="single"/>
        </w:rPr>
        <w:t xml:space="preserve"> (muestra)</w:t>
      </w:r>
      <w:r>
        <w:rPr>
          <w:rFonts w:ascii="Arial" w:eastAsia="Arial" w:hAnsi="Arial" w:cs="Arial"/>
          <w:color w:val="000000"/>
        </w:rPr>
        <w:t xml:space="preserve"> x 100</w:t>
      </w:r>
    </w:p>
    <w:p w:rsidR="00453CAA" w:rsidRDefault="00767C83">
      <w:pPr>
        <w:pBdr>
          <w:top w:val="nil"/>
          <w:left w:val="nil"/>
          <w:bottom w:val="nil"/>
          <w:right w:val="nil"/>
          <w:between w:val="nil"/>
        </w:pBdr>
        <w:spacing w:after="0" w:line="240" w:lineRule="auto"/>
        <w:ind w:left="-283" w:right="-75"/>
        <w:jc w:val="both"/>
        <w:rPr>
          <w:rFonts w:ascii="Arial" w:eastAsia="Arial" w:hAnsi="Arial" w:cs="Arial"/>
          <w:color w:val="000000"/>
        </w:rPr>
      </w:pPr>
      <w:r>
        <w:rPr>
          <w:rFonts w:ascii="Arial" w:eastAsia="Arial" w:hAnsi="Arial" w:cs="Arial"/>
          <w:color w:val="000000"/>
        </w:rPr>
        <w:t xml:space="preserve">                                                    CTA</w:t>
      </w:r>
    </w:p>
    <w:p w:rsidR="00453CAA" w:rsidRDefault="00453CAA">
      <w:pPr>
        <w:pBdr>
          <w:top w:val="nil"/>
          <w:left w:val="nil"/>
          <w:bottom w:val="nil"/>
          <w:right w:val="nil"/>
          <w:between w:val="nil"/>
        </w:pBdr>
        <w:spacing w:after="0" w:line="240" w:lineRule="auto"/>
        <w:ind w:left="-283" w:right="-75"/>
        <w:jc w:val="both"/>
        <w:rPr>
          <w:rFonts w:ascii="Arial" w:eastAsia="Arial" w:hAnsi="Arial" w:cs="Arial"/>
          <w:b/>
          <w:bCs/>
          <w:color w:val="000000"/>
        </w:rPr>
      </w:pPr>
    </w:p>
    <w:p w:rsidR="00453CAA" w:rsidRDefault="00767C83">
      <w:pPr>
        <w:pBdr>
          <w:top w:val="nil"/>
          <w:left w:val="nil"/>
          <w:bottom w:val="nil"/>
          <w:right w:val="nil"/>
          <w:between w:val="nil"/>
        </w:pBdr>
        <w:spacing w:after="0" w:line="240" w:lineRule="auto"/>
        <w:ind w:left="-283" w:right="-75"/>
        <w:jc w:val="both"/>
        <w:rPr>
          <w:rFonts w:ascii="Arial" w:eastAsia="Arial" w:hAnsi="Arial" w:cs="Arial"/>
          <w:color w:val="000000"/>
        </w:rPr>
      </w:pPr>
      <w:r>
        <w:rPr>
          <w:rFonts w:ascii="Arial" w:eastAsia="Arial" w:hAnsi="Arial" w:cs="Arial"/>
          <w:color w:val="000000"/>
        </w:rPr>
        <w:t>Donde:</w:t>
      </w:r>
      <w:r>
        <w:rPr>
          <w:rFonts w:ascii="Arial" w:eastAsia="Arial" w:hAnsi="Arial" w:cs="Arial"/>
        </w:rPr>
        <w:t xml:space="preserve"> </w:t>
      </w:r>
      <w:r>
        <w:rPr>
          <w:rFonts w:ascii="Arial" w:eastAsia="Arial" w:hAnsi="Arial" w:cs="Arial"/>
          <w:color w:val="000000"/>
        </w:rPr>
        <w:t>CA es la concentración experimental del analito y CTA es la concentración teórica del analito añadido.</w:t>
      </w:r>
    </w:p>
    <w:p w:rsidR="00453CAA" w:rsidRDefault="00453CAA">
      <w:pPr>
        <w:pBdr>
          <w:top w:val="nil"/>
          <w:left w:val="nil"/>
          <w:bottom w:val="nil"/>
          <w:right w:val="nil"/>
          <w:between w:val="nil"/>
        </w:pBdr>
        <w:spacing w:after="0" w:line="240" w:lineRule="auto"/>
        <w:ind w:left="-283" w:right="-75"/>
        <w:jc w:val="both"/>
        <w:rPr>
          <w:rFonts w:ascii="Arial" w:eastAsia="Arial" w:hAnsi="Arial" w:cs="Arial"/>
          <w:b/>
          <w:bCs/>
          <w:color w:val="000000"/>
        </w:rPr>
      </w:pPr>
      <w:bookmarkStart w:id="13" w:name="_heading=h.57453c8yji62" w:colFirst="0" w:colLast="0"/>
      <w:bookmarkEnd w:id="13"/>
    </w:p>
    <w:p w:rsidR="00453CAA" w:rsidRDefault="00453CAA">
      <w:pPr>
        <w:pBdr>
          <w:top w:val="nil"/>
          <w:left w:val="nil"/>
          <w:bottom w:val="nil"/>
          <w:right w:val="nil"/>
          <w:between w:val="nil"/>
        </w:pBdr>
        <w:spacing w:after="0" w:line="240" w:lineRule="auto"/>
        <w:ind w:left="-283" w:right="-75"/>
        <w:jc w:val="both"/>
        <w:rPr>
          <w:rFonts w:ascii="Arial" w:eastAsia="Arial" w:hAnsi="Arial" w:cs="Arial"/>
          <w:b/>
          <w:bCs/>
          <w:color w:val="000000"/>
        </w:rPr>
      </w:pPr>
    </w:p>
    <w:p w:rsidR="00453CAA" w:rsidRDefault="00767C83">
      <w:pPr>
        <w:pBdr>
          <w:top w:val="nil"/>
          <w:left w:val="nil"/>
          <w:bottom w:val="nil"/>
          <w:right w:val="nil"/>
          <w:between w:val="nil"/>
        </w:pBdr>
        <w:spacing w:after="0" w:line="240" w:lineRule="auto"/>
        <w:ind w:left="-283" w:right="-75"/>
        <w:jc w:val="both"/>
        <w:rPr>
          <w:rFonts w:ascii="Arial" w:eastAsia="Arial" w:hAnsi="Arial" w:cs="Arial"/>
          <w:b/>
          <w:bCs/>
          <w:color w:val="000000"/>
        </w:rPr>
      </w:pPr>
      <w:r>
        <w:rPr>
          <w:rFonts w:ascii="Arial" w:eastAsia="Arial" w:hAnsi="Arial" w:cs="Arial"/>
          <w:b/>
          <w:bCs/>
          <w:color w:val="000000"/>
        </w:rPr>
        <w:t>Fórmula 2. Cálculo del límite de detección</w:t>
      </w:r>
    </w:p>
    <w:p w:rsidR="00453CAA" w:rsidRDefault="00453CAA">
      <w:pPr>
        <w:pBdr>
          <w:top w:val="nil"/>
          <w:left w:val="nil"/>
          <w:bottom w:val="nil"/>
          <w:right w:val="nil"/>
          <w:between w:val="nil"/>
        </w:pBdr>
        <w:spacing w:after="0" w:line="240" w:lineRule="auto"/>
        <w:ind w:left="-283" w:right="-75"/>
        <w:jc w:val="both"/>
        <w:rPr>
          <w:rFonts w:ascii="Arial" w:eastAsia="Arial" w:hAnsi="Arial" w:cs="Arial"/>
          <w:color w:val="000000"/>
        </w:rPr>
      </w:pPr>
    </w:p>
    <w:p w:rsidR="00453CAA" w:rsidRPr="001F2881" w:rsidRDefault="00767C83">
      <w:pPr>
        <w:pBdr>
          <w:top w:val="nil"/>
          <w:left w:val="nil"/>
          <w:bottom w:val="nil"/>
          <w:right w:val="nil"/>
          <w:between w:val="nil"/>
        </w:pBdr>
        <w:spacing w:after="0" w:line="240" w:lineRule="auto"/>
        <w:ind w:left="-283" w:right="-75"/>
        <w:jc w:val="both"/>
        <w:rPr>
          <w:rFonts w:ascii="Arial" w:eastAsia="Arial" w:hAnsi="Arial" w:cs="Arial"/>
          <w:b/>
          <w:bCs/>
          <w:color w:val="273239"/>
          <w:sz w:val="27"/>
          <w:szCs w:val="27"/>
          <w:highlight w:val="white"/>
          <w:u w:val="single"/>
        </w:rPr>
      </w:pPr>
      <w:bookmarkStart w:id="14" w:name="_heading=h.9j5tj3avd5mw" w:colFirst="0" w:colLast="0"/>
      <w:bookmarkEnd w:id="14"/>
      <w:r>
        <w:rPr>
          <w:rFonts w:ascii="Arial" w:eastAsia="Arial" w:hAnsi="Arial" w:cs="Arial"/>
          <w:color w:val="000000"/>
        </w:rPr>
        <w:t xml:space="preserve">                                    </w:t>
      </w:r>
      <w:r w:rsidRPr="001F2881">
        <w:rPr>
          <w:rFonts w:ascii="Arial" w:eastAsia="Arial" w:hAnsi="Arial" w:cs="Arial"/>
          <w:color w:val="000000"/>
          <w:u w:val="single"/>
        </w:rPr>
        <w:t xml:space="preserve">  3,</w:t>
      </w:r>
      <w:proofErr w:type="gramStart"/>
      <w:r w:rsidRPr="001F2881">
        <w:rPr>
          <w:rFonts w:ascii="Arial" w:eastAsia="Arial" w:hAnsi="Arial" w:cs="Arial"/>
          <w:color w:val="000000"/>
          <w:u w:val="single"/>
        </w:rPr>
        <w:t>3.</w:t>
      </w:r>
      <w:r w:rsidRPr="001F2881">
        <w:rPr>
          <w:rFonts w:ascii="Arial" w:eastAsia="Arial" w:hAnsi="Arial" w:cs="Arial"/>
          <w:b/>
          <w:bCs/>
          <w:color w:val="273239"/>
          <w:sz w:val="27"/>
          <w:szCs w:val="27"/>
          <w:highlight w:val="white"/>
          <w:u w:val="single"/>
        </w:rPr>
        <w:t>σ</w:t>
      </w:r>
      <w:proofErr w:type="gramEnd"/>
    </w:p>
    <w:p w:rsidR="00453CAA" w:rsidRDefault="00767C83">
      <w:pPr>
        <w:pBdr>
          <w:top w:val="nil"/>
          <w:left w:val="nil"/>
          <w:bottom w:val="nil"/>
          <w:right w:val="nil"/>
          <w:between w:val="nil"/>
        </w:pBdr>
        <w:spacing w:after="0" w:line="240" w:lineRule="auto"/>
        <w:ind w:left="-283" w:right="-75"/>
        <w:jc w:val="both"/>
        <w:rPr>
          <w:rFonts w:ascii="Arial" w:eastAsia="Arial" w:hAnsi="Arial" w:cs="Arial"/>
          <w:i/>
          <w:iCs/>
          <w:color w:val="000000"/>
        </w:rPr>
      </w:pPr>
      <w:r>
        <w:rPr>
          <w:rFonts w:ascii="Arial" w:eastAsia="Arial" w:hAnsi="Arial" w:cs="Arial"/>
          <w:color w:val="000000"/>
        </w:rPr>
        <w:t xml:space="preserve">                           LD</w:t>
      </w:r>
      <w:r w:rsidR="001F2881">
        <w:rPr>
          <w:rFonts w:ascii="Arial" w:eastAsia="Arial" w:hAnsi="Arial" w:cs="Arial"/>
          <w:color w:val="000000"/>
        </w:rPr>
        <w:t xml:space="preserve"> =       </w:t>
      </w:r>
      <w:r>
        <w:rPr>
          <w:rFonts w:ascii="Arial" w:eastAsia="Arial" w:hAnsi="Arial" w:cs="Arial"/>
          <w:i/>
          <w:iCs/>
          <w:color w:val="000000"/>
        </w:rPr>
        <w:t>p</w:t>
      </w:r>
    </w:p>
    <w:p w:rsidR="00453CAA" w:rsidRDefault="00453CAA">
      <w:pPr>
        <w:pBdr>
          <w:top w:val="nil"/>
          <w:left w:val="nil"/>
          <w:bottom w:val="nil"/>
          <w:right w:val="nil"/>
          <w:between w:val="nil"/>
        </w:pBdr>
        <w:spacing w:after="0" w:line="240" w:lineRule="auto"/>
        <w:ind w:left="-283" w:right="-75"/>
        <w:jc w:val="both"/>
        <w:rPr>
          <w:rFonts w:ascii="Arial" w:eastAsia="Arial" w:hAnsi="Arial" w:cs="Arial"/>
          <w:color w:val="000000"/>
        </w:rPr>
      </w:pPr>
    </w:p>
    <w:p w:rsidR="00453CAA" w:rsidRDefault="00767C83">
      <w:pPr>
        <w:pBdr>
          <w:top w:val="nil"/>
          <w:left w:val="nil"/>
          <w:bottom w:val="nil"/>
          <w:right w:val="nil"/>
          <w:between w:val="nil"/>
        </w:pBdr>
        <w:spacing w:after="0" w:line="240" w:lineRule="auto"/>
        <w:ind w:left="-283" w:right="-75"/>
        <w:jc w:val="both"/>
        <w:rPr>
          <w:rFonts w:ascii="Arial" w:eastAsia="Arial" w:hAnsi="Arial" w:cs="Arial"/>
          <w:color w:val="000000"/>
        </w:rPr>
      </w:pPr>
      <w:r>
        <w:rPr>
          <w:rFonts w:ascii="Arial" w:eastAsia="Arial" w:hAnsi="Arial" w:cs="Arial"/>
          <w:color w:val="000000"/>
        </w:rPr>
        <w:t xml:space="preserve">Donde: </w:t>
      </w:r>
      <w:r>
        <w:rPr>
          <w:rFonts w:ascii="Arial" w:eastAsia="Arial" w:hAnsi="Arial" w:cs="Arial"/>
          <w:i/>
          <w:iCs/>
          <w:color w:val="000000"/>
        </w:rPr>
        <w:t>p</w:t>
      </w:r>
      <w:r>
        <w:rPr>
          <w:rFonts w:ascii="Arial" w:eastAsia="Arial" w:hAnsi="Arial" w:cs="Arial"/>
          <w:color w:val="000000"/>
        </w:rPr>
        <w:t xml:space="preserve"> en la pendiente de la curva de calibración y </w:t>
      </w:r>
      <w:r>
        <w:rPr>
          <w:rFonts w:ascii="Arial" w:eastAsia="Arial" w:hAnsi="Arial" w:cs="Arial"/>
          <w:b/>
          <w:bCs/>
          <w:color w:val="273239"/>
          <w:sz w:val="27"/>
          <w:szCs w:val="27"/>
          <w:highlight w:val="white"/>
        </w:rPr>
        <w:t xml:space="preserve">σ </w:t>
      </w:r>
      <w:r>
        <w:rPr>
          <w:rFonts w:ascii="Arial" w:eastAsia="Arial" w:hAnsi="Arial" w:cs="Arial"/>
          <w:color w:val="000000"/>
        </w:rPr>
        <w:t>es la deviación estándar y se puede obtener de 3 maneras:</w:t>
      </w:r>
    </w:p>
    <w:p w:rsidR="00453CAA" w:rsidRDefault="00453CAA">
      <w:pPr>
        <w:pBdr>
          <w:top w:val="nil"/>
          <w:left w:val="nil"/>
          <w:bottom w:val="nil"/>
          <w:right w:val="nil"/>
          <w:between w:val="nil"/>
        </w:pBdr>
        <w:spacing w:after="0" w:line="240" w:lineRule="auto"/>
        <w:ind w:left="-283" w:right="-75"/>
        <w:jc w:val="both"/>
        <w:rPr>
          <w:rFonts w:ascii="Arial" w:eastAsia="Arial" w:hAnsi="Arial" w:cs="Arial"/>
          <w:color w:val="000000"/>
        </w:rPr>
      </w:pPr>
    </w:p>
    <w:p w:rsidR="00453CAA" w:rsidRDefault="00767C83">
      <w:pPr>
        <w:numPr>
          <w:ilvl w:val="0"/>
          <w:numId w:val="9"/>
        </w:numPr>
        <w:pBdr>
          <w:top w:val="nil"/>
          <w:left w:val="nil"/>
          <w:bottom w:val="nil"/>
          <w:right w:val="nil"/>
          <w:between w:val="nil"/>
        </w:pBdr>
        <w:spacing w:after="0" w:line="276" w:lineRule="auto"/>
        <w:ind w:right="-75" w:hanging="295"/>
        <w:jc w:val="both"/>
        <w:rPr>
          <w:rFonts w:ascii="Arial" w:eastAsia="Arial" w:hAnsi="Arial" w:cs="Arial"/>
          <w:color w:val="000000"/>
        </w:rPr>
      </w:pPr>
      <w:r>
        <w:rPr>
          <w:rFonts w:ascii="Arial" w:eastAsia="Arial" w:hAnsi="Arial" w:cs="Arial"/>
          <w:color w:val="000000"/>
        </w:rPr>
        <w:t>Basado en la desviación estándar de la intersección con el eje Y de al menos 3 curvas de calibración construidas que contienen concentraciones de analito cercanas al límite de detección asumido;</w:t>
      </w:r>
    </w:p>
    <w:p w:rsidR="00453CAA" w:rsidRDefault="00767C83">
      <w:pPr>
        <w:numPr>
          <w:ilvl w:val="0"/>
          <w:numId w:val="9"/>
        </w:numPr>
        <w:pBdr>
          <w:top w:val="nil"/>
          <w:left w:val="nil"/>
          <w:bottom w:val="nil"/>
          <w:right w:val="nil"/>
          <w:between w:val="nil"/>
        </w:pBdr>
        <w:spacing w:after="0" w:line="276" w:lineRule="auto"/>
        <w:ind w:right="-75" w:hanging="295"/>
        <w:jc w:val="both"/>
        <w:rPr>
          <w:rFonts w:ascii="Arial" w:eastAsia="Arial" w:hAnsi="Arial" w:cs="Arial"/>
          <w:color w:val="000000"/>
        </w:rPr>
      </w:pPr>
      <w:r>
        <w:rPr>
          <w:rFonts w:ascii="Arial" w:eastAsia="Arial" w:hAnsi="Arial" w:cs="Arial"/>
          <w:color w:val="000000"/>
        </w:rPr>
        <w:t>Basado en la desviación estándar residual de la línea de regresión;</w:t>
      </w:r>
    </w:p>
    <w:p w:rsidR="00453CAA" w:rsidRDefault="00767C83">
      <w:pPr>
        <w:numPr>
          <w:ilvl w:val="0"/>
          <w:numId w:val="9"/>
        </w:numPr>
        <w:pBdr>
          <w:top w:val="nil"/>
          <w:left w:val="nil"/>
          <w:bottom w:val="nil"/>
          <w:right w:val="nil"/>
          <w:between w:val="nil"/>
        </w:pBdr>
        <w:spacing w:after="0" w:line="276" w:lineRule="auto"/>
        <w:ind w:right="-75" w:hanging="295"/>
        <w:jc w:val="both"/>
        <w:rPr>
          <w:rFonts w:ascii="Arial" w:eastAsia="Arial" w:hAnsi="Arial" w:cs="Arial"/>
          <w:color w:val="000000"/>
        </w:rPr>
      </w:pPr>
      <w:r>
        <w:rPr>
          <w:rFonts w:ascii="Arial" w:eastAsia="Arial" w:hAnsi="Arial" w:cs="Arial"/>
          <w:color w:val="000000"/>
        </w:rPr>
        <w:t>Basado en la estimación del ruido obtenida del análisis de un apropiado número de muestras del blanco.</w:t>
      </w:r>
    </w:p>
    <w:p w:rsidR="00453CAA" w:rsidRDefault="00453CAA">
      <w:pPr>
        <w:pBdr>
          <w:top w:val="nil"/>
          <w:left w:val="nil"/>
          <w:bottom w:val="nil"/>
          <w:right w:val="nil"/>
          <w:between w:val="nil"/>
        </w:pBdr>
        <w:spacing w:after="0" w:line="240" w:lineRule="auto"/>
        <w:ind w:left="-283" w:right="-75"/>
        <w:jc w:val="both"/>
        <w:rPr>
          <w:rFonts w:ascii="Arial" w:eastAsia="Arial" w:hAnsi="Arial" w:cs="Arial"/>
          <w:b/>
          <w:bCs/>
          <w:color w:val="000000"/>
        </w:rPr>
      </w:pPr>
    </w:p>
    <w:p w:rsidR="00453CAA" w:rsidRDefault="00767C83">
      <w:pPr>
        <w:pBdr>
          <w:top w:val="nil"/>
          <w:left w:val="nil"/>
          <w:bottom w:val="nil"/>
          <w:right w:val="nil"/>
          <w:between w:val="nil"/>
        </w:pBdr>
        <w:spacing w:after="0" w:line="240" w:lineRule="auto"/>
        <w:ind w:left="-283" w:right="-75"/>
        <w:jc w:val="both"/>
        <w:rPr>
          <w:rFonts w:ascii="Arial" w:eastAsia="Arial" w:hAnsi="Arial" w:cs="Arial"/>
          <w:b/>
          <w:bCs/>
          <w:color w:val="000000"/>
        </w:rPr>
      </w:pPr>
      <w:r>
        <w:rPr>
          <w:rFonts w:ascii="Arial" w:eastAsia="Arial" w:hAnsi="Arial" w:cs="Arial"/>
          <w:b/>
          <w:bCs/>
          <w:color w:val="000000"/>
        </w:rPr>
        <w:t>Fórmula 3. Cálculo del límite de cuantificación</w:t>
      </w:r>
    </w:p>
    <w:p w:rsidR="00453CAA" w:rsidRPr="001F2881" w:rsidRDefault="00767C83">
      <w:pPr>
        <w:pBdr>
          <w:top w:val="nil"/>
          <w:left w:val="nil"/>
          <w:bottom w:val="nil"/>
          <w:right w:val="nil"/>
          <w:between w:val="nil"/>
        </w:pBdr>
        <w:spacing w:after="0" w:line="240" w:lineRule="auto"/>
        <w:ind w:left="-283" w:right="-75"/>
        <w:jc w:val="both"/>
        <w:rPr>
          <w:rFonts w:ascii="Arial" w:eastAsia="Arial" w:hAnsi="Arial" w:cs="Arial"/>
          <w:b/>
          <w:bCs/>
          <w:color w:val="000000"/>
          <w:u w:val="single"/>
        </w:rPr>
      </w:pPr>
      <w:r>
        <w:rPr>
          <w:rFonts w:ascii="Arial" w:eastAsia="Arial" w:hAnsi="Arial" w:cs="Arial"/>
          <w:color w:val="000000"/>
        </w:rPr>
        <w:t xml:space="preserve">                                            </w:t>
      </w:r>
      <w:r w:rsidRPr="001F2881">
        <w:rPr>
          <w:rFonts w:ascii="Arial" w:eastAsia="Arial" w:hAnsi="Arial" w:cs="Arial"/>
          <w:color w:val="000000"/>
          <w:u w:val="single"/>
        </w:rPr>
        <w:t>10</w:t>
      </w:r>
      <w:r w:rsidRPr="001F2881">
        <w:rPr>
          <w:rFonts w:ascii="Arial" w:eastAsia="Arial" w:hAnsi="Arial" w:cs="Arial"/>
          <w:b/>
          <w:bCs/>
          <w:color w:val="273239"/>
          <w:sz w:val="27"/>
          <w:szCs w:val="27"/>
          <w:highlight w:val="white"/>
          <w:u w:val="single"/>
        </w:rPr>
        <w:t>σ</w:t>
      </w:r>
    </w:p>
    <w:p w:rsidR="00453CAA" w:rsidRDefault="00767C83">
      <w:pPr>
        <w:pBdr>
          <w:top w:val="nil"/>
          <w:left w:val="nil"/>
          <w:bottom w:val="nil"/>
          <w:right w:val="nil"/>
          <w:between w:val="nil"/>
        </w:pBdr>
        <w:spacing w:after="0" w:line="240" w:lineRule="auto"/>
        <w:ind w:left="-283" w:right="-75"/>
        <w:jc w:val="both"/>
        <w:rPr>
          <w:rFonts w:ascii="Arial" w:eastAsia="Arial" w:hAnsi="Arial" w:cs="Arial"/>
          <w:i/>
          <w:iCs/>
          <w:color w:val="000000"/>
        </w:rPr>
      </w:pPr>
      <w:r>
        <w:rPr>
          <w:rFonts w:ascii="Arial" w:eastAsia="Arial" w:hAnsi="Arial" w:cs="Arial"/>
          <w:color w:val="000000"/>
        </w:rPr>
        <w:t xml:space="preserve">                                 LQ </w:t>
      </w:r>
      <w:r w:rsidR="001F2881">
        <w:rPr>
          <w:rFonts w:ascii="Arial" w:eastAsia="Arial" w:hAnsi="Arial" w:cs="Arial"/>
          <w:color w:val="000000"/>
        </w:rPr>
        <w:t xml:space="preserve">=     </w:t>
      </w:r>
      <w:r>
        <w:rPr>
          <w:rFonts w:ascii="Arial" w:eastAsia="Arial" w:hAnsi="Arial" w:cs="Arial"/>
          <w:i/>
          <w:iCs/>
          <w:color w:val="000000"/>
        </w:rPr>
        <w:t>p</w:t>
      </w:r>
    </w:p>
    <w:p w:rsidR="00453CAA" w:rsidRDefault="00453CAA"/>
    <w:p w:rsidR="00453CAA" w:rsidRDefault="00453CAA">
      <w:pPr>
        <w:spacing w:after="0" w:line="240" w:lineRule="auto"/>
        <w:ind w:right="-75"/>
        <w:rPr>
          <w:rFonts w:ascii="Arial" w:eastAsia="Arial" w:hAnsi="Arial" w:cs="Arial"/>
          <w:b/>
          <w:bCs/>
        </w:rPr>
      </w:pPr>
    </w:p>
    <w:p w:rsidR="00453CAA" w:rsidRDefault="00767C83">
      <w:pPr>
        <w:pBdr>
          <w:top w:val="nil"/>
          <w:left w:val="nil"/>
          <w:bottom w:val="nil"/>
          <w:right w:val="nil"/>
          <w:between w:val="nil"/>
        </w:pBdr>
        <w:spacing w:after="0" w:line="240" w:lineRule="auto"/>
        <w:ind w:left="-283" w:right="-75"/>
        <w:jc w:val="both"/>
        <w:rPr>
          <w:rFonts w:ascii="Arial" w:eastAsia="Arial" w:hAnsi="Arial" w:cs="Arial"/>
          <w:color w:val="000000"/>
        </w:rPr>
      </w:pPr>
      <w:r>
        <w:rPr>
          <w:rFonts w:ascii="Arial" w:eastAsia="Arial" w:hAnsi="Arial" w:cs="Arial"/>
          <w:color w:val="000000"/>
        </w:rPr>
        <w:t xml:space="preserve">Donde: </w:t>
      </w:r>
      <w:r>
        <w:rPr>
          <w:rFonts w:ascii="Arial" w:eastAsia="Arial" w:hAnsi="Arial" w:cs="Arial"/>
          <w:i/>
          <w:iCs/>
          <w:color w:val="000000"/>
        </w:rPr>
        <w:t>p</w:t>
      </w:r>
      <w:r>
        <w:rPr>
          <w:rFonts w:ascii="Arial" w:eastAsia="Arial" w:hAnsi="Arial" w:cs="Arial"/>
          <w:color w:val="000000"/>
        </w:rPr>
        <w:t xml:space="preserve"> en la pendiente de la curva de calibración y </w:t>
      </w:r>
      <w:r>
        <w:rPr>
          <w:rFonts w:ascii="Arial" w:eastAsia="Arial" w:hAnsi="Arial" w:cs="Arial"/>
          <w:b/>
          <w:bCs/>
          <w:color w:val="273239"/>
          <w:sz w:val="27"/>
          <w:szCs w:val="27"/>
          <w:highlight w:val="white"/>
        </w:rPr>
        <w:t xml:space="preserve">σ </w:t>
      </w:r>
      <w:r>
        <w:rPr>
          <w:rFonts w:ascii="Arial" w:eastAsia="Arial" w:hAnsi="Arial" w:cs="Arial"/>
          <w:color w:val="000000"/>
        </w:rPr>
        <w:t>es la deviación estándar y se puede obtener de 3 maneras:</w:t>
      </w:r>
    </w:p>
    <w:p w:rsidR="00453CAA" w:rsidRDefault="00453CAA">
      <w:pPr>
        <w:pBdr>
          <w:top w:val="nil"/>
          <w:left w:val="nil"/>
          <w:bottom w:val="nil"/>
          <w:right w:val="nil"/>
          <w:between w:val="nil"/>
        </w:pBdr>
        <w:spacing w:after="0" w:line="240" w:lineRule="auto"/>
        <w:ind w:left="-283" w:right="-75"/>
        <w:jc w:val="both"/>
        <w:rPr>
          <w:rFonts w:ascii="Arial" w:eastAsia="Arial" w:hAnsi="Arial" w:cs="Arial"/>
          <w:color w:val="000000"/>
        </w:rPr>
      </w:pPr>
    </w:p>
    <w:p w:rsidR="00453CAA" w:rsidRDefault="00767C83">
      <w:pPr>
        <w:numPr>
          <w:ilvl w:val="0"/>
          <w:numId w:val="11"/>
        </w:numPr>
        <w:pBdr>
          <w:top w:val="nil"/>
          <w:left w:val="nil"/>
          <w:bottom w:val="nil"/>
          <w:right w:val="nil"/>
          <w:between w:val="nil"/>
        </w:pBdr>
        <w:spacing w:after="0" w:line="276" w:lineRule="auto"/>
        <w:ind w:right="-75" w:hanging="295"/>
        <w:jc w:val="both"/>
        <w:rPr>
          <w:rFonts w:ascii="Arial" w:eastAsia="Arial" w:hAnsi="Arial" w:cs="Arial"/>
          <w:color w:val="000000"/>
        </w:rPr>
      </w:pPr>
      <w:r>
        <w:rPr>
          <w:rFonts w:ascii="Arial" w:eastAsia="Arial" w:hAnsi="Arial" w:cs="Arial"/>
          <w:color w:val="000000"/>
        </w:rPr>
        <w:t>Basado en la desviación estándar de la intersección con el eje Y de al menos 3 curvas de calibración construidas que contienen concentraciones de analito cercanas al límite de detección asumido;</w:t>
      </w:r>
    </w:p>
    <w:p w:rsidR="00453CAA" w:rsidRDefault="00767C83">
      <w:pPr>
        <w:numPr>
          <w:ilvl w:val="0"/>
          <w:numId w:val="11"/>
        </w:numPr>
        <w:pBdr>
          <w:top w:val="nil"/>
          <w:left w:val="nil"/>
          <w:bottom w:val="nil"/>
          <w:right w:val="nil"/>
          <w:between w:val="nil"/>
        </w:pBdr>
        <w:spacing w:after="0" w:line="276" w:lineRule="auto"/>
        <w:ind w:right="-75" w:hanging="295"/>
        <w:jc w:val="both"/>
        <w:rPr>
          <w:rFonts w:ascii="Arial" w:eastAsia="Arial" w:hAnsi="Arial" w:cs="Arial"/>
          <w:color w:val="000000"/>
        </w:rPr>
      </w:pPr>
      <w:r>
        <w:rPr>
          <w:rFonts w:ascii="Arial" w:eastAsia="Arial" w:hAnsi="Arial" w:cs="Arial"/>
          <w:color w:val="000000"/>
        </w:rPr>
        <w:t>Basado en la desviación estándar residual de la línea de regresión;</w:t>
      </w:r>
    </w:p>
    <w:p w:rsidR="00453CAA" w:rsidRDefault="00767C83">
      <w:pPr>
        <w:numPr>
          <w:ilvl w:val="0"/>
          <w:numId w:val="11"/>
        </w:numPr>
        <w:pBdr>
          <w:top w:val="nil"/>
          <w:left w:val="nil"/>
          <w:bottom w:val="nil"/>
          <w:right w:val="nil"/>
          <w:between w:val="nil"/>
        </w:pBdr>
        <w:spacing w:after="0" w:line="276" w:lineRule="auto"/>
        <w:ind w:right="-75" w:hanging="295"/>
        <w:jc w:val="both"/>
        <w:rPr>
          <w:rFonts w:ascii="Arial" w:eastAsia="Arial" w:hAnsi="Arial" w:cs="Arial"/>
          <w:color w:val="000000"/>
        </w:rPr>
      </w:pPr>
      <w:r>
        <w:rPr>
          <w:rFonts w:ascii="Arial" w:eastAsia="Arial" w:hAnsi="Arial" w:cs="Arial"/>
          <w:color w:val="000000"/>
        </w:rPr>
        <w:t>Basado en la estimación del ruido obtenida del análisis de un apropiado número de muestras del blanco.</w:t>
      </w:r>
    </w:p>
    <w:p w:rsidR="00453CAA" w:rsidRDefault="00453CAA">
      <w:pPr>
        <w:pBdr>
          <w:top w:val="nil"/>
          <w:left w:val="nil"/>
          <w:bottom w:val="nil"/>
          <w:right w:val="nil"/>
          <w:between w:val="nil"/>
        </w:pBdr>
        <w:spacing w:after="0" w:line="276" w:lineRule="auto"/>
        <w:ind w:left="437" w:right="-75"/>
        <w:jc w:val="both"/>
        <w:rPr>
          <w:rFonts w:ascii="Arial" w:eastAsia="Arial" w:hAnsi="Arial" w:cs="Arial"/>
          <w:color w:val="000000"/>
        </w:rPr>
      </w:pPr>
    </w:p>
    <w:p w:rsidR="00453CAA" w:rsidRDefault="00767C83">
      <w:pPr>
        <w:pBdr>
          <w:top w:val="nil"/>
          <w:left w:val="nil"/>
          <w:bottom w:val="nil"/>
          <w:right w:val="nil"/>
          <w:between w:val="nil"/>
        </w:pBdr>
        <w:spacing w:after="0" w:line="276" w:lineRule="auto"/>
        <w:ind w:left="437" w:right="-75"/>
        <w:jc w:val="both"/>
        <w:rPr>
          <w:rFonts w:ascii="Arial" w:eastAsia="Arial" w:hAnsi="Arial" w:cs="Arial"/>
        </w:rPr>
      </w:pPr>
      <w:r>
        <w:br w:type="page"/>
      </w:r>
    </w:p>
    <w:p w:rsidR="00453CAA" w:rsidRDefault="00453CAA">
      <w:pPr>
        <w:pBdr>
          <w:top w:val="nil"/>
          <w:left w:val="nil"/>
          <w:bottom w:val="nil"/>
          <w:right w:val="nil"/>
          <w:between w:val="nil"/>
        </w:pBdr>
        <w:spacing w:after="0" w:line="276" w:lineRule="auto"/>
        <w:ind w:left="437" w:right="-75"/>
        <w:jc w:val="both"/>
        <w:rPr>
          <w:rFonts w:ascii="Arial" w:eastAsia="Arial" w:hAnsi="Arial" w:cs="Arial"/>
        </w:rPr>
      </w:pPr>
    </w:p>
    <w:p w:rsidR="00453CAA" w:rsidRDefault="00767C83">
      <w:pPr>
        <w:pBdr>
          <w:top w:val="nil"/>
          <w:left w:val="nil"/>
          <w:bottom w:val="nil"/>
          <w:right w:val="nil"/>
          <w:between w:val="nil"/>
        </w:pBdr>
        <w:spacing w:line="240" w:lineRule="auto"/>
        <w:ind w:left="720" w:right="-75"/>
        <w:jc w:val="center"/>
        <w:rPr>
          <w:rFonts w:ascii="Arial" w:eastAsia="Arial" w:hAnsi="Arial" w:cs="Arial"/>
          <w:b/>
          <w:bCs/>
          <w:color w:val="000000"/>
        </w:rPr>
      </w:pPr>
      <w:r>
        <w:rPr>
          <w:rFonts w:ascii="Arial" w:eastAsia="Arial" w:hAnsi="Arial" w:cs="Arial"/>
          <w:b/>
          <w:bCs/>
          <w:color w:val="000000"/>
        </w:rPr>
        <w:t>ANEXO III</w:t>
      </w:r>
    </w:p>
    <w:p w:rsidR="00453CAA" w:rsidRDefault="00767C83">
      <w:pPr>
        <w:spacing w:after="0" w:line="240" w:lineRule="auto"/>
        <w:ind w:right="-75"/>
        <w:jc w:val="center"/>
        <w:rPr>
          <w:rFonts w:ascii="Arial" w:eastAsia="Arial" w:hAnsi="Arial" w:cs="Arial"/>
          <w:b/>
          <w:bCs/>
        </w:rPr>
      </w:pPr>
      <w:r>
        <w:rPr>
          <w:rFonts w:ascii="Arial" w:eastAsia="Arial" w:hAnsi="Arial" w:cs="Arial"/>
          <w:b/>
          <w:bCs/>
        </w:rPr>
        <w:t>Condiciones para evaluar la robustez del método</w:t>
      </w:r>
    </w:p>
    <w:p w:rsidR="00453CAA" w:rsidRDefault="00453CAA">
      <w:pPr>
        <w:spacing w:after="0" w:line="240" w:lineRule="auto"/>
        <w:ind w:right="-75"/>
        <w:jc w:val="center"/>
        <w:rPr>
          <w:rFonts w:ascii="Arial" w:eastAsia="Arial" w:hAnsi="Arial" w:cs="Arial"/>
          <w:b/>
          <w:bCs/>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453CAA">
        <w:tc>
          <w:tcPr>
            <w:tcW w:w="4414" w:type="dxa"/>
            <w:vMerge w:val="restart"/>
          </w:tcPr>
          <w:p w:rsidR="00453CAA" w:rsidRDefault="00453CAA">
            <w:pPr>
              <w:spacing w:after="0" w:line="240" w:lineRule="auto"/>
              <w:ind w:right="-75" w:hanging="2"/>
              <w:jc w:val="center"/>
              <w:rPr>
                <w:rFonts w:ascii="Arial" w:eastAsia="Arial" w:hAnsi="Arial" w:cs="Arial"/>
              </w:rPr>
            </w:pPr>
          </w:p>
          <w:p w:rsidR="00453CAA" w:rsidRDefault="00767C83">
            <w:pPr>
              <w:spacing w:after="0" w:line="240" w:lineRule="auto"/>
              <w:ind w:right="-75" w:hanging="2"/>
              <w:jc w:val="center"/>
              <w:rPr>
                <w:rFonts w:ascii="Arial" w:eastAsia="Arial" w:hAnsi="Arial" w:cs="Arial"/>
              </w:rPr>
            </w:pPr>
            <w:r>
              <w:rPr>
                <w:rFonts w:ascii="Arial" w:eastAsia="Arial" w:hAnsi="Arial" w:cs="Arial"/>
              </w:rPr>
              <w:t>Preparación de la muestra</w:t>
            </w:r>
          </w:p>
        </w:tc>
        <w:tc>
          <w:tcPr>
            <w:tcW w:w="4414" w:type="dxa"/>
          </w:tcPr>
          <w:p w:rsidR="00453CAA" w:rsidRDefault="00767C83">
            <w:pPr>
              <w:spacing w:after="0" w:line="240" w:lineRule="auto"/>
              <w:ind w:right="-75" w:hanging="2"/>
              <w:rPr>
                <w:rFonts w:ascii="Arial" w:eastAsia="Arial" w:hAnsi="Arial" w:cs="Arial"/>
              </w:rPr>
            </w:pPr>
            <w:r>
              <w:rPr>
                <w:rFonts w:ascii="Arial" w:eastAsia="Arial" w:hAnsi="Arial" w:cs="Arial"/>
              </w:rPr>
              <w:t>Estabilidad de soluciones analítica</w:t>
            </w:r>
          </w:p>
        </w:tc>
      </w:tr>
      <w:tr w:rsidR="00453CAA">
        <w:tc>
          <w:tcPr>
            <w:tcW w:w="4414" w:type="dxa"/>
            <w:vMerge/>
          </w:tcPr>
          <w:p w:rsidR="00453CAA" w:rsidRDefault="00453CAA">
            <w:pPr>
              <w:widowControl w:val="0"/>
              <w:pBdr>
                <w:top w:val="nil"/>
                <w:left w:val="nil"/>
                <w:bottom w:val="nil"/>
                <w:right w:val="nil"/>
                <w:between w:val="nil"/>
              </w:pBdr>
              <w:spacing w:after="0" w:line="276" w:lineRule="auto"/>
              <w:ind w:firstLine="0"/>
              <w:rPr>
                <w:rFonts w:ascii="Arial" w:eastAsia="Arial" w:hAnsi="Arial" w:cs="Arial"/>
              </w:rPr>
            </w:pPr>
          </w:p>
        </w:tc>
        <w:tc>
          <w:tcPr>
            <w:tcW w:w="4414" w:type="dxa"/>
          </w:tcPr>
          <w:p w:rsidR="00453CAA" w:rsidRDefault="00767C83">
            <w:pPr>
              <w:spacing w:after="0" w:line="240" w:lineRule="auto"/>
              <w:ind w:right="-75" w:hanging="2"/>
              <w:rPr>
                <w:rFonts w:ascii="Arial" w:eastAsia="Arial" w:hAnsi="Arial" w:cs="Arial"/>
              </w:rPr>
            </w:pPr>
            <w:r>
              <w:rPr>
                <w:rFonts w:ascii="Arial" w:eastAsia="Arial" w:hAnsi="Arial" w:cs="Arial"/>
              </w:rPr>
              <w:t>Tiempo de extracción</w:t>
            </w:r>
          </w:p>
        </w:tc>
      </w:tr>
      <w:tr w:rsidR="00453CAA">
        <w:tc>
          <w:tcPr>
            <w:tcW w:w="4414" w:type="dxa"/>
            <w:vMerge/>
          </w:tcPr>
          <w:p w:rsidR="00453CAA" w:rsidRDefault="00453CAA">
            <w:pPr>
              <w:widowControl w:val="0"/>
              <w:pBdr>
                <w:top w:val="nil"/>
                <w:left w:val="nil"/>
                <w:bottom w:val="nil"/>
                <w:right w:val="nil"/>
                <w:between w:val="nil"/>
              </w:pBdr>
              <w:spacing w:after="0" w:line="276" w:lineRule="auto"/>
              <w:ind w:firstLine="0"/>
              <w:rPr>
                <w:rFonts w:ascii="Arial" w:eastAsia="Arial" w:hAnsi="Arial" w:cs="Arial"/>
              </w:rPr>
            </w:pPr>
          </w:p>
        </w:tc>
        <w:tc>
          <w:tcPr>
            <w:tcW w:w="4414" w:type="dxa"/>
          </w:tcPr>
          <w:p w:rsidR="00453CAA" w:rsidRDefault="00767C83">
            <w:pPr>
              <w:spacing w:after="0" w:line="240" w:lineRule="auto"/>
              <w:ind w:right="-75" w:hanging="2"/>
              <w:rPr>
                <w:rFonts w:ascii="Arial" w:eastAsia="Arial" w:hAnsi="Arial" w:cs="Arial"/>
              </w:rPr>
            </w:pPr>
            <w:r>
              <w:rPr>
                <w:rFonts w:ascii="Arial" w:eastAsia="Arial" w:hAnsi="Arial" w:cs="Arial"/>
              </w:rPr>
              <w:t>Compatibilidad de filtros</w:t>
            </w:r>
          </w:p>
        </w:tc>
      </w:tr>
      <w:tr w:rsidR="00453CAA">
        <w:tc>
          <w:tcPr>
            <w:tcW w:w="4414" w:type="dxa"/>
            <w:vMerge w:val="restart"/>
          </w:tcPr>
          <w:p w:rsidR="00453CAA" w:rsidRDefault="00453CAA">
            <w:pPr>
              <w:spacing w:after="0" w:line="240" w:lineRule="auto"/>
              <w:ind w:right="-75" w:hanging="2"/>
              <w:jc w:val="center"/>
              <w:rPr>
                <w:rFonts w:ascii="Arial" w:eastAsia="Arial" w:hAnsi="Arial" w:cs="Arial"/>
              </w:rPr>
            </w:pPr>
          </w:p>
          <w:p w:rsidR="00453CAA" w:rsidRDefault="00767C83">
            <w:pPr>
              <w:spacing w:after="0" w:line="240" w:lineRule="auto"/>
              <w:ind w:right="-75" w:hanging="2"/>
              <w:jc w:val="center"/>
              <w:rPr>
                <w:rFonts w:ascii="Arial" w:eastAsia="Arial" w:hAnsi="Arial" w:cs="Arial"/>
                <w:b/>
                <w:bCs/>
              </w:rPr>
            </w:pPr>
            <w:r>
              <w:rPr>
                <w:rFonts w:ascii="Arial" w:eastAsia="Arial" w:hAnsi="Arial" w:cs="Arial"/>
              </w:rPr>
              <w:t>Espectrofotometría</w:t>
            </w:r>
            <w:r>
              <w:rPr>
                <w:rFonts w:ascii="Arial" w:eastAsia="Arial" w:hAnsi="Arial" w:cs="Arial"/>
                <w:b/>
                <w:bCs/>
              </w:rPr>
              <w:t xml:space="preserve"> </w:t>
            </w:r>
          </w:p>
        </w:tc>
        <w:tc>
          <w:tcPr>
            <w:tcW w:w="4414" w:type="dxa"/>
          </w:tcPr>
          <w:p w:rsidR="00453CAA" w:rsidRDefault="00767C83">
            <w:pPr>
              <w:spacing w:after="0" w:line="240" w:lineRule="auto"/>
              <w:ind w:right="-75" w:hanging="2"/>
              <w:rPr>
                <w:rFonts w:ascii="Arial" w:eastAsia="Arial" w:hAnsi="Arial" w:cs="Arial"/>
              </w:rPr>
            </w:pPr>
            <w:r>
              <w:rPr>
                <w:rFonts w:ascii="Arial" w:eastAsia="Arial" w:hAnsi="Arial" w:cs="Arial"/>
              </w:rPr>
              <w:t>Variación de pH de la solución</w:t>
            </w:r>
          </w:p>
        </w:tc>
      </w:tr>
      <w:tr w:rsidR="00453CAA">
        <w:tc>
          <w:tcPr>
            <w:tcW w:w="4414" w:type="dxa"/>
            <w:vMerge/>
          </w:tcPr>
          <w:p w:rsidR="00453CAA" w:rsidRDefault="00453CAA">
            <w:pPr>
              <w:widowControl w:val="0"/>
              <w:pBdr>
                <w:top w:val="nil"/>
                <w:left w:val="nil"/>
                <w:bottom w:val="nil"/>
                <w:right w:val="nil"/>
                <w:between w:val="nil"/>
              </w:pBdr>
              <w:spacing w:after="0" w:line="276" w:lineRule="auto"/>
              <w:ind w:firstLine="0"/>
              <w:rPr>
                <w:rFonts w:ascii="Arial" w:eastAsia="Arial" w:hAnsi="Arial" w:cs="Arial"/>
              </w:rPr>
            </w:pPr>
          </w:p>
        </w:tc>
        <w:tc>
          <w:tcPr>
            <w:tcW w:w="4414" w:type="dxa"/>
          </w:tcPr>
          <w:p w:rsidR="00453CAA" w:rsidRDefault="00767C83">
            <w:pPr>
              <w:spacing w:after="0" w:line="240" w:lineRule="auto"/>
              <w:ind w:right="-75" w:hanging="2"/>
              <w:rPr>
                <w:rFonts w:ascii="Arial" w:eastAsia="Arial" w:hAnsi="Arial" w:cs="Arial"/>
              </w:rPr>
            </w:pPr>
            <w:r>
              <w:rPr>
                <w:rFonts w:ascii="Arial" w:eastAsia="Arial" w:hAnsi="Arial" w:cs="Arial"/>
              </w:rPr>
              <w:t>Diferentes lotes o fabricantes de disolventes</w:t>
            </w:r>
          </w:p>
        </w:tc>
      </w:tr>
      <w:tr w:rsidR="00453CAA">
        <w:tc>
          <w:tcPr>
            <w:tcW w:w="4414" w:type="dxa"/>
            <w:vMerge w:val="restart"/>
          </w:tcPr>
          <w:p w:rsidR="00453CAA" w:rsidRDefault="00453CAA">
            <w:pPr>
              <w:spacing w:after="0" w:line="240" w:lineRule="auto"/>
              <w:ind w:right="-75" w:hanging="2"/>
              <w:jc w:val="center"/>
              <w:rPr>
                <w:rFonts w:ascii="Arial" w:eastAsia="Arial" w:hAnsi="Arial" w:cs="Arial"/>
                <w:b/>
                <w:bCs/>
              </w:rPr>
            </w:pPr>
          </w:p>
          <w:p w:rsidR="00453CAA" w:rsidRDefault="00767C83">
            <w:pPr>
              <w:spacing w:after="0" w:line="240" w:lineRule="auto"/>
              <w:ind w:right="-75" w:hanging="2"/>
              <w:jc w:val="center"/>
              <w:rPr>
                <w:rFonts w:ascii="Arial" w:eastAsia="Arial" w:hAnsi="Arial" w:cs="Arial"/>
              </w:rPr>
            </w:pPr>
            <w:r>
              <w:rPr>
                <w:rFonts w:ascii="Arial" w:eastAsia="Arial" w:hAnsi="Arial" w:cs="Arial"/>
              </w:rPr>
              <w:t>Cromatografía Líquida</w:t>
            </w:r>
          </w:p>
        </w:tc>
        <w:tc>
          <w:tcPr>
            <w:tcW w:w="4414" w:type="dxa"/>
          </w:tcPr>
          <w:p w:rsidR="00453CAA" w:rsidRDefault="00767C83">
            <w:pPr>
              <w:spacing w:after="0" w:line="240" w:lineRule="auto"/>
              <w:ind w:right="-75" w:hanging="2"/>
              <w:rPr>
                <w:rFonts w:ascii="Arial" w:eastAsia="Arial" w:hAnsi="Arial" w:cs="Arial"/>
                <w:b/>
                <w:bCs/>
              </w:rPr>
            </w:pPr>
            <w:r>
              <w:rPr>
                <w:rFonts w:ascii="Arial" w:eastAsia="Arial" w:hAnsi="Arial" w:cs="Arial"/>
              </w:rPr>
              <w:t>Variación del pH de la fase móvil</w:t>
            </w:r>
          </w:p>
        </w:tc>
      </w:tr>
      <w:tr w:rsidR="00453CAA">
        <w:tc>
          <w:tcPr>
            <w:tcW w:w="4414" w:type="dxa"/>
            <w:vMerge/>
          </w:tcPr>
          <w:p w:rsidR="00453CAA" w:rsidRDefault="00453CAA">
            <w:pPr>
              <w:widowControl w:val="0"/>
              <w:pBdr>
                <w:top w:val="nil"/>
                <w:left w:val="nil"/>
                <w:bottom w:val="nil"/>
                <w:right w:val="nil"/>
                <w:between w:val="nil"/>
              </w:pBdr>
              <w:spacing w:after="0" w:line="276" w:lineRule="auto"/>
              <w:ind w:firstLine="0"/>
              <w:rPr>
                <w:rFonts w:ascii="Arial" w:eastAsia="Arial" w:hAnsi="Arial" w:cs="Arial"/>
                <w:b/>
                <w:bCs/>
              </w:rPr>
            </w:pPr>
          </w:p>
        </w:tc>
        <w:tc>
          <w:tcPr>
            <w:tcW w:w="4414" w:type="dxa"/>
          </w:tcPr>
          <w:p w:rsidR="00453CAA" w:rsidRDefault="00767C83">
            <w:pPr>
              <w:spacing w:after="0" w:line="240" w:lineRule="auto"/>
              <w:ind w:right="-75" w:hanging="2"/>
              <w:rPr>
                <w:rFonts w:ascii="Arial" w:eastAsia="Arial" w:hAnsi="Arial" w:cs="Arial"/>
                <w:b/>
                <w:bCs/>
              </w:rPr>
            </w:pPr>
            <w:r>
              <w:rPr>
                <w:rFonts w:ascii="Arial" w:eastAsia="Arial" w:hAnsi="Arial" w:cs="Arial"/>
              </w:rPr>
              <w:t>Variación en la composición de la fase móvil</w:t>
            </w:r>
          </w:p>
        </w:tc>
      </w:tr>
      <w:tr w:rsidR="00453CAA">
        <w:tc>
          <w:tcPr>
            <w:tcW w:w="4414" w:type="dxa"/>
            <w:vMerge/>
          </w:tcPr>
          <w:p w:rsidR="00453CAA" w:rsidRDefault="00453CAA">
            <w:pPr>
              <w:widowControl w:val="0"/>
              <w:pBdr>
                <w:top w:val="nil"/>
                <w:left w:val="nil"/>
                <w:bottom w:val="nil"/>
                <w:right w:val="nil"/>
                <w:between w:val="nil"/>
              </w:pBdr>
              <w:spacing w:after="0" w:line="276" w:lineRule="auto"/>
              <w:ind w:firstLine="0"/>
              <w:rPr>
                <w:rFonts w:ascii="Arial" w:eastAsia="Arial" w:hAnsi="Arial" w:cs="Arial"/>
                <w:b/>
                <w:bCs/>
              </w:rPr>
            </w:pPr>
          </w:p>
        </w:tc>
        <w:tc>
          <w:tcPr>
            <w:tcW w:w="4414" w:type="dxa"/>
          </w:tcPr>
          <w:p w:rsidR="00453CAA" w:rsidRDefault="00767C83">
            <w:pPr>
              <w:spacing w:after="0" w:line="240" w:lineRule="auto"/>
              <w:ind w:right="-75" w:hanging="2"/>
              <w:rPr>
                <w:rFonts w:ascii="Arial" w:eastAsia="Arial" w:hAnsi="Arial" w:cs="Arial"/>
                <w:b/>
                <w:bCs/>
              </w:rPr>
            </w:pPr>
            <w:r>
              <w:rPr>
                <w:rFonts w:ascii="Arial" w:eastAsia="Arial" w:hAnsi="Arial" w:cs="Arial"/>
              </w:rPr>
              <w:t>Diferentes lotes o fabricantes de columnas</w:t>
            </w:r>
          </w:p>
        </w:tc>
      </w:tr>
      <w:tr w:rsidR="00453CAA">
        <w:tc>
          <w:tcPr>
            <w:tcW w:w="4414" w:type="dxa"/>
            <w:vMerge/>
          </w:tcPr>
          <w:p w:rsidR="00453CAA" w:rsidRDefault="00453CAA">
            <w:pPr>
              <w:widowControl w:val="0"/>
              <w:pBdr>
                <w:top w:val="nil"/>
                <w:left w:val="nil"/>
                <w:bottom w:val="nil"/>
                <w:right w:val="nil"/>
                <w:between w:val="nil"/>
              </w:pBdr>
              <w:spacing w:after="0" w:line="276" w:lineRule="auto"/>
              <w:ind w:firstLine="0"/>
              <w:rPr>
                <w:rFonts w:ascii="Arial" w:eastAsia="Arial" w:hAnsi="Arial" w:cs="Arial"/>
                <w:b/>
                <w:bCs/>
              </w:rPr>
            </w:pPr>
          </w:p>
        </w:tc>
        <w:tc>
          <w:tcPr>
            <w:tcW w:w="4414" w:type="dxa"/>
          </w:tcPr>
          <w:p w:rsidR="00453CAA" w:rsidRDefault="00767C83">
            <w:pPr>
              <w:spacing w:after="0" w:line="240" w:lineRule="auto"/>
              <w:ind w:right="-75" w:hanging="2"/>
              <w:rPr>
                <w:rFonts w:ascii="Arial" w:eastAsia="Arial" w:hAnsi="Arial" w:cs="Arial"/>
              </w:rPr>
            </w:pPr>
            <w:r>
              <w:rPr>
                <w:rFonts w:ascii="Arial" w:eastAsia="Arial" w:hAnsi="Arial" w:cs="Arial"/>
              </w:rPr>
              <w:t>Temperatura</w:t>
            </w:r>
          </w:p>
        </w:tc>
      </w:tr>
      <w:tr w:rsidR="00453CAA">
        <w:tc>
          <w:tcPr>
            <w:tcW w:w="4414" w:type="dxa"/>
            <w:vMerge/>
          </w:tcPr>
          <w:p w:rsidR="00453CAA" w:rsidRDefault="00453CAA">
            <w:pPr>
              <w:widowControl w:val="0"/>
              <w:pBdr>
                <w:top w:val="nil"/>
                <w:left w:val="nil"/>
                <w:bottom w:val="nil"/>
                <w:right w:val="nil"/>
                <w:between w:val="nil"/>
              </w:pBdr>
              <w:spacing w:after="0" w:line="276" w:lineRule="auto"/>
              <w:ind w:firstLine="0"/>
              <w:rPr>
                <w:rFonts w:ascii="Arial" w:eastAsia="Arial" w:hAnsi="Arial" w:cs="Arial"/>
              </w:rPr>
            </w:pPr>
          </w:p>
        </w:tc>
        <w:tc>
          <w:tcPr>
            <w:tcW w:w="4414" w:type="dxa"/>
          </w:tcPr>
          <w:p w:rsidR="00453CAA" w:rsidRDefault="00767C83">
            <w:pPr>
              <w:spacing w:after="0" w:line="240" w:lineRule="auto"/>
              <w:ind w:right="-75" w:hanging="2"/>
              <w:rPr>
                <w:rFonts w:ascii="Arial" w:eastAsia="Arial" w:hAnsi="Arial" w:cs="Arial"/>
              </w:rPr>
            </w:pPr>
            <w:r>
              <w:rPr>
                <w:rFonts w:ascii="Arial" w:eastAsia="Arial" w:hAnsi="Arial" w:cs="Arial"/>
              </w:rPr>
              <w:t>Flujo de fase móvil</w:t>
            </w:r>
          </w:p>
        </w:tc>
      </w:tr>
      <w:tr w:rsidR="00453CAA">
        <w:tc>
          <w:tcPr>
            <w:tcW w:w="4414" w:type="dxa"/>
            <w:vMerge w:val="restart"/>
          </w:tcPr>
          <w:p w:rsidR="00453CAA" w:rsidRDefault="00767C83">
            <w:pPr>
              <w:spacing w:after="0" w:line="240" w:lineRule="auto"/>
              <w:ind w:right="-75" w:hanging="2"/>
              <w:jc w:val="center"/>
              <w:rPr>
                <w:rFonts w:ascii="Arial" w:eastAsia="Arial" w:hAnsi="Arial" w:cs="Arial"/>
                <w:b/>
                <w:bCs/>
              </w:rPr>
            </w:pPr>
            <w:r>
              <w:rPr>
                <w:rFonts w:ascii="Arial" w:eastAsia="Arial" w:hAnsi="Arial" w:cs="Arial"/>
              </w:rPr>
              <w:t>Cromatografía de gases</w:t>
            </w:r>
          </w:p>
        </w:tc>
        <w:tc>
          <w:tcPr>
            <w:tcW w:w="4414" w:type="dxa"/>
          </w:tcPr>
          <w:p w:rsidR="00453CAA" w:rsidRDefault="00767C83">
            <w:pPr>
              <w:spacing w:after="0" w:line="240" w:lineRule="auto"/>
              <w:ind w:right="-75" w:hanging="2"/>
              <w:jc w:val="center"/>
              <w:rPr>
                <w:rFonts w:ascii="Arial" w:eastAsia="Arial" w:hAnsi="Arial" w:cs="Arial"/>
                <w:b/>
                <w:bCs/>
              </w:rPr>
            </w:pPr>
            <w:r>
              <w:rPr>
                <w:rFonts w:ascii="Arial" w:eastAsia="Arial" w:hAnsi="Arial" w:cs="Arial"/>
              </w:rPr>
              <w:t>Diferentes lotes o fabricantes de columnas</w:t>
            </w:r>
          </w:p>
        </w:tc>
      </w:tr>
      <w:tr w:rsidR="00453CAA">
        <w:tc>
          <w:tcPr>
            <w:tcW w:w="4414" w:type="dxa"/>
            <w:vMerge/>
          </w:tcPr>
          <w:p w:rsidR="00453CAA" w:rsidRDefault="00453CAA">
            <w:pPr>
              <w:widowControl w:val="0"/>
              <w:pBdr>
                <w:top w:val="nil"/>
                <w:left w:val="nil"/>
                <w:bottom w:val="nil"/>
                <w:right w:val="nil"/>
                <w:between w:val="nil"/>
              </w:pBdr>
              <w:spacing w:after="0" w:line="276" w:lineRule="auto"/>
              <w:ind w:firstLine="0"/>
              <w:rPr>
                <w:rFonts w:ascii="Arial" w:eastAsia="Arial" w:hAnsi="Arial" w:cs="Arial"/>
                <w:b/>
                <w:bCs/>
              </w:rPr>
            </w:pPr>
          </w:p>
        </w:tc>
        <w:tc>
          <w:tcPr>
            <w:tcW w:w="4414" w:type="dxa"/>
          </w:tcPr>
          <w:p w:rsidR="00453CAA" w:rsidRDefault="00767C83">
            <w:pPr>
              <w:spacing w:after="0" w:line="240" w:lineRule="auto"/>
              <w:ind w:right="-75" w:hanging="2"/>
              <w:rPr>
                <w:rFonts w:ascii="Arial" w:eastAsia="Arial" w:hAnsi="Arial" w:cs="Arial"/>
                <w:b/>
                <w:bCs/>
              </w:rPr>
            </w:pPr>
            <w:r>
              <w:rPr>
                <w:rFonts w:ascii="Arial" w:eastAsia="Arial" w:hAnsi="Arial" w:cs="Arial"/>
              </w:rPr>
              <w:t>Temperatura</w:t>
            </w:r>
          </w:p>
        </w:tc>
      </w:tr>
      <w:tr w:rsidR="00453CAA">
        <w:tc>
          <w:tcPr>
            <w:tcW w:w="4414" w:type="dxa"/>
            <w:vMerge/>
          </w:tcPr>
          <w:p w:rsidR="00453CAA" w:rsidRDefault="00453CAA">
            <w:pPr>
              <w:widowControl w:val="0"/>
              <w:pBdr>
                <w:top w:val="nil"/>
                <w:left w:val="nil"/>
                <w:bottom w:val="nil"/>
                <w:right w:val="nil"/>
                <w:between w:val="nil"/>
              </w:pBdr>
              <w:spacing w:after="0" w:line="276" w:lineRule="auto"/>
              <w:ind w:firstLine="0"/>
              <w:rPr>
                <w:rFonts w:ascii="Arial" w:eastAsia="Arial" w:hAnsi="Arial" w:cs="Arial"/>
                <w:b/>
                <w:bCs/>
              </w:rPr>
            </w:pPr>
          </w:p>
        </w:tc>
        <w:tc>
          <w:tcPr>
            <w:tcW w:w="4414" w:type="dxa"/>
          </w:tcPr>
          <w:p w:rsidR="00453CAA" w:rsidRDefault="00767C83">
            <w:pPr>
              <w:spacing w:after="0" w:line="240" w:lineRule="auto"/>
              <w:ind w:right="-75" w:hanging="2"/>
              <w:rPr>
                <w:rFonts w:ascii="Arial" w:eastAsia="Arial" w:hAnsi="Arial" w:cs="Arial"/>
              </w:rPr>
            </w:pPr>
            <w:r>
              <w:rPr>
                <w:rFonts w:ascii="Arial" w:eastAsia="Arial" w:hAnsi="Arial" w:cs="Arial"/>
              </w:rPr>
              <w:t>Velocidad del gas de arrastre</w:t>
            </w:r>
          </w:p>
        </w:tc>
      </w:tr>
      <w:tr w:rsidR="00453CAA">
        <w:tc>
          <w:tcPr>
            <w:tcW w:w="4414" w:type="dxa"/>
          </w:tcPr>
          <w:p w:rsidR="00453CAA" w:rsidRDefault="00767C83">
            <w:pPr>
              <w:spacing w:after="0" w:line="240" w:lineRule="auto"/>
              <w:ind w:right="-75" w:hanging="2"/>
              <w:jc w:val="center"/>
              <w:rPr>
                <w:rFonts w:ascii="Arial" w:eastAsia="Arial" w:hAnsi="Arial" w:cs="Arial"/>
              </w:rPr>
            </w:pPr>
            <w:r>
              <w:rPr>
                <w:rFonts w:ascii="Arial" w:eastAsia="Arial" w:hAnsi="Arial" w:cs="Arial"/>
              </w:rPr>
              <w:t>Otras técnicas analíticas</w:t>
            </w:r>
          </w:p>
        </w:tc>
        <w:tc>
          <w:tcPr>
            <w:tcW w:w="4414" w:type="dxa"/>
          </w:tcPr>
          <w:p w:rsidR="00453CAA" w:rsidRDefault="00767C83">
            <w:pPr>
              <w:spacing w:after="0" w:line="240" w:lineRule="auto"/>
              <w:ind w:right="-75" w:hanging="2"/>
              <w:rPr>
                <w:rFonts w:ascii="Arial" w:eastAsia="Arial" w:hAnsi="Arial" w:cs="Arial"/>
              </w:rPr>
            </w:pPr>
            <w:r>
              <w:rPr>
                <w:rFonts w:ascii="Arial" w:eastAsia="Arial" w:hAnsi="Arial" w:cs="Arial"/>
              </w:rPr>
              <w:t>Las variantes que se vayan a probar deben</w:t>
            </w:r>
          </w:p>
          <w:p w:rsidR="00453CAA" w:rsidRDefault="00767C83">
            <w:pPr>
              <w:spacing w:after="0" w:line="240" w:lineRule="auto"/>
              <w:ind w:right="-75" w:hanging="2"/>
              <w:rPr>
                <w:rFonts w:ascii="Arial" w:eastAsia="Arial" w:hAnsi="Arial" w:cs="Arial"/>
              </w:rPr>
            </w:pPr>
            <w:r>
              <w:rPr>
                <w:rFonts w:ascii="Arial" w:eastAsia="Arial" w:hAnsi="Arial" w:cs="Arial"/>
              </w:rPr>
              <w:t>evaluarse de forma crítica y sus resultados</w:t>
            </w:r>
          </w:p>
          <w:p w:rsidR="00453CAA" w:rsidRDefault="00767C83">
            <w:pPr>
              <w:spacing w:after="0" w:line="240" w:lineRule="auto"/>
              <w:ind w:right="-75" w:hanging="2"/>
              <w:rPr>
                <w:rFonts w:ascii="Arial" w:eastAsia="Arial" w:hAnsi="Arial" w:cs="Arial"/>
                <w:b/>
                <w:bCs/>
              </w:rPr>
            </w:pPr>
            <w:r>
              <w:rPr>
                <w:rFonts w:ascii="Arial" w:eastAsia="Arial" w:hAnsi="Arial" w:cs="Arial"/>
              </w:rPr>
              <w:t>deben presentarse.</w:t>
            </w:r>
          </w:p>
        </w:tc>
      </w:tr>
    </w:tbl>
    <w:p w:rsidR="00453CAA" w:rsidRDefault="00453CAA">
      <w:pPr>
        <w:spacing w:after="0" w:line="240" w:lineRule="auto"/>
        <w:ind w:right="-75"/>
        <w:rPr>
          <w:rFonts w:ascii="Arial" w:eastAsia="Arial" w:hAnsi="Arial" w:cs="Arial"/>
          <w:b/>
          <w:bCs/>
        </w:rPr>
      </w:pPr>
    </w:p>
    <w:p w:rsidR="00453CAA" w:rsidRDefault="00453CAA">
      <w:pPr>
        <w:spacing w:after="0" w:line="240" w:lineRule="auto"/>
        <w:ind w:right="-75"/>
        <w:jc w:val="center"/>
        <w:rPr>
          <w:rFonts w:ascii="Arial" w:eastAsia="Arial" w:hAnsi="Arial" w:cs="Arial"/>
          <w:b/>
          <w:bCs/>
        </w:rPr>
      </w:pPr>
    </w:p>
    <w:p w:rsidR="00453CAA" w:rsidRDefault="005B49AE" w:rsidP="000241FF">
      <w:pPr>
        <w:pBdr>
          <w:top w:val="nil"/>
          <w:left w:val="nil"/>
          <w:bottom w:val="nil"/>
          <w:right w:val="nil"/>
          <w:between w:val="nil"/>
        </w:pBdr>
        <w:spacing w:line="240" w:lineRule="auto"/>
        <w:ind w:right="-75"/>
        <w:jc w:val="both"/>
        <w:rPr>
          <w:rFonts w:ascii="Arial" w:eastAsia="Arial" w:hAnsi="Arial" w:cs="Arial"/>
          <w:color w:val="000000"/>
        </w:rPr>
      </w:pPr>
      <w:r>
        <w:rPr>
          <w:rFonts w:ascii="Arial" w:eastAsia="Arial" w:hAnsi="Arial" w:cs="Arial"/>
          <w:b/>
          <w:bCs/>
        </w:rPr>
        <w:t xml:space="preserve"> </w:t>
      </w:r>
    </w:p>
    <w:sectPr w:rsidR="00453CAA">
      <w:headerReference w:type="default" r:id="rId8"/>
      <w:footerReference w:type="default" r:id="rId9"/>
      <w:pgSz w:w="12240" w:h="1872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59BA" w:rsidRDefault="00E659BA">
      <w:pPr>
        <w:spacing w:after="0" w:line="240" w:lineRule="auto"/>
      </w:pPr>
      <w:r>
        <w:separator/>
      </w:r>
    </w:p>
  </w:endnote>
  <w:endnote w:type="continuationSeparator" w:id="0">
    <w:p w:rsidR="00E659BA" w:rsidRDefault="00E65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8653B74-6662-41FB-9F4E-ED83E82A3FDE}"/>
    <w:embedBold r:id="rId2" w:fontKey="{911E4B12-24EF-4EBE-AEB6-FA3CDB9BFFD9}"/>
  </w:font>
  <w:font w:name="Segoe UI">
    <w:panose1 w:val="020B0502040204020203"/>
    <w:charset w:val="00"/>
    <w:family w:val="swiss"/>
    <w:pitch w:val="variable"/>
    <w:sig w:usb0="E4002EFF" w:usb1="C000E47F" w:usb2="00000009" w:usb3="00000000" w:csb0="000001FF" w:csb1="00000000"/>
    <w:embedRegular r:id="rId3" w:fontKey="{39784FE9-3A10-4C3A-BBA7-F004D140BEA4}"/>
  </w:font>
  <w:font w:name="Georgia">
    <w:panose1 w:val="02040502050405020303"/>
    <w:charset w:val="00"/>
    <w:family w:val="roman"/>
    <w:pitch w:val="variable"/>
    <w:sig w:usb0="00000287" w:usb1="00000000" w:usb2="00000000" w:usb3="00000000" w:csb0="0000009F" w:csb1="00000000"/>
    <w:embedItalic r:id="rId4" w:fontKey="{ED3ACE60-2163-4CDD-A30C-34E0C4113774}"/>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2FFB2851-318D-41CC-A9E8-5A1B2FAAF75A}"/>
    <w:embedBold r:id="rId6" w:fontKey="{55DEE3E0-0487-450F-8EDB-4AA92B44678D}"/>
  </w:font>
  <w:font w:name="Calibri Light">
    <w:panose1 w:val="020F0302020204030204"/>
    <w:charset w:val="00"/>
    <w:family w:val="swiss"/>
    <w:pitch w:val="variable"/>
    <w:sig w:usb0="E4002EFF" w:usb1="C000247B" w:usb2="00000009" w:usb3="00000000" w:csb0="000001FF" w:csb1="00000000"/>
    <w:embedRegular r:id="rId7" w:fontKey="{E9A84BB9-5543-45B9-BE38-1DCA005469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CAA" w:rsidRDefault="00453CAA">
    <w:pPr>
      <w:tabs>
        <w:tab w:val="center" w:pos="-5"/>
        <w:tab w:val="right" w:pos="8919"/>
      </w:tabs>
      <w:spacing w:after="0" w:line="240" w:lineRule="auto"/>
      <w:ind w:right="-79"/>
      <w:jc w:val="both"/>
      <w:rPr>
        <w:rFonts w:ascii="Arial" w:eastAsia="Arial" w:hAnsi="Arial" w:cs="Arial"/>
        <w:b/>
        <w:bCs/>
        <w:sz w:val="14"/>
        <w:szCs w:val="14"/>
      </w:rPr>
    </w:pPr>
  </w:p>
  <w:p w:rsidR="00453CAA" w:rsidRDefault="00453CAA">
    <w:pPr>
      <w:tabs>
        <w:tab w:val="center" w:pos="-5"/>
        <w:tab w:val="right" w:pos="8919"/>
      </w:tabs>
      <w:spacing w:after="0" w:line="240" w:lineRule="auto"/>
      <w:ind w:right="-79"/>
      <w:jc w:val="both"/>
      <w:rPr>
        <w:rFonts w:ascii="Arial" w:eastAsia="Arial" w:hAnsi="Arial" w:cs="Arial"/>
        <w:b/>
        <w:bCs/>
        <w:sz w:val="14"/>
        <w:szCs w:val="14"/>
      </w:rPr>
    </w:pPr>
  </w:p>
  <w:p w:rsidR="00453CAA" w:rsidRDefault="00453CAA">
    <w:pPr>
      <w:tabs>
        <w:tab w:val="center" w:pos="-5"/>
        <w:tab w:val="right" w:pos="8919"/>
      </w:tabs>
      <w:spacing w:after="0" w:line="240" w:lineRule="auto"/>
      <w:ind w:right="-79"/>
      <w:jc w:val="both"/>
      <w:rPr>
        <w:rFonts w:ascii="Arial" w:eastAsia="Arial" w:hAnsi="Arial" w:cs="Arial"/>
        <w:b/>
        <w:bCs/>
        <w:sz w:val="14"/>
        <w:szCs w:val="14"/>
      </w:rPr>
    </w:pPr>
  </w:p>
  <w:p w:rsidR="00453CAA" w:rsidRDefault="00453CAA">
    <w:pPr>
      <w:tabs>
        <w:tab w:val="center" w:pos="-5"/>
        <w:tab w:val="right" w:pos="8919"/>
      </w:tabs>
      <w:spacing w:after="0" w:line="240" w:lineRule="auto"/>
      <w:ind w:right="-79"/>
      <w:jc w:val="both"/>
      <w:rPr>
        <w:rFonts w:ascii="Arial" w:eastAsia="Arial" w:hAnsi="Arial" w:cs="Arial"/>
        <w:b/>
        <w:bCs/>
        <w:sz w:val="14"/>
        <w:szCs w:val="14"/>
      </w:rPr>
    </w:pPr>
  </w:p>
  <w:p w:rsidR="00453CAA" w:rsidRDefault="00453CAA">
    <w:pPr>
      <w:tabs>
        <w:tab w:val="center" w:pos="-5"/>
        <w:tab w:val="right" w:pos="8919"/>
      </w:tabs>
      <w:spacing w:after="0" w:line="240" w:lineRule="auto"/>
      <w:ind w:right="-75"/>
      <w:jc w:val="both"/>
      <w:rPr>
        <w:rFonts w:ascii="Arial" w:eastAsia="Arial" w:hAnsi="Arial" w:cs="Arial"/>
        <w:b/>
        <w:bCs/>
        <w:sz w:val="14"/>
        <w:szCs w:val="14"/>
      </w:rPr>
    </w:pPr>
  </w:p>
  <w:p w:rsidR="00453CAA" w:rsidRDefault="00767C83">
    <w:pPr>
      <w:tabs>
        <w:tab w:val="center" w:pos="-5"/>
        <w:tab w:val="right" w:pos="8919"/>
      </w:tabs>
      <w:spacing w:after="0" w:line="240" w:lineRule="auto"/>
      <w:ind w:right="-75"/>
      <w:jc w:val="both"/>
      <w:rPr>
        <w:rFonts w:ascii="Arial" w:eastAsia="Arial" w:hAnsi="Arial" w:cs="Arial"/>
        <w:sz w:val="14"/>
        <w:szCs w:val="14"/>
      </w:rPr>
    </w:pPr>
    <w:r>
      <w:rPr>
        <w:rFonts w:ascii="Arial" w:eastAsia="Arial" w:hAnsi="Arial" w:cs="Arial"/>
        <w:b/>
        <w:bCs/>
        <w:sz w:val="14"/>
        <w:szCs w:val="14"/>
      </w:rPr>
      <w:t>Misión</w:t>
    </w:r>
    <w:r>
      <w:rPr>
        <w:rFonts w:ascii="Arial" w:eastAsia="Arial" w:hAnsi="Arial" w:cs="Arial"/>
        <w:sz w:val="14"/>
        <w:szCs w:val="14"/>
      </w:rPr>
      <w:t>: Regular, vigilar y fiscalizar productos de aplicación en medicina y otros asignados por ley, para garantizar la calidad, seguridad y eficacia de los mismos en beneficio de las personas, respondiendo a los desafíos de la innovación y promoviendo el desarrollo, a través de acciones coordinadas e integradas, sostenidas en normas técnicas.</w:t>
    </w:r>
  </w:p>
  <w:p w:rsidR="00453CAA" w:rsidRDefault="00767C83">
    <w:pPr>
      <w:tabs>
        <w:tab w:val="center" w:pos="4252"/>
        <w:tab w:val="right" w:pos="8504"/>
      </w:tabs>
      <w:spacing w:after="0" w:line="240" w:lineRule="auto"/>
      <w:ind w:right="-75"/>
      <w:jc w:val="both"/>
      <w:rPr>
        <w:rFonts w:ascii="Arial" w:eastAsia="Arial" w:hAnsi="Arial" w:cs="Arial"/>
        <w:sz w:val="14"/>
        <w:szCs w:val="14"/>
      </w:rPr>
    </w:pPr>
    <w:r>
      <w:rPr>
        <w:rFonts w:ascii="Arial" w:eastAsia="Arial" w:hAnsi="Arial" w:cs="Arial"/>
        <w:b/>
        <w:bCs/>
        <w:sz w:val="14"/>
        <w:szCs w:val="14"/>
      </w:rPr>
      <w:t xml:space="preserve">Visión: </w:t>
    </w:r>
    <w:r>
      <w:rPr>
        <w:rFonts w:ascii="Arial" w:eastAsia="Arial" w:hAnsi="Arial" w:cs="Arial"/>
        <w:sz w:val="14"/>
        <w:szCs w:val="14"/>
      </w:rPr>
      <w:t>Ser una institución reguladora y fiscalizadora de Referencia Nacional e Internacional reconocida por su capacidad técnica, credibilidad y compromiso con la protección de la salud de la población y el desarrollo nacional.</w:t>
    </w:r>
  </w:p>
  <w:p w:rsidR="00453CAA" w:rsidRDefault="00767C83">
    <w:pPr>
      <w:tabs>
        <w:tab w:val="center" w:pos="4252"/>
        <w:tab w:val="right" w:pos="8504"/>
      </w:tabs>
      <w:spacing w:after="0" w:line="240" w:lineRule="auto"/>
      <w:ind w:right="-75"/>
      <w:jc w:val="both"/>
      <w:rPr>
        <w:rFonts w:ascii="Arial" w:eastAsia="Arial" w:hAnsi="Arial" w:cs="Arial"/>
        <w:sz w:val="14"/>
        <w:szCs w:val="14"/>
      </w:rPr>
    </w:pPr>
    <w:r>
      <w:rPr>
        <w:rFonts w:ascii="Arial" w:eastAsia="Arial" w:hAnsi="Arial" w:cs="Arial"/>
        <w:sz w:val="14"/>
        <w:szCs w:val="14"/>
      </w:rPr>
      <w:t xml:space="preserve"> </w:t>
    </w:r>
  </w:p>
  <w:p w:rsidR="00453CAA" w:rsidRDefault="00767C83">
    <w:pPr>
      <w:tabs>
        <w:tab w:val="center" w:pos="4252"/>
        <w:tab w:val="right" w:pos="8504"/>
      </w:tabs>
      <w:spacing w:after="0" w:line="240" w:lineRule="auto"/>
      <w:ind w:right="-75"/>
      <w:jc w:val="center"/>
      <w:rPr>
        <w:rFonts w:ascii="Arial" w:eastAsia="Arial" w:hAnsi="Arial" w:cs="Arial"/>
        <w:b/>
        <w:bCs/>
        <w:sz w:val="14"/>
        <w:szCs w:val="14"/>
      </w:rPr>
    </w:pPr>
    <w:r>
      <w:rPr>
        <w:rFonts w:ascii="Arial" w:eastAsia="Arial" w:hAnsi="Arial" w:cs="Arial"/>
        <w:b/>
        <w:bCs/>
        <w:sz w:val="14"/>
        <w:szCs w:val="14"/>
      </w:rPr>
      <w:t xml:space="preserve">Iturbe </w:t>
    </w:r>
    <w:proofErr w:type="spellStart"/>
    <w:r>
      <w:rPr>
        <w:rFonts w:ascii="Arial" w:eastAsia="Arial" w:hAnsi="Arial" w:cs="Arial"/>
        <w:b/>
        <w:bCs/>
        <w:sz w:val="14"/>
        <w:szCs w:val="14"/>
      </w:rPr>
      <w:t>Nº</w:t>
    </w:r>
    <w:proofErr w:type="spellEnd"/>
    <w:r>
      <w:rPr>
        <w:rFonts w:ascii="Arial" w:eastAsia="Arial" w:hAnsi="Arial" w:cs="Arial"/>
        <w:b/>
        <w:bCs/>
        <w:sz w:val="14"/>
        <w:szCs w:val="14"/>
      </w:rPr>
      <w:t xml:space="preserve"> 883 e/ Manuel Domínguez y Fulgencio R. Moreno</w:t>
    </w:r>
  </w:p>
  <w:p w:rsidR="00453CAA" w:rsidRDefault="00767C83">
    <w:pPr>
      <w:tabs>
        <w:tab w:val="center" w:pos="4252"/>
        <w:tab w:val="right" w:pos="8504"/>
      </w:tabs>
      <w:spacing w:after="0" w:line="240" w:lineRule="auto"/>
      <w:ind w:right="-75"/>
      <w:jc w:val="center"/>
      <w:rPr>
        <w:rFonts w:ascii="Arial" w:eastAsia="Arial" w:hAnsi="Arial" w:cs="Arial"/>
        <w:b/>
        <w:bCs/>
        <w:sz w:val="14"/>
        <w:szCs w:val="14"/>
      </w:rPr>
    </w:pPr>
    <w:r>
      <w:rPr>
        <w:rFonts w:ascii="Arial" w:eastAsia="Arial" w:hAnsi="Arial" w:cs="Arial"/>
        <w:b/>
        <w:bCs/>
        <w:sz w:val="14"/>
        <w:szCs w:val="14"/>
      </w:rPr>
      <w:t>Asunción, Paraguay</w:t>
    </w:r>
  </w:p>
  <w:p w:rsidR="00453CAA" w:rsidRDefault="00453CAA">
    <w:pPr>
      <w:tabs>
        <w:tab w:val="center" w:pos="4252"/>
        <w:tab w:val="right" w:pos="8504"/>
      </w:tabs>
      <w:spacing w:after="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59BA" w:rsidRDefault="00E659BA">
      <w:pPr>
        <w:spacing w:after="0" w:line="240" w:lineRule="auto"/>
      </w:pPr>
      <w:r>
        <w:separator/>
      </w:r>
    </w:p>
  </w:footnote>
  <w:footnote w:type="continuationSeparator" w:id="0">
    <w:p w:rsidR="00E659BA" w:rsidRDefault="00E65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CAA" w:rsidRDefault="00767C83">
    <w:pPr>
      <w:spacing w:after="0" w:line="240" w:lineRule="auto"/>
      <w:ind w:right="-79"/>
      <w:jc w:val="center"/>
      <w:rPr>
        <w:rFonts w:ascii="Times New Roman" w:eastAsia="Times New Roman" w:hAnsi="Times New Roman" w:cs="Times New Roman"/>
        <w:sz w:val="20"/>
        <w:szCs w:val="20"/>
      </w:rPr>
    </w:pPr>
    <w:r>
      <w:rPr>
        <w:rFonts w:ascii="Arial" w:eastAsia="Arial" w:hAnsi="Arial" w:cs="Arial"/>
        <w:i/>
        <w:iCs/>
        <w:color w:val="000000"/>
        <w:sz w:val="20"/>
        <w:szCs w:val="20"/>
      </w:rPr>
      <w:t>“Sesquicentenario de la Epopeya Nacional: 1864 – 1870”</w:t>
    </w:r>
  </w:p>
  <w:p w:rsidR="00453CAA" w:rsidRDefault="00767C83">
    <w:pPr>
      <w:spacing w:after="0" w:line="240" w:lineRule="auto"/>
      <w:jc w:val="center"/>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extent cx="600075" cy="533400"/>
          <wp:effectExtent l="0" t="0" r="0" b="0"/>
          <wp:docPr id="15" name="image1.png" descr="undefined"/>
          <wp:cNvGraphicFramePr/>
          <a:graphic xmlns:a="http://schemas.openxmlformats.org/drawingml/2006/main">
            <a:graphicData uri="http://schemas.openxmlformats.org/drawingml/2006/picture">
              <pic:pic xmlns:pic="http://schemas.openxmlformats.org/drawingml/2006/picture">
                <pic:nvPicPr>
                  <pic:cNvPr id="0" name="image1.png" descr="undefined"/>
                  <pic:cNvPicPr preferRelativeResize="0"/>
                </pic:nvPicPr>
                <pic:blipFill>
                  <a:blip r:embed="rId1"/>
                  <a:srcRect/>
                  <a:stretch>
                    <a:fillRect/>
                  </a:stretch>
                </pic:blipFill>
                <pic:spPr>
                  <a:xfrm>
                    <a:off x="0" y="0"/>
                    <a:ext cx="600075" cy="533400"/>
                  </a:xfrm>
                  <a:prstGeom prst="rect">
                    <a:avLst/>
                  </a:prstGeom>
                  <a:ln/>
                </pic:spPr>
              </pic:pic>
            </a:graphicData>
          </a:graphic>
        </wp:inline>
      </w:drawing>
    </w:r>
  </w:p>
  <w:p w:rsidR="00453CAA" w:rsidRDefault="00767C83">
    <w:pPr>
      <w:spacing w:after="0" w:line="240" w:lineRule="auto"/>
      <w:jc w:val="center"/>
      <w:rPr>
        <w:rFonts w:ascii="Times New Roman" w:eastAsia="Times New Roman" w:hAnsi="Times New Roman" w:cs="Times New Roman"/>
        <w:sz w:val="24"/>
        <w:szCs w:val="24"/>
      </w:rPr>
    </w:pPr>
    <w:r>
      <w:rPr>
        <w:rFonts w:ascii="Arial" w:eastAsia="Arial" w:hAnsi="Arial" w:cs="Arial"/>
        <w:b/>
        <w:bCs/>
        <w:i/>
        <w:iCs/>
        <w:color w:val="000000"/>
        <w:sz w:val="24"/>
        <w:szCs w:val="24"/>
      </w:rPr>
      <w:t>Poder Ejecutivo</w:t>
    </w:r>
  </w:p>
  <w:p w:rsidR="00453CAA" w:rsidRDefault="00767C83">
    <w:pPr>
      <w:spacing w:after="0" w:line="240" w:lineRule="auto"/>
      <w:jc w:val="center"/>
      <w:rPr>
        <w:rFonts w:ascii="Times New Roman" w:eastAsia="Times New Roman" w:hAnsi="Times New Roman" w:cs="Times New Roman"/>
        <w:sz w:val="24"/>
        <w:szCs w:val="24"/>
      </w:rPr>
    </w:pPr>
    <w:r>
      <w:rPr>
        <w:rFonts w:ascii="Arial" w:eastAsia="Arial" w:hAnsi="Arial" w:cs="Arial"/>
        <w:b/>
        <w:bCs/>
        <w:i/>
        <w:iCs/>
        <w:color w:val="000000"/>
        <w:sz w:val="24"/>
        <w:szCs w:val="24"/>
      </w:rPr>
      <w:t>Dirección Nacional de Vigilancia Sanitaria</w:t>
    </w:r>
  </w:p>
  <w:p w:rsidR="00453CAA" w:rsidRDefault="00453CAA">
    <w:pPr>
      <w:spacing w:after="0" w:line="240" w:lineRule="auto"/>
      <w:rPr>
        <w:rFonts w:ascii="Times New Roman" w:eastAsia="Times New Roman" w:hAnsi="Times New Roman" w:cs="Times New Roman"/>
        <w:sz w:val="24"/>
        <w:szCs w:val="24"/>
      </w:rPr>
    </w:pPr>
  </w:p>
  <w:p w:rsidR="00453CAA" w:rsidRDefault="00767C83">
    <w:pPr>
      <w:spacing w:after="0" w:line="240" w:lineRule="auto"/>
      <w:jc w:val="center"/>
      <w:rPr>
        <w:rFonts w:ascii="Arial" w:eastAsia="Arial" w:hAnsi="Arial" w:cs="Arial"/>
        <w:b/>
        <w:bCs/>
        <w:i/>
        <w:iCs/>
      </w:rPr>
    </w:pPr>
    <w:r>
      <w:rPr>
        <w:rFonts w:ascii="Arial" w:eastAsia="Arial" w:hAnsi="Arial" w:cs="Arial"/>
        <w:b/>
        <w:bCs/>
        <w:i/>
        <w:iCs/>
      </w:rPr>
      <w:t>Resolución DINAVISA N.º</w:t>
    </w:r>
    <w:r>
      <w:rPr>
        <w:rFonts w:ascii="Arial" w:eastAsia="Arial" w:hAnsi="Arial" w:cs="Arial"/>
        <w:b/>
        <w:bCs/>
        <w:i/>
        <w:iCs/>
      </w:rPr>
      <w:tab/>
    </w:r>
    <w:r>
      <w:rPr>
        <w:rFonts w:ascii="Arial" w:eastAsia="Arial" w:hAnsi="Arial" w:cs="Arial"/>
        <w:b/>
        <w:bCs/>
        <w:i/>
        <w:iCs/>
      </w:rPr>
      <w:tab/>
      <w:t>/2026</w:t>
    </w:r>
  </w:p>
  <w:p w:rsidR="00453CAA" w:rsidRDefault="00453CAA">
    <w:pPr>
      <w:spacing w:after="0" w:line="240" w:lineRule="auto"/>
      <w:jc w:val="center"/>
      <w:rPr>
        <w:rFonts w:ascii="Arial" w:eastAsia="Arial" w:hAnsi="Arial" w:cs="Arial"/>
        <w:b/>
        <w:bCs/>
        <w:i/>
        <w:iCs/>
        <w:sz w:val="24"/>
        <w:szCs w:val="24"/>
      </w:rPr>
    </w:pPr>
  </w:p>
  <w:p w:rsidR="00453CAA" w:rsidRDefault="00767C83">
    <w:pPr>
      <w:widowControl w:val="0"/>
      <w:pBdr>
        <w:top w:val="nil"/>
        <w:left w:val="nil"/>
        <w:bottom w:val="nil"/>
        <w:right w:val="nil"/>
        <w:between w:val="nil"/>
      </w:pBdr>
      <w:spacing w:after="0" w:line="240" w:lineRule="auto"/>
      <w:ind w:right="-79"/>
      <w:jc w:val="both"/>
      <w:rPr>
        <w:rFonts w:ascii="Arial" w:eastAsia="Arial" w:hAnsi="Arial" w:cs="Arial"/>
      </w:rPr>
    </w:pPr>
    <w:r>
      <w:rPr>
        <w:rFonts w:ascii="Arial" w:eastAsia="Arial" w:hAnsi="Arial" w:cs="Arial"/>
        <w:b/>
        <w:bCs/>
      </w:rPr>
      <w:t xml:space="preserve">POR LA CUAL SE REGLAMENTA LA VALIDACIÓN DE METODOLOGÍAS ANALÍTICAS A SER APLICADAS EN LAS PRUEBAS DE LABORATORIOS DE CONTROL DE CALIDAD DE MEDICAMENTOS  </w:t>
    </w:r>
    <w:r>
      <w:rPr>
        <w:rFonts w:ascii="Arial" w:eastAsia="Arial" w:hAnsi="Arial" w:cs="Arial"/>
      </w:rPr>
      <w:t xml:space="preserve">                                                                              </w:t>
    </w:r>
  </w:p>
  <w:p w:rsidR="00453CAA" w:rsidRDefault="00767C83">
    <w:pPr>
      <w:widowControl w:val="0"/>
      <w:pBdr>
        <w:top w:val="nil"/>
        <w:left w:val="nil"/>
        <w:bottom w:val="nil"/>
        <w:right w:val="nil"/>
        <w:between w:val="nil"/>
      </w:pBdr>
      <w:spacing w:before="355"/>
      <w:ind w:right="-79"/>
      <w:jc w:val="right"/>
      <w:rPr>
        <w:rFonts w:ascii="Arial" w:eastAsia="Arial" w:hAnsi="Arial" w:cs="Arial"/>
      </w:rPr>
    </w:pPr>
    <w:r>
      <w:rPr>
        <w:rFonts w:ascii="Arial" w:eastAsia="Arial" w:hAnsi="Arial" w:cs="Arial"/>
      </w:rPr>
      <w:t xml:space="preserve">       Asunción,</w:t>
    </w:r>
    <w:r>
      <w:rPr>
        <w:rFonts w:ascii="Arial" w:eastAsia="Arial" w:hAnsi="Arial" w:cs="Arial"/>
      </w:rPr>
      <w:tab/>
      <w:t xml:space="preserve">       </w:t>
    </w:r>
    <w:proofErr w:type="gramStart"/>
    <w:r>
      <w:rPr>
        <w:rFonts w:ascii="Arial" w:eastAsia="Arial" w:hAnsi="Arial" w:cs="Arial"/>
      </w:rPr>
      <w:t xml:space="preserve">  ,</w:t>
    </w:r>
    <w:proofErr w:type="gramEnd"/>
    <w:r>
      <w:rPr>
        <w:rFonts w:ascii="Arial" w:eastAsia="Arial" w:hAnsi="Arial" w:cs="Arial"/>
      </w:rPr>
      <w:t xml:space="preserve"> de XXXX de 2026. </w:t>
    </w:r>
  </w:p>
  <w:p w:rsidR="00453CAA" w:rsidRDefault="00453CAA">
    <w:pPr>
      <w:widowControl w:val="0"/>
      <w:pBdr>
        <w:top w:val="nil"/>
        <w:left w:val="nil"/>
        <w:bottom w:val="nil"/>
        <w:right w:val="nil"/>
        <w:between w:val="nil"/>
      </w:pBdr>
      <w:spacing w:after="0" w:line="240" w:lineRule="auto"/>
      <w:ind w:right="-79"/>
      <w:jc w:val="right"/>
      <w:rPr>
        <w:rFonts w:ascii="Arial" w:eastAsia="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22B30"/>
    <w:multiLevelType w:val="multilevel"/>
    <w:tmpl w:val="2EC0F45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D6300D"/>
    <w:multiLevelType w:val="multilevel"/>
    <w:tmpl w:val="3586A654"/>
    <w:lvl w:ilvl="0">
      <w:start w:val="1"/>
      <w:numFmt w:val="upperRoman"/>
      <w:lvlText w:val="%1."/>
      <w:lvlJc w:val="left"/>
      <w:pPr>
        <w:ind w:left="437" w:hanging="720"/>
      </w:pPr>
    </w:lvl>
    <w:lvl w:ilvl="1">
      <w:start w:val="1"/>
      <w:numFmt w:val="lowerLetter"/>
      <w:lvlText w:val="%2."/>
      <w:lvlJc w:val="left"/>
      <w:pPr>
        <w:ind w:left="797" w:hanging="360"/>
      </w:pPr>
    </w:lvl>
    <w:lvl w:ilvl="2">
      <w:start w:val="1"/>
      <w:numFmt w:val="lowerRoman"/>
      <w:lvlText w:val="%3."/>
      <w:lvlJc w:val="right"/>
      <w:pPr>
        <w:ind w:left="1517" w:hanging="180"/>
      </w:pPr>
    </w:lvl>
    <w:lvl w:ilvl="3">
      <w:start w:val="1"/>
      <w:numFmt w:val="decimal"/>
      <w:lvlText w:val="%4."/>
      <w:lvlJc w:val="left"/>
      <w:pPr>
        <w:ind w:left="2237" w:hanging="360"/>
      </w:pPr>
    </w:lvl>
    <w:lvl w:ilvl="4">
      <w:start w:val="1"/>
      <w:numFmt w:val="lowerLetter"/>
      <w:lvlText w:val="%5."/>
      <w:lvlJc w:val="left"/>
      <w:pPr>
        <w:ind w:left="2957" w:hanging="360"/>
      </w:pPr>
    </w:lvl>
    <w:lvl w:ilvl="5">
      <w:start w:val="1"/>
      <w:numFmt w:val="lowerRoman"/>
      <w:lvlText w:val="%6."/>
      <w:lvlJc w:val="right"/>
      <w:pPr>
        <w:ind w:left="3677" w:hanging="180"/>
      </w:pPr>
    </w:lvl>
    <w:lvl w:ilvl="6">
      <w:start w:val="1"/>
      <w:numFmt w:val="decimal"/>
      <w:lvlText w:val="%7."/>
      <w:lvlJc w:val="left"/>
      <w:pPr>
        <w:ind w:left="4397" w:hanging="360"/>
      </w:pPr>
    </w:lvl>
    <w:lvl w:ilvl="7">
      <w:start w:val="1"/>
      <w:numFmt w:val="lowerLetter"/>
      <w:lvlText w:val="%8."/>
      <w:lvlJc w:val="left"/>
      <w:pPr>
        <w:ind w:left="5117" w:hanging="360"/>
      </w:pPr>
    </w:lvl>
    <w:lvl w:ilvl="8">
      <w:start w:val="1"/>
      <w:numFmt w:val="lowerRoman"/>
      <w:lvlText w:val="%9."/>
      <w:lvlJc w:val="right"/>
      <w:pPr>
        <w:ind w:left="5837" w:hanging="180"/>
      </w:pPr>
    </w:lvl>
  </w:abstractNum>
  <w:abstractNum w:abstractNumId="2" w15:restartNumberingAfterBreak="0">
    <w:nsid w:val="329B280F"/>
    <w:multiLevelType w:val="multilevel"/>
    <w:tmpl w:val="016CD43C"/>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 w15:restartNumberingAfterBreak="0">
    <w:nsid w:val="34CB03E5"/>
    <w:multiLevelType w:val="multilevel"/>
    <w:tmpl w:val="2CB0CA4E"/>
    <w:lvl w:ilvl="0">
      <w:start w:val="1"/>
      <w:numFmt w:val="lowerLetter"/>
      <w:lvlText w:val="%1)"/>
      <w:lvlJc w:val="left"/>
      <w:pPr>
        <w:ind w:left="1785" w:hanging="360"/>
      </w:pPr>
      <w:rPr>
        <w:b w:val="0"/>
        <w:bCs w:val="0"/>
      </w:r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4" w15:restartNumberingAfterBreak="0">
    <w:nsid w:val="389B5E44"/>
    <w:multiLevelType w:val="multilevel"/>
    <w:tmpl w:val="600893D2"/>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5" w15:restartNumberingAfterBreak="0">
    <w:nsid w:val="408D20E9"/>
    <w:multiLevelType w:val="multilevel"/>
    <w:tmpl w:val="96DC068C"/>
    <w:lvl w:ilvl="0">
      <w:start w:val="1"/>
      <w:numFmt w:val="upperRoman"/>
      <w:lvlText w:val="%1."/>
      <w:lvlJc w:val="left"/>
      <w:pPr>
        <w:ind w:left="2138" w:hanging="72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 w15:restartNumberingAfterBreak="0">
    <w:nsid w:val="423F37F6"/>
    <w:multiLevelType w:val="multilevel"/>
    <w:tmpl w:val="19C84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5E5A6C"/>
    <w:multiLevelType w:val="multilevel"/>
    <w:tmpl w:val="746A78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310D9D"/>
    <w:multiLevelType w:val="multilevel"/>
    <w:tmpl w:val="E0D6F624"/>
    <w:lvl w:ilvl="0">
      <w:start w:val="1"/>
      <w:numFmt w:val="upperRoman"/>
      <w:lvlText w:val="%1."/>
      <w:lvlJc w:val="left"/>
      <w:pPr>
        <w:ind w:left="437" w:hanging="720"/>
      </w:pPr>
    </w:lvl>
    <w:lvl w:ilvl="1">
      <w:start w:val="1"/>
      <w:numFmt w:val="lowerLetter"/>
      <w:lvlText w:val="%2."/>
      <w:lvlJc w:val="left"/>
      <w:pPr>
        <w:ind w:left="797" w:hanging="360"/>
      </w:pPr>
    </w:lvl>
    <w:lvl w:ilvl="2">
      <w:start w:val="1"/>
      <w:numFmt w:val="lowerRoman"/>
      <w:lvlText w:val="%3."/>
      <w:lvlJc w:val="right"/>
      <w:pPr>
        <w:ind w:left="1517" w:hanging="180"/>
      </w:pPr>
    </w:lvl>
    <w:lvl w:ilvl="3">
      <w:start w:val="1"/>
      <w:numFmt w:val="decimal"/>
      <w:lvlText w:val="%4."/>
      <w:lvlJc w:val="left"/>
      <w:pPr>
        <w:ind w:left="2237" w:hanging="360"/>
      </w:pPr>
    </w:lvl>
    <w:lvl w:ilvl="4">
      <w:start w:val="1"/>
      <w:numFmt w:val="lowerLetter"/>
      <w:lvlText w:val="%5."/>
      <w:lvlJc w:val="left"/>
      <w:pPr>
        <w:ind w:left="2957" w:hanging="360"/>
      </w:pPr>
    </w:lvl>
    <w:lvl w:ilvl="5">
      <w:start w:val="1"/>
      <w:numFmt w:val="lowerRoman"/>
      <w:lvlText w:val="%6."/>
      <w:lvlJc w:val="right"/>
      <w:pPr>
        <w:ind w:left="3677" w:hanging="180"/>
      </w:pPr>
    </w:lvl>
    <w:lvl w:ilvl="6">
      <w:start w:val="1"/>
      <w:numFmt w:val="decimal"/>
      <w:lvlText w:val="%7."/>
      <w:lvlJc w:val="left"/>
      <w:pPr>
        <w:ind w:left="4397" w:hanging="360"/>
      </w:pPr>
    </w:lvl>
    <w:lvl w:ilvl="7">
      <w:start w:val="1"/>
      <w:numFmt w:val="lowerLetter"/>
      <w:lvlText w:val="%8."/>
      <w:lvlJc w:val="left"/>
      <w:pPr>
        <w:ind w:left="5117" w:hanging="360"/>
      </w:pPr>
    </w:lvl>
    <w:lvl w:ilvl="8">
      <w:start w:val="1"/>
      <w:numFmt w:val="lowerRoman"/>
      <w:lvlText w:val="%9."/>
      <w:lvlJc w:val="right"/>
      <w:pPr>
        <w:ind w:left="5837" w:hanging="180"/>
      </w:pPr>
    </w:lvl>
  </w:abstractNum>
  <w:abstractNum w:abstractNumId="9" w15:restartNumberingAfterBreak="0">
    <w:nsid w:val="59CB136C"/>
    <w:multiLevelType w:val="multilevel"/>
    <w:tmpl w:val="71B21DBE"/>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0" w15:restartNumberingAfterBreak="0">
    <w:nsid w:val="70D44C3E"/>
    <w:multiLevelType w:val="multilevel"/>
    <w:tmpl w:val="524A46EE"/>
    <w:lvl w:ilvl="0">
      <w:start w:val="1"/>
      <w:numFmt w:val="upperRoman"/>
      <w:lvlText w:val="%1."/>
      <w:lvlJc w:val="left"/>
      <w:pPr>
        <w:ind w:left="862" w:hanging="72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 w15:restartNumberingAfterBreak="0">
    <w:nsid w:val="78F06246"/>
    <w:multiLevelType w:val="multilevel"/>
    <w:tmpl w:val="CE62FC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7"/>
  </w:num>
  <w:num w:numId="3">
    <w:abstractNumId w:val="0"/>
  </w:num>
  <w:num w:numId="4">
    <w:abstractNumId w:val="11"/>
  </w:num>
  <w:num w:numId="5">
    <w:abstractNumId w:val="10"/>
  </w:num>
  <w:num w:numId="6">
    <w:abstractNumId w:val="4"/>
  </w:num>
  <w:num w:numId="7">
    <w:abstractNumId w:val="2"/>
  </w:num>
  <w:num w:numId="8">
    <w:abstractNumId w:val="9"/>
  </w:num>
  <w:num w:numId="9">
    <w:abstractNumId w:val="1"/>
  </w:num>
  <w:num w:numId="10">
    <w:abstractNumId w:val="3"/>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CAA"/>
    <w:rsid w:val="000241FF"/>
    <w:rsid w:val="001F2881"/>
    <w:rsid w:val="0027063B"/>
    <w:rsid w:val="00453CAA"/>
    <w:rsid w:val="004C242B"/>
    <w:rsid w:val="005B49AE"/>
    <w:rsid w:val="00767C83"/>
    <w:rsid w:val="00992B7E"/>
    <w:rsid w:val="009C3C04"/>
    <w:rsid w:val="00B33EA5"/>
    <w:rsid w:val="00CA5487"/>
    <w:rsid w:val="00E659BA"/>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D08803-0FDD-4A41-A777-00E043F3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PY" w:eastAsia="es-PY"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B4621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4621A"/>
    <w:rPr>
      <w:b/>
      <w:bCs/>
    </w:rPr>
  </w:style>
  <w:style w:type="paragraph" w:styleId="Encabezado">
    <w:name w:val="header"/>
    <w:basedOn w:val="Normal"/>
    <w:link w:val="EncabezadoCar"/>
    <w:uiPriority w:val="99"/>
    <w:unhideWhenUsed/>
    <w:rsid w:val="00D34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41AB"/>
  </w:style>
  <w:style w:type="paragraph" w:styleId="Piedepgina">
    <w:name w:val="footer"/>
    <w:basedOn w:val="Normal"/>
    <w:link w:val="PiedepginaCar"/>
    <w:uiPriority w:val="99"/>
    <w:unhideWhenUsed/>
    <w:rsid w:val="00D34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41AB"/>
  </w:style>
  <w:style w:type="table" w:styleId="Tablaconcuadrcula">
    <w:name w:val="Table Grid"/>
    <w:basedOn w:val="Tablanormal"/>
    <w:uiPriority w:val="39"/>
    <w:rsid w:val="004203DB"/>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C4344D"/>
    <w:pPr>
      <w:ind w:left="720"/>
      <w:contextualSpacing/>
    </w:pPr>
  </w:style>
  <w:style w:type="character" w:styleId="Refdecomentario">
    <w:name w:val="annotation reference"/>
    <w:basedOn w:val="Fuentedeprrafopredeter"/>
    <w:uiPriority w:val="99"/>
    <w:semiHidden/>
    <w:unhideWhenUsed/>
    <w:rsid w:val="00D60624"/>
    <w:rPr>
      <w:sz w:val="16"/>
      <w:szCs w:val="16"/>
    </w:rPr>
  </w:style>
  <w:style w:type="paragraph" w:styleId="Textocomentario">
    <w:name w:val="annotation text"/>
    <w:basedOn w:val="Normal"/>
    <w:link w:val="TextocomentarioCar"/>
    <w:uiPriority w:val="99"/>
    <w:semiHidden/>
    <w:unhideWhenUsed/>
    <w:rsid w:val="00D6062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0624"/>
    <w:rPr>
      <w:sz w:val="20"/>
      <w:szCs w:val="20"/>
    </w:rPr>
  </w:style>
  <w:style w:type="paragraph" w:styleId="Asuntodelcomentario">
    <w:name w:val="annotation subject"/>
    <w:basedOn w:val="Textocomentario"/>
    <w:next w:val="Textocomentario"/>
    <w:link w:val="AsuntodelcomentarioCar"/>
    <w:uiPriority w:val="99"/>
    <w:semiHidden/>
    <w:unhideWhenUsed/>
    <w:rsid w:val="00D60624"/>
    <w:rPr>
      <w:b/>
      <w:bCs/>
    </w:rPr>
  </w:style>
  <w:style w:type="character" w:customStyle="1" w:styleId="AsuntodelcomentarioCar">
    <w:name w:val="Asunto del comentario Car"/>
    <w:basedOn w:val="TextocomentarioCar"/>
    <w:link w:val="Asuntodelcomentario"/>
    <w:uiPriority w:val="99"/>
    <w:semiHidden/>
    <w:rsid w:val="00D60624"/>
    <w:rPr>
      <w:b/>
      <w:bCs/>
      <w:sz w:val="20"/>
      <w:szCs w:val="20"/>
    </w:rPr>
  </w:style>
  <w:style w:type="paragraph" w:styleId="Textodeglobo">
    <w:name w:val="Balloon Text"/>
    <w:basedOn w:val="Normal"/>
    <w:link w:val="TextodegloboCar"/>
    <w:uiPriority w:val="99"/>
    <w:semiHidden/>
    <w:unhideWhenUsed/>
    <w:rsid w:val="00D606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0624"/>
    <w:rPr>
      <w:rFonts w:ascii="Segoe UI" w:hAnsi="Segoe UI" w:cs="Segoe UI"/>
      <w:sz w:val="18"/>
      <w:szCs w:val="18"/>
    </w:rPr>
  </w:style>
  <w:style w:type="character" w:styleId="Textodelmarcadordeposicin">
    <w:name w:val="Placeholder Text"/>
    <w:basedOn w:val="Fuentedeprrafopredeter"/>
    <w:uiPriority w:val="99"/>
    <w:semiHidden/>
    <w:rsid w:val="00B46F98"/>
    <w:rPr>
      <w:rFonts w:cs="Times New Roman"/>
      <w:color w:val="808080"/>
    </w:rPr>
  </w:style>
  <w:style w:type="character" w:styleId="Hipervnculo">
    <w:name w:val="Hyperlink"/>
    <w:basedOn w:val="Fuentedeprrafopredeter"/>
    <w:uiPriority w:val="99"/>
    <w:unhideWhenUsed/>
    <w:rsid w:val="009F68BD"/>
    <w:rPr>
      <w:color w:val="0563C1" w:themeColor="hyperlink"/>
      <w:u w:val="single"/>
    </w:rPr>
  </w:style>
  <w:style w:type="character" w:styleId="Mencinsinresolver">
    <w:name w:val="Unresolved Mention"/>
    <w:basedOn w:val="Fuentedeprrafopredeter"/>
    <w:uiPriority w:val="99"/>
    <w:semiHidden/>
    <w:unhideWhenUsed/>
    <w:rsid w:val="009F68BD"/>
    <w:rPr>
      <w:color w:val="605E5C"/>
      <w:shd w:val="clear" w:color="auto" w:fill="E1DFDD"/>
    </w:rPr>
  </w:style>
  <w:style w:type="table" w:customStyle="1" w:styleId="a">
    <w:basedOn w:val="TableNormal1"/>
    <w:pPr>
      <w:ind w:hanging="1"/>
    </w:pPr>
    <w:tblPr>
      <w:tblStyleRowBandSize w:val="1"/>
      <w:tblStyleColBandSize w:val="1"/>
      <w:tblCellMar>
        <w:top w:w="0" w:type="dxa"/>
        <w:left w:w="108" w:type="dxa"/>
        <w:bottom w:w="0" w:type="dxa"/>
        <w:right w:w="108" w:type="dxa"/>
      </w:tblCellMar>
    </w:tblPr>
  </w:style>
  <w:style w:type="paragraph" w:styleId="Textoindependiente">
    <w:name w:val="Body Text"/>
    <w:basedOn w:val="Normal"/>
    <w:link w:val="TextoindependienteCar"/>
    <w:uiPriority w:val="99"/>
    <w:semiHidden/>
    <w:unhideWhenUsed/>
    <w:rsid w:val="0068280C"/>
    <w:pPr>
      <w:spacing w:after="120"/>
    </w:pPr>
  </w:style>
  <w:style w:type="character" w:customStyle="1" w:styleId="TextoindependienteCar">
    <w:name w:val="Texto independiente Car"/>
    <w:basedOn w:val="Fuentedeprrafopredeter"/>
    <w:link w:val="Textoindependiente"/>
    <w:uiPriority w:val="99"/>
    <w:semiHidden/>
    <w:rsid w:val="0068280C"/>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pPr>
      <w:ind w:hanging="1"/>
    </w:pPr>
    <w:tblPr>
      <w:tblStyleRowBandSize w:val="1"/>
      <w:tblStyleColBandSize w:val="1"/>
      <w:tblCellMar>
        <w:top w:w="0" w:type="dxa"/>
        <w:left w:w="108" w:type="dxa"/>
        <w:bottom w:w="0" w:type="dxa"/>
        <w:right w:w="108" w:type="dxa"/>
      </w:tblCellMar>
    </w:tblPr>
  </w:style>
  <w:style w:type="table" w:customStyle="1" w:styleId="a1">
    <w:basedOn w:val="TableNormal0"/>
    <w:pPr>
      <w:ind w:hanging="1"/>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4qGFcmDkX/LDLfBx7aRVyPyvTA==">CgMxLjAyDmguYXdhOXk4MzV3cW5zMg5oLjV0ZTBpcXg1dmd6MTIOaC5uY3Z3Ymc1bHN4bDcyDmguZXNzZXp3azUyaWtjMg5oLjQ1OTF2YmM0cXAxMDIOaC43eDMxazV1a3NyYjUyDmguM3czcnhram53Z3VoMg5oLnd5cmpheWJoNjhmcDIOaC53ZW14aDdka2xiMjEyDmgudjlnN25najJ0YW9wMg5oLnBhY2l6N2U3eWh2MDIOaC5qeW90MHF2YTB6aGIyDmguNTc0NTNjOHlqaTYyMg5oLjlqNXRqM2F2ZDVtdzgAaioKFHN1Z2dlc3QudnpkYm5paGNoeGV1EhJHdWlkbyBCZW56YSBSYWdnaW9qKgoUc3VnZ2VzdC4zbXRvODhtajNxaHISEkd1aWRvIEJlbnphIFJhZ2dpb3IhMUNXY0tmVm55VFBxbzZJMlVaTWNvN1hibEt0NnlzMD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4301</Words>
  <Characters>23661</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dnvs82</dc:creator>
  <cp:lastModifiedBy>DELL</cp:lastModifiedBy>
  <cp:revision>2</cp:revision>
  <dcterms:created xsi:type="dcterms:W3CDTF">2026-04-10T19:54:00Z</dcterms:created>
  <dcterms:modified xsi:type="dcterms:W3CDTF">2026-04-10T19:54:00Z</dcterms:modified>
</cp:coreProperties>
</file>