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4184" w:rsidRPr="00884184" w:rsidRDefault="00884184" w:rsidP="00884184">
      <w:pPr>
        <w:spacing w:after="0" w:line="240" w:lineRule="auto"/>
        <w:jc w:val="center"/>
        <w:rPr>
          <w:rFonts w:ascii="Arial" w:hAnsi="Arial" w:cs="Arial"/>
          <w:b/>
          <w:bCs/>
        </w:rPr>
      </w:pPr>
      <w:bookmarkStart w:id="0" w:name="_heading=h.62ko1w6v0hdw" w:colFirst="0" w:colLast="0"/>
      <w:bookmarkStart w:id="1" w:name="_GoBack"/>
      <w:bookmarkEnd w:id="0"/>
      <w:bookmarkEnd w:id="1"/>
      <w:r w:rsidRPr="00884184">
        <w:rPr>
          <w:rFonts w:ascii="Arial" w:hAnsi="Arial" w:cs="Arial"/>
          <w:b/>
          <w:bCs/>
        </w:rPr>
        <w:t>REGLAS Y CRITERIOS PARA EL CÁLCULO DEL RIESGO SANITARIO.</w:t>
      </w:r>
    </w:p>
    <w:p w:rsidR="00884184" w:rsidRPr="00884184" w:rsidRDefault="00884184" w:rsidP="00884184">
      <w:pPr>
        <w:spacing w:after="0" w:line="240" w:lineRule="auto"/>
        <w:rPr>
          <w:rFonts w:ascii="Arial" w:hAnsi="Arial" w:cs="Arial"/>
          <w:b/>
          <w:bCs/>
        </w:rPr>
      </w:pPr>
      <w:bookmarkStart w:id="2" w:name="_heading=h.v9xq5o451at0" w:colFirst="0" w:colLast="0"/>
      <w:bookmarkEnd w:id="2"/>
    </w:p>
    <w:p w:rsidR="00884184" w:rsidRPr="00884184" w:rsidRDefault="00884184" w:rsidP="00884184">
      <w:pPr>
        <w:spacing w:after="0" w:line="240" w:lineRule="auto"/>
        <w:rPr>
          <w:rFonts w:ascii="Arial" w:hAnsi="Arial" w:cs="Arial"/>
          <w:b/>
          <w:bCs/>
        </w:rPr>
      </w:pPr>
      <w:r w:rsidRPr="00884184">
        <w:rPr>
          <w:rFonts w:ascii="Arial" w:hAnsi="Arial" w:cs="Arial"/>
          <w:b/>
          <w:bCs/>
        </w:rPr>
        <w:t>1. OBJETO</w:t>
      </w:r>
    </w:p>
    <w:p w:rsidR="00884184" w:rsidRPr="00884184" w:rsidRDefault="00884184" w:rsidP="00884184">
      <w:pPr>
        <w:spacing w:after="0" w:line="240" w:lineRule="auto"/>
        <w:jc w:val="both"/>
        <w:rPr>
          <w:rFonts w:ascii="Arial" w:hAnsi="Arial" w:cs="Arial"/>
        </w:rPr>
      </w:pPr>
      <w:r w:rsidRPr="00884184">
        <w:rPr>
          <w:rFonts w:ascii="Arial" w:hAnsi="Arial" w:cs="Arial"/>
        </w:rPr>
        <w:t>El presente Anexo establece las reglas y criterios para el cálculo del riesgo sanitario en el marco de la aplicación del régimen de infracciones y sanciones en el ámbito de competencia de la Dirección Nacional de Vigilancia Sanitaria.</w:t>
      </w:r>
    </w:p>
    <w:p w:rsidR="00884184" w:rsidRPr="00884184" w:rsidRDefault="00884184" w:rsidP="00884184">
      <w:pPr>
        <w:spacing w:after="0" w:line="240" w:lineRule="auto"/>
        <w:rPr>
          <w:rFonts w:ascii="Arial" w:hAnsi="Arial" w:cs="Arial"/>
        </w:rPr>
      </w:pPr>
    </w:p>
    <w:p w:rsidR="00884184" w:rsidRPr="00884184" w:rsidRDefault="00884184" w:rsidP="00884184">
      <w:pPr>
        <w:spacing w:after="0" w:line="240" w:lineRule="auto"/>
        <w:rPr>
          <w:rFonts w:ascii="Arial" w:hAnsi="Arial" w:cs="Arial"/>
          <w:b/>
          <w:bCs/>
        </w:rPr>
      </w:pPr>
      <w:r w:rsidRPr="00884184">
        <w:rPr>
          <w:rFonts w:ascii="Arial" w:hAnsi="Arial" w:cs="Arial"/>
          <w:b/>
          <w:bCs/>
        </w:rPr>
        <w:t>2. REGLAS GENERALES</w:t>
      </w:r>
    </w:p>
    <w:p w:rsidR="00884184" w:rsidRPr="00884184" w:rsidRDefault="00884184" w:rsidP="00884184">
      <w:pPr>
        <w:spacing w:after="0" w:line="240" w:lineRule="auto"/>
        <w:rPr>
          <w:rFonts w:ascii="Arial" w:hAnsi="Arial" w:cs="Arial"/>
          <w:b/>
          <w:bCs/>
        </w:rPr>
      </w:pPr>
    </w:p>
    <w:p w:rsidR="00884184" w:rsidRPr="00884184" w:rsidRDefault="00884184" w:rsidP="00884184">
      <w:pPr>
        <w:spacing w:after="0" w:line="240" w:lineRule="auto"/>
        <w:rPr>
          <w:rFonts w:ascii="Arial" w:hAnsi="Arial" w:cs="Arial"/>
        </w:rPr>
      </w:pPr>
      <w:r w:rsidRPr="00884184">
        <w:rPr>
          <w:rFonts w:ascii="Arial" w:hAnsi="Arial" w:cs="Arial"/>
          <w:b/>
        </w:rPr>
        <w:t>Regla 1.</w:t>
      </w:r>
      <w:r w:rsidRPr="00884184">
        <w:rPr>
          <w:rFonts w:ascii="Arial" w:hAnsi="Arial" w:cs="Arial"/>
        </w:rPr>
        <w:t xml:space="preserve"> El puntaje final de riesgo sanitario se calculará conforme a la siguiente fórmula:</w:t>
      </w:r>
    </w:p>
    <w:p w:rsidR="00884184" w:rsidRPr="00884184" w:rsidRDefault="00884184" w:rsidP="00884184">
      <w:pPr>
        <w:spacing w:after="0" w:line="240" w:lineRule="auto"/>
        <w:rPr>
          <w:rFonts w:ascii="Arial" w:hAnsi="Arial" w:cs="Arial"/>
        </w:rPr>
      </w:pPr>
    </w:p>
    <w:p w:rsidR="00884184" w:rsidRPr="00884184" w:rsidRDefault="00884184" w:rsidP="00884184">
      <w:pPr>
        <w:spacing w:after="0" w:line="240" w:lineRule="auto"/>
        <w:rPr>
          <w:rFonts w:ascii="Arial" w:hAnsi="Arial" w:cs="Arial"/>
        </w:rPr>
      </w:pPr>
      <w:r w:rsidRPr="00884184">
        <w:rPr>
          <w:rFonts w:ascii="Arial" w:hAnsi="Arial" w:cs="Arial"/>
          <w:b/>
          <w:bCs/>
        </w:rPr>
        <w:t>Puntaje final = Σ (Puntaje obtenido en cada variable × Ponderación de la variable)</w:t>
      </w:r>
    </w:p>
    <w:p w:rsidR="00884184" w:rsidRPr="00884184" w:rsidRDefault="00884184" w:rsidP="00884184">
      <w:pPr>
        <w:spacing w:after="0" w:line="240" w:lineRule="auto"/>
        <w:rPr>
          <w:rFonts w:ascii="Arial" w:hAnsi="Arial" w:cs="Arial"/>
        </w:rPr>
      </w:pPr>
      <w:r w:rsidRPr="00884184">
        <w:rPr>
          <w:rFonts w:ascii="Arial" w:hAnsi="Arial" w:cs="Arial"/>
        </w:rPr>
        <w:t>Donde:</w:t>
      </w:r>
    </w:p>
    <w:p w:rsidR="00884184" w:rsidRPr="00884184" w:rsidRDefault="00884184" w:rsidP="0088418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884184">
        <w:rPr>
          <w:rFonts w:ascii="Arial" w:hAnsi="Arial" w:cs="Arial"/>
        </w:rPr>
        <w:t xml:space="preserve">Cada variable se califica con 1, 3 o 5 puntos, conforme a las tablas del Anexo I, </w:t>
      </w:r>
    </w:p>
    <w:p w:rsidR="00884184" w:rsidRPr="00884184" w:rsidRDefault="00884184" w:rsidP="0088418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884184">
        <w:rPr>
          <w:rFonts w:ascii="Arial" w:hAnsi="Arial" w:cs="Arial"/>
        </w:rPr>
        <w:t>La ponderación de cada variable es el porcentaje asignado en la “Matriz de Ponderación” del Anexo I, expresado en decimales.</w:t>
      </w:r>
    </w:p>
    <w:p w:rsidR="00884184" w:rsidRPr="00884184" w:rsidRDefault="00884184" w:rsidP="0088418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884184">
        <w:rPr>
          <w:rFonts w:ascii="Arial" w:hAnsi="Arial" w:cs="Arial"/>
        </w:rPr>
        <w:t>El símbolo Σ (sigma) indica la </w:t>
      </w:r>
      <w:r w:rsidRPr="00884184">
        <w:rPr>
          <w:rFonts w:ascii="Arial" w:hAnsi="Arial" w:cs="Arial"/>
          <w:bCs/>
        </w:rPr>
        <w:t>sumatoria</w:t>
      </w:r>
      <w:r w:rsidRPr="00884184">
        <w:rPr>
          <w:rFonts w:ascii="Arial" w:hAnsi="Arial" w:cs="Arial"/>
        </w:rPr>
        <w:t> de los resultados parciales de todas las variables.</w:t>
      </w:r>
    </w:p>
    <w:p w:rsidR="00884184" w:rsidRPr="00884184" w:rsidRDefault="00884184" w:rsidP="0088418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884184">
        <w:rPr>
          <w:rFonts w:ascii="Arial" w:hAnsi="Arial" w:cs="Arial"/>
        </w:rPr>
        <w:t>El resultado se expresará con dos decimales.</w:t>
      </w:r>
    </w:p>
    <w:p w:rsidR="00884184" w:rsidRPr="00884184" w:rsidRDefault="00884184" w:rsidP="00884184">
      <w:pPr>
        <w:spacing w:after="0" w:line="240" w:lineRule="auto"/>
        <w:rPr>
          <w:rFonts w:ascii="Arial" w:hAnsi="Arial" w:cs="Arial"/>
          <w:b/>
          <w:bCs/>
        </w:rPr>
      </w:pPr>
    </w:p>
    <w:p w:rsidR="00884184" w:rsidRPr="00884184" w:rsidRDefault="00884184" w:rsidP="00884184">
      <w:pPr>
        <w:spacing w:after="0" w:line="240" w:lineRule="auto"/>
        <w:jc w:val="both"/>
        <w:rPr>
          <w:rFonts w:ascii="Arial" w:hAnsi="Arial" w:cs="Arial"/>
        </w:rPr>
      </w:pPr>
      <w:r w:rsidRPr="00884184">
        <w:rPr>
          <w:rFonts w:ascii="Arial" w:hAnsi="Arial" w:cs="Arial"/>
          <w:b/>
          <w:bCs/>
        </w:rPr>
        <w:t>Regla 2.</w:t>
      </w:r>
      <w:r w:rsidRPr="00884184">
        <w:rPr>
          <w:rFonts w:ascii="Arial" w:hAnsi="Arial" w:cs="Arial"/>
        </w:rPr>
        <w:t> El cálculo del riesgo sanitario se realizará exclusivamente mediante los parámetros establecidos en el Anexo I, con sus ocho (8) variables y sus respectivas ponderaciones.</w:t>
      </w:r>
    </w:p>
    <w:p w:rsidR="00884184" w:rsidRPr="00884184" w:rsidRDefault="00884184" w:rsidP="00884184">
      <w:pPr>
        <w:spacing w:after="0" w:line="240" w:lineRule="auto"/>
        <w:jc w:val="both"/>
        <w:rPr>
          <w:rFonts w:ascii="Arial" w:hAnsi="Arial" w:cs="Arial"/>
        </w:rPr>
      </w:pPr>
    </w:p>
    <w:p w:rsidR="00884184" w:rsidRPr="00884184" w:rsidRDefault="00884184" w:rsidP="00884184">
      <w:pPr>
        <w:spacing w:after="0" w:line="240" w:lineRule="auto"/>
        <w:jc w:val="both"/>
        <w:rPr>
          <w:rFonts w:ascii="Arial" w:hAnsi="Arial" w:cs="Arial"/>
        </w:rPr>
      </w:pPr>
      <w:r w:rsidRPr="00884184">
        <w:rPr>
          <w:rFonts w:ascii="Arial" w:hAnsi="Arial" w:cs="Arial"/>
          <w:b/>
          <w:bCs/>
        </w:rPr>
        <w:t xml:space="preserve">Regla 3. </w:t>
      </w:r>
      <w:r w:rsidRPr="00884184">
        <w:rPr>
          <w:rFonts w:ascii="Arial" w:hAnsi="Arial" w:cs="Arial"/>
        </w:rPr>
        <w:t>Si se encontrare más de una situación irregular,</w:t>
      </w:r>
      <w:r w:rsidRPr="00884184">
        <w:rPr>
          <w:rFonts w:ascii="Arial" w:hAnsi="Arial" w:cs="Arial"/>
          <w:b/>
          <w:bCs/>
        </w:rPr>
        <w:t xml:space="preserve"> </w:t>
      </w:r>
      <w:r w:rsidRPr="00884184">
        <w:rPr>
          <w:rFonts w:ascii="Arial" w:hAnsi="Arial" w:cs="Arial"/>
        </w:rPr>
        <w:t>para</w:t>
      </w:r>
      <w:r w:rsidRPr="00884184">
        <w:rPr>
          <w:rFonts w:ascii="Arial" w:hAnsi="Arial" w:cs="Arial"/>
          <w:b/>
          <w:bCs/>
        </w:rPr>
        <w:t xml:space="preserve"> </w:t>
      </w:r>
      <w:r w:rsidRPr="00884184">
        <w:rPr>
          <w:rFonts w:ascii="Arial" w:hAnsi="Arial" w:cs="Arial"/>
        </w:rPr>
        <w:t>la valoración se considerará la de mayor riesgo.</w:t>
      </w:r>
    </w:p>
    <w:p w:rsidR="00884184" w:rsidRPr="00884184" w:rsidRDefault="00884184" w:rsidP="00884184">
      <w:pPr>
        <w:spacing w:after="0" w:line="240" w:lineRule="auto"/>
        <w:jc w:val="both"/>
        <w:rPr>
          <w:rFonts w:ascii="Arial" w:hAnsi="Arial" w:cs="Arial"/>
        </w:rPr>
      </w:pPr>
    </w:p>
    <w:p w:rsidR="00884184" w:rsidRPr="00884184" w:rsidRDefault="00884184" w:rsidP="00884184">
      <w:pPr>
        <w:spacing w:after="0" w:line="240" w:lineRule="auto"/>
        <w:jc w:val="both"/>
        <w:rPr>
          <w:rFonts w:ascii="Arial" w:hAnsi="Arial" w:cs="Arial"/>
        </w:rPr>
      </w:pPr>
      <w:r w:rsidRPr="00884184">
        <w:rPr>
          <w:rFonts w:ascii="Arial" w:hAnsi="Arial" w:cs="Arial"/>
          <w:b/>
          <w:bCs/>
        </w:rPr>
        <w:t>Regla 4.</w:t>
      </w:r>
      <w:r w:rsidRPr="00884184">
        <w:rPr>
          <w:rFonts w:ascii="Arial" w:hAnsi="Arial" w:cs="Arial"/>
        </w:rPr>
        <w:t> El puntaje final obtenido en el Anexo I será un número comprendido entre 1,00 y 5,00, expresado con dos decimales.</w:t>
      </w:r>
    </w:p>
    <w:p w:rsidR="00884184" w:rsidRPr="00884184" w:rsidRDefault="00884184" w:rsidP="00884184">
      <w:pPr>
        <w:spacing w:after="0" w:line="240" w:lineRule="auto"/>
        <w:jc w:val="both"/>
        <w:rPr>
          <w:rFonts w:ascii="Arial" w:hAnsi="Arial" w:cs="Arial"/>
        </w:rPr>
      </w:pPr>
    </w:p>
    <w:p w:rsidR="00884184" w:rsidRPr="00884184" w:rsidRDefault="00884184" w:rsidP="00884184">
      <w:pPr>
        <w:spacing w:after="0" w:line="240" w:lineRule="auto"/>
        <w:jc w:val="both"/>
        <w:rPr>
          <w:rFonts w:ascii="Arial" w:hAnsi="Arial" w:cs="Arial"/>
        </w:rPr>
      </w:pPr>
      <w:r w:rsidRPr="00884184">
        <w:rPr>
          <w:rFonts w:ascii="Arial" w:hAnsi="Arial" w:cs="Arial"/>
          <w:b/>
          <w:bCs/>
        </w:rPr>
        <w:t>Regla 5.</w:t>
      </w:r>
      <w:r w:rsidRPr="00884184">
        <w:rPr>
          <w:rFonts w:ascii="Arial" w:hAnsi="Arial" w:cs="Arial"/>
        </w:rPr>
        <w:t> El puntaje final determinará la categoría de riesgo sanitario conforme a las reglas de clasificación: Riesgo Bajo, Riesgo Medio, Riesgo Alto.</w:t>
      </w:r>
    </w:p>
    <w:p w:rsidR="00884184" w:rsidRPr="00884184" w:rsidRDefault="00884184" w:rsidP="0088418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884184" w:rsidRPr="00884184" w:rsidRDefault="00884184" w:rsidP="00884184">
      <w:pPr>
        <w:spacing w:after="0" w:line="240" w:lineRule="auto"/>
        <w:jc w:val="both"/>
        <w:rPr>
          <w:rFonts w:ascii="Arial" w:hAnsi="Arial" w:cs="Arial"/>
        </w:rPr>
      </w:pPr>
      <w:r w:rsidRPr="00884184">
        <w:rPr>
          <w:rFonts w:ascii="Arial" w:hAnsi="Arial" w:cs="Arial"/>
          <w:b/>
          <w:bCs/>
        </w:rPr>
        <w:t>Regla 6.</w:t>
      </w:r>
      <w:r>
        <w:rPr>
          <w:rFonts w:ascii="Arial" w:hAnsi="Arial" w:cs="Arial"/>
          <w:b/>
          <w:bCs/>
        </w:rPr>
        <w:t xml:space="preserve"> </w:t>
      </w:r>
      <w:r w:rsidRPr="00884184">
        <w:rPr>
          <w:rFonts w:ascii="Arial" w:hAnsi="Arial" w:cs="Arial"/>
        </w:rPr>
        <w:t>La categoría de riesgo sanitario determinará la clasificación de la falta y el rango de multa aplicable, conforme a las siguientes reglas de conversión:</w:t>
      </w:r>
    </w:p>
    <w:p w:rsidR="00884184" w:rsidRPr="00884184" w:rsidRDefault="00884184" w:rsidP="00884184">
      <w:pPr>
        <w:spacing w:after="0" w:line="240" w:lineRule="auto"/>
        <w:rPr>
          <w:rFonts w:ascii="Arial" w:hAnsi="Arial" w:cs="Arial"/>
        </w:rPr>
      </w:pPr>
    </w:p>
    <w:tbl>
      <w:tblPr>
        <w:tblW w:w="8403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1"/>
        <w:gridCol w:w="2693"/>
        <w:gridCol w:w="3159"/>
      </w:tblGrid>
      <w:tr w:rsidR="00884184" w:rsidRPr="00884184" w:rsidTr="00884184">
        <w:trPr>
          <w:trHeight w:val="132"/>
          <w:tblHeader/>
        </w:trPr>
        <w:tc>
          <w:tcPr>
            <w:tcW w:w="255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ind w:right="-239"/>
              <w:jc w:val="center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Categoría de riesgo</w:t>
            </w:r>
          </w:p>
        </w:tc>
        <w:tc>
          <w:tcPr>
            <w:tcW w:w="269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ind w:right="-96"/>
              <w:jc w:val="center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Clasificación de la falta</w:t>
            </w:r>
          </w:p>
        </w:tc>
        <w:tc>
          <w:tcPr>
            <w:tcW w:w="315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ind w:right="-203"/>
              <w:jc w:val="center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Rango de multa (jornales)</w:t>
            </w:r>
          </w:p>
        </w:tc>
      </w:tr>
      <w:tr w:rsidR="00884184" w:rsidRPr="00884184" w:rsidTr="00884184">
        <w:trPr>
          <w:trHeight w:val="24"/>
        </w:trPr>
        <w:tc>
          <w:tcPr>
            <w:tcW w:w="255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Riesgo Bajo</w:t>
            </w:r>
          </w:p>
        </w:tc>
        <w:tc>
          <w:tcPr>
            <w:tcW w:w="269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Falta leve</w:t>
            </w:r>
          </w:p>
        </w:tc>
        <w:tc>
          <w:tcPr>
            <w:tcW w:w="3159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10 a 50</w:t>
            </w:r>
          </w:p>
        </w:tc>
      </w:tr>
      <w:tr w:rsidR="00884184" w:rsidRPr="00884184" w:rsidTr="00884184">
        <w:trPr>
          <w:trHeight w:val="57"/>
        </w:trPr>
        <w:tc>
          <w:tcPr>
            <w:tcW w:w="255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Riesgo Medio</w:t>
            </w:r>
          </w:p>
        </w:tc>
        <w:tc>
          <w:tcPr>
            <w:tcW w:w="269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Falta grave</w:t>
            </w:r>
          </w:p>
        </w:tc>
        <w:tc>
          <w:tcPr>
            <w:tcW w:w="3159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51 a 250</w:t>
            </w:r>
          </w:p>
        </w:tc>
      </w:tr>
      <w:tr w:rsidR="00884184" w:rsidRPr="00884184" w:rsidTr="00884184">
        <w:trPr>
          <w:trHeight w:val="116"/>
        </w:trPr>
        <w:tc>
          <w:tcPr>
            <w:tcW w:w="255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Riesgo Alto</w:t>
            </w:r>
          </w:p>
        </w:tc>
        <w:tc>
          <w:tcPr>
            <w:tcW w:w="269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Falta grave</w:t>
            </w:r>
          </w:p>
        </w:tc>
        <w:tc>
          <w:tcPr>
            <w:tcW w:w="3159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251 a 500</w:t>
            </w:r>
          </w:p>
        </w:tc>
      </w:tr>
    </w:tbl>
    <w:p w:rsidR="00884184" w:rsidRPr="00884184" w:rsidRDefault="00884184" w:rsidP="00884184">
      <w:pPr>
        <w:spacing w:after="0" w:line="240" w:lineRule="auto"/>
        <w:jc w:val="both"/>
        <w:rPr>
          <w:rFonts w:ascii="Arial" w:hAnsi="Arial" w:cs="Arial"/>
        </w:rPr>
      </w:pPr>
      <w:r w:rsidRPr="00884184">
        <w:rPr>
          <w:rFonts w:ascii="Arial" w:hAnsi="Arial" w:cs="Arial"/>
          <w:b/>
          <w:bCs/>
        </w:rPr>
        <w:lastRenderedPageBreak/>
        <w:t>Regla 7.</w:t>
      </w:r>
      <w:r>
        <w:rPr>
          <w:rFonts w:ascii="Arial" w:hAnsi="Arial" w:cs="Arial"/>
        </w:rPr>
        <w:t xml:space="preserve"> </w:t>
      </w:r>
      <w:r w:rsidRPr="00884184">
        <w:rPr>
          <w:rFonts w:ascii="Arial" w:hAnsi="Arial" w:cs="Arial"/>
        </w:rPr>
        <w:t>Dentro del rango de multa correspondiente a cada categoría, el número exacto de jornales se determinará mediante la aplicación de una regla de proporcionalidad directa entre el puntaje obtenido y la amplitud del rango, conforme a la siguiente fórmula general:</w:t>
      </w:r>
    </w:p>
    <w:p w:rsidR="00884184" w:rsidRPr="00884184" w:rsidRDefault="00884184" w:rsidP="00884184">
      <w:pPr>
        <w:spacing w:after="0" w:line="240" w:lineRule="auto"/>
        <w:rPr>
          <w:rFonts w:ascii="Arial" w:hAnsi="Arial" w:cs="Arial"/>
        </w:rPr>
      </w:pPr>
    </w:p>
    <w:p w:rsidR="00884184" w:rsidRPr="00884184" w:rsidRDefault="00884184" w:rsidP="00884184">
      <w:pPr>
        <w:spacing w:after="0" w:line="240" w:lineRule="auto"/>
        <w:rPr>
          <w:rFonts w:ascii="Arial" w:hAnsi="Arial" w:cs="Arial"/>
        </w:rPr>
      </w:pPr>
      <w:r w:rsidRPr="00884184">
        <w:rPr>
          <w:rFonts w:ascii="Arial" w:hAnsi="Arial" w:cs="Arial"/>
        </w:rPr>
        <w:t>J = M + [(P - L) × (A / R)]</w:t>
      </w:r>
    </w:p>
    <w:p w:rsidR="00884184" w:rsidRPr="00884184" w:rsidRDefault="00884184" w:rsidP="00884184">
      <w:pPr>
        <w:spacing w:after="0" w:line="240" w:lineRule="auto"/>
        <w:rPr>
          <w:rFonts w:ascii="Arial" w:hAnsi="Arial" w:cs="Arial"/>
        </w:rPr>
      </w:pPr>
      <w:r w:rsidRPr="00884184">
        <w:rPr>
          <w:rFonts w:ascii="Arial" w:hAnsi="Arial" w:cs="Arial"/>
        </w:rPr>
        <w:t>Donde:</w:t>
      </w:r>
    </w:p>
    <w:tbl>
      <w:tblPr>
        <w:tblW w:w="857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3124"/>
        <w:gridCol w:w="4178"/>
      </w:tblGrid>
      <w:tr w:rsidR="00884184" w:rsidRPr="00884184" w:rsidTr="00884184">
        <w:trPr>
          <w:tblHeader/>
          <w:jc w:val="center"/>
        </w:trPr>
        <w:tc>
          <w:tcPr>
            <w:tcW w:w="127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ind w:right="-240"/>
              <w:jc w:val="center"/>
              <w:rPr>
                <w:rFonts w:ascii="Arial" w:hAnsi="Arial" w:cs="Arial"/>
                <w:b/>
                <w:bCs/>
              </w:rPr>
            </w:pPr>
            <w:r w:rsidRPr="00884184">
              <w:rPr>
                <w:rFonts w:ascii="Arial" w:hAnsi="Arial" w:cs="Arial"/>
                <w:b/>
                <w:bCs/>
              </w:rPr>
              <w:t>Símbolo</w:t>
            </w:r>
          </w:p>
        </w:tc>
        <w:tc>
          <w:tcPr>
            <w:tcW w:w="3124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ind w:right="-228"/>
              <w:jc w:val="center"/>
              <w:rPr>
                <w:rFonts w:ascii="Arial" w:hAnsi="Arial" w:cs="Arial"/>
                <w:b/>
                <w:bCs/>
              </w:rPr>
            </w:pPr>
            <w:r w:rsidRPr="00884184">
              <w:rPr>
                <w:rFonts w:ascii="Arial" w:hAnsi="Arial" w:cs="Arial"/>
                <w:b/>
                <w:bCs/>
              </w:rPr>
              <w:t>Significado</w:t>
            </w:r>
          </w:p>
        </w:tc>
        <w:tc>
          <w:tcPr>
            <w:tcW w:w="417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ind w:right="-159"/>
              <w:jc w:val="center"/>
              <w:rPr>
                <w:rFonts w:ascii="Arial" w:hAnsi="Arial" w:cs="Arial"/>
                <w:b/>
                <w:bCs/>
              </w:rPr>
            </w:pPr>
            <w:r w:rsidRPr="00884184">
              <w:rPr>
                <w:rFonts w:ascii="Arial" w:hAnsi="Arial" w:cs="Arial"/>
                <w:b/>
                <w:bCs/>
              </w:rPr>
              <w:t>Valor según categoría</w:t>
            </w:r>
          </w:p>
        </w:tc>
      </w:tr>
      <w:tr w:rsidR="00884184" w:rsidRPr="00884184" w:rsidTr="00884184">
        <w:trPr>
          <w:jc w:val="center"/>
        </w:trPr>
        <w:tc>
          <w:tcPr>
            <w:tcW w:w="127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ind w:right="-240"/>
              <w:jc w:val="center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J</w:t>
            </w:r>
          </w:p>
        </w:tc>
        <w:tc>
          <w:tcPr>
            <w:tcW w:w="3124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ind w:left="-97" w:right="-228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Jornales a imponer</w:t>
            </w:r>
          </w:p>
        </w:tc>
        <w:tc>
          <w:tcPr>
            <w:tcW w:w="417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ind w:left="-110" w:right="70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Variable</w:t>
            </w:r>
          </w:p>
        </w:tc>
      </w:tr>
      <w:tr w:rsidR="00884184" w:rsidRPr="00884184" w:rsidTr="00884184">
        <w:trPr>
          <w:jc w:val="center"/>
        </w:trPr>
        <w:tc>
          <w:tcPr>
            <w:tcW w:w="127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ind w:right="-240"/>
              <w:jc w:val="center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P</w:t>
            </w:r>
          </w:p>
        </w:tc>
        <w:tc>
          <w:tcPr>
            <w:tcW w:w="3124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ind w:left="-97" w:right="-228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Puntaje obtenido (1 a 5)</w:t>
            </w:r>
          </w:p>
        </w:tc>
        <w:tc>
          <w:tcPr>
            <w:tcW w:w="417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ind w:left="-110" w:right="70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Variable</w:t>
            </w:r>
          </w:p>
        </w:tc>
      </w:tr>
      <w:tr w:rsidR="00884184" w:rsidRPr="00884184" w:rsidTr="00884184">
        <w:trPr>
          <w:jc w:val="center"/>
        </w:trPr>
        <w:tc>
          <w:tcPr>
            <w:tcW w:w="127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ind w:right="-240"/>
              <w:jc w:val="center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L</w:t>
            </w:r>
          </w:p>
        </w:tc>
        <w:tc>
          <w:tcPr>
            <w:tcW w:w="3124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ind w:left="-97" w:right="-228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Límite inferior de la categoría</w:t>
            </w:r>
          </w:p>
        </w:tc>
        <w:tc>
          <w:tcPr>
            <w:tcW w:w="417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ind w:left="-110" w:right="70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Bajo: 1 / Medio: 2,41 / Alto: 3,20</w:t>
            </w:r>
          </w:p>
        </w:tc>
      </w:tr>
      <w:tr w:rsidR="00884184" w:rsidRPr="00884184" w:rsidTr="00884184">
        <w:trPr>
          <w:jc w:val="center"/>
        </w:trPr>
        <w:tc>
          <w:tcPr>
            <w:tcW w:w="127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ind w:right="-240"/>
              <w:jc w:val="center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M</w:t>
            </w:r>
          </w:p>
        </w:tc>
        <w:tc>
          <w:tcPr>
            <w:tcW w:w="3124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ind w:left="-97" w:right="-228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Mínimo del rango de multa</w:t>
            </w:r>
          </w:p>
        </w:tc>
        <w:tc>
          <w:tcPr>
            <w:tcW w:w="417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ind w:left="-110" w:right="70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Bajo: 10 / Medio: 51 / Alto: 251</w:t>
            </w:r>
          </w:p>
        </w:tc>
      </w:tr>
      <w:tr w:rsidR="00884184" w:rsidRPr="00884184" w:rsidTr="00884184">
        <w:trPr>
          <w:jc w:val="center"/>
        </w:trPr>
        <w:tc>
          <w:tcPr>
            <w:tcW w:w="127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ind w:right="-240"/>
              <w:jc w:val="center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A</w:t>
            </w:r>
          </w:p>
        </w:tc>
        <w:tc>
          <w:tcPr>
            <w:tcW w:w="3124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ind w:left="-97" w:right="-228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Amplitud del rango de multa</w:t>
            </w:r>
          </w:p>
        </w:tc>
        <w:tc>
          <w:tcPr>
            <w:tcW w:w="417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ind w:left="-110" w:right="70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Bajo: 40 / Medio: 199 / Alto: 249</w:t>
            </w:r>
          </w:p>
        </w:tc>
      </w:tr>
      <w:tr w:rsidR="00884184" w:rsidRPr="00884184" w:rsidTr="00884184">
        <w:trPr>
          <w:jc w:val="center"/>
        </w:trPr>
        <w:tc>
          <w:tcPr>
            <w:tcW w:w="127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ind w:right="-240"/>
              <w:jc w:val="center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R</w:t>
            </w:r>
          </w:p>
        </w:tc>
        <w:tc>
          <w:tcPr>
            <w:tcW w:w="3124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ind w:left="-97" w:right="-228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Amplitud de la categoría</w:t>
            </w:r>
          </w:p>
        </w:tc>
        <w:tc>
          <w:tcPr>
            <w:tcW w:w="417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ind w:left="-110" w:right="70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Bajo: 2,40 / Medio: 0,80 / Alto: 1,80</w:t>
            </w:r>
          </w:p>
        </w:tc>
      </w:tr>
    </w:tbl>
    <w:p w:rsidR="00884184" w:rsidRPr="00884184" w:rsidRDefault="00884184" w:rsidP="00884184">
      <w:pPr>
        <w:spacing w:after="0" w:line="240" w:lineRule="auto"/>
        <w:rPr>
          <w:rFonts w:ascii="Arial" w:hAnsi="Arial" w:cs="Arial"/>
          <w:b/>
          <w:bCs/>
        </w:rPr>
      </w:pPr>
    </w:p>
    <w:p w:rsidR="00884184" w:rsidRDefault="00884184" w:rsidP="00884184">
      <w:pPr>
        <w:spacing w:after="0" w:line="240" w:lineRule="auto"/>
        <w:ind w:left="2160" w:hanging="1167"/>
        <w:jc w:val="both"/>
        <w:rPr>
          <w:rFonts w:ascii="Arial" w:hAnsi="Arial" w:cs="Arial"/>
          <w:b/>
          <w:bCs/>
        </w:rPr>
      </w:pPr>
      <w:r w:rsidRPr="00884184">
        <w:rPr>
          <w:rFonts w:ascii="Arial" w:hAnsi="Arial" w:cs="Arial"/>
          <w:b/>
          <w:bCs/>
        </w:rPr>
        <w:t>Regla 7.1.</w:t>
      </w:r>
      <w:r>
        <w:rPr>
          <w:rFonts w:ascii="Arial" w:hAnsi="Arial" w:cs="Arial"/>
          <w:b/>
          <w:bCs/>
        </w:rPr>
        <w:tab/>
      </w:r>
      <w:r w:rsidRPr="00884184">
        <w:rPr>
          <w:rFonts w:ascii="Arial" w:hAnsi="Arial" w:cs="Arial"/>
          <w:bCs/>
        </w:rPr>
        <w:t>El resultado de la fórmula se redondeará al número entero más próximo. Si el decimal es igual o superior a 0,50 se redondeará al entero superior; si es inferior a 0,50 se redondeará al entero inferior.</w:t>
      </w:r>
    </w:p>
    <w:p w:rsidR="00884184" w:rsidRDefault="00884184" w:rsidP="00884184">
      <w:pPr>
        <w:spacing w:after="0" w:line="240" w:lineRule="auto"/>
        <w:ind w:left="2160" w:hanging="1167"/>
        <w:jc w:val="both"/>
        <w:rPr>
          <w:rFonts w:ascii="Arial" w:hAnsi="Arial" w:cs="Arial"/>
          <w:b/>
          <w:bCs/>
        </w:rPr>
      </w:pPr>
    </w:p>
    <w:p w:rsidR="00884184" w:rsidRPr="00884184" w:rsidRDefault="00884184" w:rsidP="00884184">
      <w:pPr>
        <w:spacing w:after="0" w:line="240" w:lineRule="auto"/>
        <w:ind w:left="2160" w:hanging="1167"/>
        <w:jc w:val="both"/>
        <w:rPr>
          <w:rFonts w:ascii="Arial" w:hAnsi="Arial" w:cs="Arial"/>
          <w:b/>
          <w:bCs/>
        </w:rPr>
      </w:pPr>
      <w:r w:rsidRPr="00884184">
        <w:rPr>
          <w:rFonts w:ascii="Arial" w:hAnsi="Arial" w:cs="Arial"/>
          <w:b/>
          <w:bCs/>
        </w:rPr>
        <w:t>Regla 7.2. </w:t>
      </w:r>
      <w:r>
        <w:rPr>
          <w:rFonts w:ascii="Arial" w:hAnsi="Arial" w:cs="Arial"/>
          <w:b/>
          <w:bCs/>
        </w:rPr>
        <w:tab/>
      </w:r>
      <w:r w:rsidRPr="00884184">
        <w:rPr>
          <w:rFonts w:ascii="Arial" w:hAnsi="Arial" w:cs="Arial"/>
          <w:bCs/>
        </w:rPr>
        <w:t>En ningún caso la multa podrá ser inferior al mínimo del rango ni superior al máximo del rango correspondiente a la categoría de riesgo.</w:t>
      </w:r>
    </w:p>
    <w:p w:rsidR="00884184" w:rsidRPr="00884184" w:rsidRDefault="00884184" w:rsidP="00884184">
      <w:pPr>
        <w:spacing w:after="0" w:line="240" w:lineRule="auto"/>
        <w:rPr>
          <w:rFonts w:ascii="Arial" w:hAnsi="Arial" w:cs="Arial"/>
        </w:rPr>
      </w:pPr>
    </w:p>
    <w:p w:rsidR="00884184" w:rsidRPr="00884184" w:rsidRDefault="00884184" w:rsidP="00884184">
      <w:pPr>
        <w:spacing w:after="0" w:line="240" w:lineRule="auto"/>
        <w:rPr>
          <w:rFonts w:ascii="Arial" w:hAnsi="Arial" w:cs="Arial"/>
        </w:rPr>
      </w:pPr>
      <w:r w:rsidRPr="00884184">
        <w:rPr>
          <w:rFonts w:ascii="Arial" w:hAnsi="Arial" w:cs="Arial"/>
          <w:b/>
          <w:bCs/>
        </w:rPr>
        <w:t>Regla 8.</w:t>
      </w:r>
      <w:r w:rsidRPr="00884184">
        <w:rPr>
          <w:rFonts w:ascii="Arial" w:hAnsi="Arial" w:cs="Arial"/>
        </w:rPr>
        <w:t> La reincidencia en falta grave se regirá por las siguientes reglas:</w:t>
      </w:r>
    </w:p>
    <w:p w:rsidR="00884184" w:rsidRPr="00884184" w:rsidRDefault="00884184" w:rsidP="00884184">
      <w:pPr>
        <w:spacing w:after="0" w:line="240" w:lineRule="auto"/>
        <w:rPr>
          <w:rFonts w:ascii="Arial" w:hAnsi="Arial" w:cs="Arial"/>
        </w:rPr>
      </w:pPr>
    </w:p>
    <w:p w:rsidR="00884184" w:rsidRPr="00884184" w:rsidRDefault="00884184" w:rsidP="00884184">
      <w:pPr>
        <w:spacing w:after="0" w:line="240" w:lineRule="auto"/>
        <w:ind w:left="2160" w:hanging="1167"/>
        <w:jc w:val="both"/>
        <w:rPr>
          <w:rFonts w:ascii="Arial" w:hAnsi="Arial" w:cs="Arial"/>
        </w:rPr>
      </w:pPr>
      <w:r w:rsidRPr="00884184">
        <w:rPr>
          <w:rFonts w:ascii="Arial" w:hAnsi="Arial" w:cs="Arial"/>
          <w:b/>
          <w:bCs/>
        </w:rPr>
        <w:t xml:space="preserve">Regla 8.1. </w:t>
      </w:r>
      <w:r w:rsidRPr="00884184">
        <w:rPr>
          <w:rFonts w:ascii="Arial" w:hAnsi="Arial" w:cs="Arial"/>
          <w:b/>
          <w:bCs/>
        </w:rPr>
        <w:tab/>
      </w:r>
      <w:r w:rsidRPr="00884184">
        <w:rPr>
          <w:rFonts w:ascii="Arial" w:hAnsi="Arial" w:cs="Arial"/>
        </w:rPr>
        <w:t xml:space="preserve">Se entiende por reincidencia en falta grave, conforme al Artículo 3° inciso c) de la Resolución DINAVISA </w:t>
      </w:r>
      <w:proofErr w:type="spellStart"/>
      <w:r w:rsidRPr="00884184">
        <w:rPr>
          <w:rFonts w:ascii="Arial" w:hAnsi="Arial" w:cs="Arial"/>
        </w:rPr>
        <w:t>N°</w:t>
      </w:r>
      <w:proofErr w:type="spellEnd"/>
      <w:r w:rsidRPr="00884184">
        <w:rPr>
          <w:rFonts w:ascii="Arial" w:hAnsi="Arial" w:cs="Arial"/>
        </w:rPr>
        <w:t xml:space="preserve"> 265/2022 y al Artículo 5° inciso b) del Decreto </w:t>
      </w:r>
      <w:proofErr w:type="spellStart"/>
      <w:r w:rsidRPr="00884184">
        <w:rPr>
          <w:rFonts w:ascii="Arial" w:hAnsi="Arial" w:cs="Arial"/>
        </w:rPr>
        <w:t>N°</w:t>
      </w:r>
      <w:proofErr w:type="spellEnd"/>
      <w:r w:rsidRPr="00884184">
        <w:rPr>
          <w:rFonts w:ascii="Arial" w:hAnsi="Arial" w:cs="Arial"/>
        </w:rPr>
        <w:t xml:space="preserve"> 9485/2023, haber sido sancionado por una falta grave y volver a cometer la misma falta dentro del plazo de dos (2) años contados desde la fecha de la resolución firme que impuso la sanción anterior.</w:t>
      </w:r>
    </w:p>
    <w:p w:rsidR="00884184" w:rsidRPr="00884184" w:rsidRDefault="00884184" w:rsidP="00884184">
      <w:pPr>
        <w:spacing w:after="0" w:line="240" w:lineRule="auto"/>
        <w:rPr>
          <w:rFonts w:ascii="Arial" w:hAnsi="Arial" w:cs="Arial"/>
          <w:b/>
          <w:bCs/>
        </w:rPr>
      </w:pPr>
    </w:p>
    <w:p w:rsidR="00884184" w:rsidRPr="00884184" w:rsidRDefault="00884184" w:rsidP="00884184">
      <w:pPr>
        <w:spacing w:after="0" w:line="240" w:lineRule="auto"/>
        <w:ind w:left="2160" w:hanging="1167"/>
        <w:jc w:val="both"/>
        <w:rPr>
          <w:rFonts w:ascii="Arial" w:hAnsi="Arial" w:cs="Arial"/>
        </w:rPr>
      </w:pPr>
      <w:r w:rsidRPr="00884184">
        <w:rPr>
          <w:rFonts w:ascii="Arial" w:hAnsi="Arial" w:cs="Arial"/>
          <w:b/>
          <w:bCs/>
        </w:rPr>
        <w:t>Regla 8.2.</w:t>
      </w:r>
      <w:r w:rsidRPr="00884184">
        <w:rPr>
          <w:rFonts w:ascii="Arial" w:hAnsi="Arial" w:cs="Arial"/>
        </w:rPr>
        <w:t> </w:t>
      </w:r>
      <w:r w:rsidRPr="00884184">
        <w:rPr>
          <w:rFonts w:ascii="Arial" w:hAnsi="Arial" w:cs="Arial"/>
        </w:rPr>
        <w:tab/>
        <w:t>Verificada la reincidencia en falta grave, la infracción se clasificará como falta muy grave, independientemente del puntaje de riesgo sanitario obtenido.</w:t>
      </w:r>
    </w:p>
    <w:p w:rsidR="00884184" w:rsidRPr="00884184" w:rsidRDefault="00884184" w:rsidP="0088418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884184" w:rsidRPr="00884184" w:rsidRDefault="00884184" w:rsidP="00884184">
      <w:pPr>
        <w:spacing w:after="0" w:line="240" w:lineRule="auto"/>
        <w:ind w:left="2160" w:hanging="1167"/>
        <w:jc w:val="both"/>
        <w:rPr>
          <w:rFonts w:ascii="Arial" w:hAnsi="Arial" w:cs="Arial"/>
        </w:rPr>
      </w:pPr>
      <w:r w:rsidRPr="00884184">
        <w:rPr>
          <w:rFonts w:ascii="Arial" w:hAnsi="Arial" w:cs="Arial"/>
          <w:b/>
          <w:bCs/>
        </w:rPr>
        <w:t>Regla 8.3.</w:t>
      </w:r>
      <w:r w:rsidRPr="00884184">
        <w:rPr>
          <w:rFonts w:ascii="Arial" w:hAnsi="Arial" w:cs="Arial"/>
        </w:rPr>
        <w:t> </w:t>
      </w:r>
      <w:r w:rsidRPr="00884184">
        <w:rPr>
          <w:rFonts w:ascii="Arial" w:hAnsi="Arial" w:cs="Arial"/>
        </w:rPr>
        <w:tab/>
        <w:t>La multa por falta muy grave se aplicará en el rango de </w:t>
      </w:r>
      <w:r w:rsidRPr="00884184">
        <w:rPr>
          <w:rFonts w:ascii="Arial" w:hAnsi="Arial" w:cs="Arial"/>
          <w:b/>
          <w:bCs/>
        </w:rPr>
        <w:t>501 a 1.000 jornales</w:t>
      </w:r>
      <w:r w:rsidRPr="00884184">
        <w:rPr>
          <w:rFonts w:ascii="Arial" w:hAnsi="Arial" w:cs="Arial"/>
        </w:rPr>
        <w:t xml:space="preserve">, conforme al Artículo 4° de la Resolución DINAVISA </w:t>
      </w:r>
      <w:proofErr w:type="spellStart"/>
      <w:r w:rsidRPr="00884184">
        <w:rPr>
          <w:rFonts w:ascii="Arial" w:hAnsi="Arial" w:cs="Arial"/>
        </w:rPr>
        <w:t>N°</w:t>
      </w:r>
      <w:proofErr w:type="spellEnd"/>
      <w:r w:rsidRPr="00884184">
        <w:rPr>
          <w:rFonts w:ascii="Arial" w:hAnsi="Arial" w:cs="Arial"/>
        </w:rPr>
        <w:t xml:space="preserve"> 265/2022.</w:t>
      </w:r>
    </w:p>
    <w:p w:rsidR="00884184" w:rsidRPr="00884184" w:rsidRDefault="00884184" w:rsidP="0088418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884184" w:rsidRPr="00884184" w:rsidRDefault="00884184" w:rsidP="00884184">
      <w:pPr>
        <w:spacing w:after="0" w:line="240" w:lineRule="auto"/>
        <w:ind w:left="2160" w:hanging="1167"/>
        <w:jc w:val="both"/>
        <w:rPr>
          <w:rFonts w:ascii="Arial" w:hAnsi="Arial" w:cs="Arial"/>
        </w:rPr>
      </w:pPr>
      <w:r w:rsidRPr="00884184">
        <w:rPr>
          <w:rFonts w:ascii="Arial" w:hAnsi="Arial" w:cs="Arial"/>
          <w:b/>
          <w:bCs/>
        </w:rPr>
        <w:t>Regla 8.4.</w:t>
      </w:r>
      <w:r w:rsidRPr="00884184">
        <w:rPr>
          <w:rFonts w:ascii="Arial" w:hAnsi="Arial" w:cs="Arial"/>
        </w:rPr>
        <w:t> </w:t>
      </w:r>
      <w:r w:rsidRPr="00884184">
        <w:rPr>
          <w:rFonts w:ascii="Arial" w:hAnsi="Arial" w:cs="Arial"/>
        </w:rPr>
        <w:tab/>
        <w:t>Dentro del rango de 501 a 1.000 jornales, la multa se determinará aplicando la misma regla de proporcionalidad prevista en la Regla 7, considerando como límite inferior de la categoría 3,30 y como mínimo del rango 501.</w:t>
      </w:r>
    </w:p>
    <w:p w:rsidR="00884184" w:rsidRPr="00884184" w:rsidRDefault="00884184" w:rsidP="00884184">
      <w:pPr>
        <w:spacing w:after="0" w:line="240" w:lineRule="auto"/>
        <w:rPr>
          <w:rFonts w:ascii="Arial" w:hAnsi="Arial" w:cs="Arial"/>
          <w:b/>
          <w:bCs/>
        </w:rPr>
      </w:pPr>
    </w:p>
    <w:p w:rsidR="00884184" w:rsidRPr="00884184" w:rsidRDefault="00884184" w:rsidP="00884184">
      <w:pPr>
        <w:spacing w:after="0" w:line="240" w:lineRule="auto"/>
        <w:jc w:val="both"/>
        <w:rPr>
          <w:rFonts w:ascii="Arial" w:hAnsi="Arial" w:cs="Arial"/>
        </w:rPr>
      </w:pPr>
      <w:r w:rsidRPr="00884184">
        <w:rPr>
          <w:rFonts w:ascii="Arial" w:hAnsi="Arial" w:cs="Arial"/>
          <w:b/>
          <w:bCs/>
        </w:rPr>
        <w:t>Regla 9.</w:t>
      </w:r>
      <w:r w:rsidRPr="00884184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  <w:r w:rsidRPr="00884184">
        <w:rPr>
          <w:rFonts w:ascii="Arial" w:hAnsi="Arial" w:cs="Arial"/>
        </w:rPr>
        <w:t xml:space="preserve">La concurrencia de circunstancias atenuantes o agravantes, previstas en los Artículos 5° y 6° de la Resolución DINAVISA </w:t>
      </w:r>
      <w:proofErr w:type="spellStart"/>
      <w:r w:rsidRPr="00884184">
        <w:rPr>
          <w:rFonts w:ascii="Arial" w:hAnsi="Arial" w:cs="Arial"/>
        </w:rPr>
        <w:t>N°</w:t>
      </w:r>
      <w:proofErr w:type="spellEnd"/>
      <w:r w:rsidRPr="00884184">
        <w:rPr>
          <w:rFonts w:ascii="Arial" w:hAnsi="Arial" w:cs="Arial"/>
        </w:rPr>
        <w:t xml:space="preserve"> 265/2022 y en el Artículo 4° y 5° del Decreto </w:t>
      </w:r>
      <w:proofErr w:type="spellStart"/>
      <w:r w:rsidRPr="00884184">
        <w:rPr>
          <w:rFonts w:ascii="Arial" w:hAnsi="Arial" w:cs="Arial"/>
        </w:rPr>
        <w:t>N°</w:t>
      </w:r>
      <w:proofErr w:type="spellEnd"/>
      <w:r w:rsidRPr="00884184">
        <w:rPr>
          <w:rFonts w:ascii="Arial" w:hAnsi="Arial" w:cs="Arial"/>
        </w:rPr>
        <w:t xml:space="preserve"> 9485/2023, permitirá al Juez Instructor recomendar ajustar la multa dentro del rango correspondiente, respetando los siguientes límites:</w:t>
      </w:r>
    </w:p>
    <w:p w:rsidR="00884184" w:rsidRPr="00884184" w:rsidRDefault="00884184" w:rsidP="00884184">
      <w:pPr>
        <w:spacing w:after="0" w:line="240" w:lineRule="auto"/>
        <w:rPr>
          <w:rFonts w:ascii="Arial" w:hAnsi="Arial" w:cs="Arial"/>
        </w:rPr>
      </w:pPr>
    </w:p>
    <w:tbl>
      <w:tblPr>
        <w:tblW w:w="8685" w:type="dxa"/>
        <w:tblInd w:w="137" w:type="dxa"/>
        <w:tblLayout w:type="fixed"/>
        <w:tblLook w:val="0400" w:firstRow="0" w:lastRow="0" w:firstColumn="0" w:lastColumn="0" w:noHBand="0" w:noVBand="1"/>
      </w:tblPr>
      <w:tblGrid>
        <w:gridCol w:w="2835"/>
        <w:gridCol w:w="5850"/>
      </w:tblGrid>
      <w:tr w:rsidR="00884184" w:rsidRPr="00884184" w:rsidTr="00884184">
        <w:trPr>
          <w:trHeight w:val="20"/>
          <w:tblHeader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ind w:right="-239"/>
              <w:jc w:val="center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Circunstancia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ind w:right="-203"/>
              <w:jc w:val="center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Ajuste permitido</w:t>
            </w:r>
          </w:p>
        </w:tc>
      </w:tr>
      <w:tr w:rsidR="00884184" w:rsidRPr="00884184" w:rsidTr="00884184">
        <w:trPr>
          <w:trHeight w:val="53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Atenuantes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Hasta el 20% de la multa estimada. por debajo del valor calculado según la Regla 7, sin que en ningún caso la multa pueda ser inferior al mínimo del rango.</w:t>
            </w:r>
          </w:p>
        </w:tc>
      </w:tr>
      <w:tr w:rsidR="00884184" w:rsidRPr="00884184" w:rsidTr="00884184">
        <w:trPr>
          <w:trHeight w:val="45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Agravantes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Hasta el 20% de la multa estimada. por encima del valor calculado según la Regla 7, sin que en ningún caso la multa pueda superar el máximo del rango.</w:t>
            </w:r>
          </w:p>
        </w:tc>
      </w:tr>
      <w:tr w:rsidR="00884184" w:rsidRPr="00884184" w:rsidTr="00884184">
        <w:trPr>
          <w:trHeight w:val="83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Concurrencia de múltiples atenuantes o agravantes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884184" w:rsidRPr="00884184" w:rsidRDefault="00884184" w:rsidP="00884184">
            <w:pPr>
              <w:spacing w:after="0" w:line="240" w:lineRule="auto"/>
              <w:rPr>
                <w:rFonts w:ascii="Arial" w:hAnsi="Arial" w:cs="Arial"/>
              </w:rPr>
            </w:pPr>
            <w:r w:rsidRPr="00884184">
              <w:rPr>
                <w:rFonts w:ascii="Arial" w:hAnsi="Arial" w:cs="Arial"/>
              </w:rPr>
              <w:t>El ajuste total no podrá exceder el 30% en más o en menos del valor calculado según la Regla 7.</w:t>
            </w:r>
          </w:p>
        </w:tc>
      </w:tr>
    </w:tbl>
    <w:p w:rsidR="00884184" w:rsidRPr="00884184" w:rsidRDefault="00884184" w:rsidP="00884184">
      <w:pPr>
        <w:spacing w:after="0" w:line="240" w:lineRule="auto"/>
        <w:rPr>
          <w:rFonts w:ascii="Arial" w:hAnsi="Arial" w:cs="Arial"/>
        </w:rPr>
      </w:pPr>
    </w:p>
    <w:p w:rsidR="00A71DBB" w:rsidRPr="00884184" w:rsidRDefault="00A71DBB" w:rsidP="00884184">
      <w:pPr>
        <w:spacing w:after="0" w:line="240" w:lineRule="auto"/>
        <w:rPr>
          <w:rFonts w:ascii="Arial" w:hAnsi="Arial" w:cs="Arial"/>
        </w:rPr>
      </w:pPr>
    </w:p>
    <w:sectPr w:rsidR="00A71DBB" w:rsidRPr="00884184" w:rsidSect="00884184">
      <w:headerReference w:type="even" r:id="rId8"/>
      <w:headerReference w:type="default" r:id="rId9"/>
      <w:footerReference w:type="default" r:id="rId10"/>
      <w:headerReference w:type="first" r:id="rId11"/>
      <w:pgSz w:w="12240" w:h="18720" w:code="14"/>
      <w:pgMar w:top="1417" w:right="1701" w:bottom="1417" w:left="1701" w:header="708" w:footer="41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48D9" w:rsidRDefault="003348D9" w:rsidP="00333AD0">
      <w:pPr>
        <w:spacing w:after="0" w:line="240" w:lineRule="auto"/>
      </w:pPr>
      <w:r>
        <w:separator/>
      </w:r>
    </w:p>
  </w:endnote>
  <w:endnote w:type="continuationSeparator" w:id="0">
    <w:p w:rsidR="003348D9" w:rsidRDefault="003348D9" w:rsidP="00333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50C6C5-29ED-4CAC-8596-E0C829639C36}"/>
    <w:embedBold r:id="rId2" w:fontKey="{0B30F6D9-0E6C-45EA-BB14-A8EE63C1B59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C4D4022-8920-4778-8709-5FAD3429E1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203CD93-3ECC-4DE3-9D0E-ADBF8CE43F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7DD" w:rsidRDefault="00C637DD" w:rsidP="00C637DD">
    <w:pPr>
      <w:tabs>
        <w:tab w:val="center" w:pos="4252"/>
        <w:tab w:val="right" w:pos="8504"/>
      </w:tabs>
      <w:spacing w:after="0"/>
      <w:jc w:val="both"/>
      <w:rPr>
        <w:rFonts w:ascii="Arial" w:eastAsia="Arial" w:hAnsi="Arial" w:cs="Arial"/>
        <w:b/>
        <w:bCs/>
        <w:sz w:val="14"/>
        <w:szCs w:val="14"/>
      </w:rPr>
    </w:pPr>
  </w:p>
  <w:p w:rsidR="00C637DD" w:rsidRDefault="00C637DD" w:rsidP="00C637DD">
    <w:pPr>
      <w:tabs>
        <w:tab w:val="center" w:pos="4252"/>
        <w:tab w:val="right" w:pos="8504"/>
      </w:tabs>
      <w:spacing w:after="0"/>
      <w:jc w:val="both"/>
      <w:rPr>
        <w:rFonts w:ascii="Arial" w:eastAsia="Arial" w:hAnsi="Arial" w:cs="Arial"/>
        <w:b/>
        <w:bCs/>
        <w:sz w:val="14"/>
        <w:szCs w:val="14"/>
      </w:rPr>
    </w:pPr>
  </w:p>
  <w:p w:rsidR="00C637DD" w:rsidRDefault="00C637DD" w:rsidP="00C637DD">
    <w:pPr>
      <w:tabs>
        <w:tab w:val="center" w:pos="4252"/>
        <w:tab w:val="right" w:pos="8504"/>
      </w:tabs>
      <w:spacing w:after="0"/>
      <w:jc w:val="both"/>
      <w:rPr>
        <w:rFonts w:ascii="Arial" w:eastAsia="Arial" w:hAnsi="Arial" w:cs="Arial"/>
        <w:b/>
        <w:bCs/>
        <w:sz w:val="14"/>
        <w:szCs w:val="14"/>
      </w:rPr>
    </w:pPr>
  </w:p>
  <w:p w:rsidR="00C637DD" w:rsidRDefault="00C637DD" w:rsidP="00C637DD">
    <w:pPr>
      <w:tabs>
        <w:tab w:val="center" w:pos="4252"/>
        <w:tab w:val="right" w:pos="8504"/>
      </w:tabs>
      <w:spacing w:after="0"/>
      <w:jc w:val="both"/>
      <w:rPr>
        <w:rFonts w:ascii="Arial" w:eastAsia="Arial" w:hAnsi="Arial" w:cs="Arial"/>
        <w:b/>
        <w:bCs/>
        <w:sz w:val="14"/>
        <w:szCs w:val="14"/>
      </w:rPr>
    </w:pPr>
  </w:p>
  <w:p w:rsidR="00C637DD" w:rsidRDefault="00C637DD" w:rsidP="00C637DD">
    <w:pPr>
      <w:tabs>
        <w:tab w:val="center" w:pos="4252"/>
        <w:tab w:val="right" w:pos="8504"/>
      </w:tabs>
      <w:spacing w:after="0"/>
      <w:jc w:val="both"/>
      <w:rPr>
        <w:rFonts w:ascii="Arial" w:eastAsia="Arial" w:hAnsi="Arial" w:cs="Arial"/>
        <w:b/>
        <w:bCs/>
        <w:sz w:val="14"/>
        <w:szCs w:val="14"/>
      </w:rPr>
    </w:pPr>
  </w:p>
  <w:p w:rsidR="00C637DD" w:rsidRDefault="00C637DD" w:rsidP="00C637DD">
    <w:pPr>
      <w:tabs>
        <w:tab w:val="center" w:pos="4252"/>
        <w:tab w:val="right" w:pos="8504"/>
      </w:tabs>
      <w:spacing w:after="0"/>
      <w:jc w:val="both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b/>
        <w:bCs/>
        <w:sz w:val="14"/>
        <w:szCs w:val="14"/>
      </w:rPr>
      <w:t>Misión</w:t>
    </w:r>
    <w:r>
      <w:rPr>
        <w:rFonts w:ascii="Arial" w:eastAsia="Arial" w:hAnsi="Arial" w:cs="Arial"/>
        <w:sz w:val="14"/>
        <w:szCs w:val="14"/>
      </w:rPr>
      <w:t>: Regular, vigilar y fiscalizar productos de aplicación en medicina y otros asignados por ley, para garantizar la calidad, seguridad y eficacia de los mismos en beneficio de las personas, respondiendo a los desafíos de la innovación y promoviendo el desarrollo, a través de acciones coordinadas e integradas, sostenidas en normas técnicas.</w:t>
    </w:r>
  </w:p>
  <w:p w:rsidR="00C637DD" w:rsidRDefault="00C637DD" w:rsidP="00C637DD">
    <w:pPr>
      <w:tabs>
        <w:tab w:val="center" w:pos="4252"/>
        <w:tab w:val="right" w:pos="8504"/>
      </w:tabs>
      <w:spacing w:after="0"/>
      <w:jc w:val="both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b/>
        <w:bCs/>
        <w:sz w:val="14"/>
        <w:szCs w:val="14"/>
      </w:rPr>
      <w:t xml:space="preserve">Visión: </w:t>
    </w:r>
    <w:r>
      <w:rPr>
        <w:rFonts w:ascii="Arial" w:eastAsia="Arial" w:hAnsi="Arial" w:cs="Arial"/>
        <w:sz w:val="14"/>
        <w:szCs w:val="14"/>
      </w:rPr>
      <w:t>Ser una institución reguladora y fiscalizadora de Referencia Nacional e Internacional reconocida por su capacidad técnica, credibilidad y compromiso con la protección de la salud de la población y el desarrollo nacional.</w:t>
    </w:r>
  </w:p>
  <w:p w:rsidR="00C637DD" w:rsidRDefault="00C637DD" w:rsidP="00C637DD">
    <w:pPr>
      <w:tabs>
        <w:tab w:val="center" w:pos="4252"/>
        <w:tab w:val="right" w:pos="8504"/>
      </w:tabs>
      <w:spacing w:after="0"/>
      <w:jc w:val="both"/>
      <w:rPr>
        <w:rFonts w:ascii="Arial" w:eastAsia="Arial" w:hAnsi="Arial" w:cs="Arial"/>
        <w:sz w:val="14"/>
        <w:szCs w:val="14"/>
      </w:rPr>
    </w:pPr>
  </w:p>
  <w:p w:rsidR="00C637DD" w:rsidRDefault="00C637DD" w:rsidP="00C637DD">
    <w:pPr>
      <w:tabs>
        <w:tab w:val="center" w:pos="4252"/>
        <w:tab w:val="right" w:pos="8504"/>
      </w:tabs>
      <w:spacing w:after="0"/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b/>
        <w:bCs/>
        <w:sz w:val="14"/>
        <w:szCs w:val="14"/>
      </w:rPr>
      <w:t xml:space="preserve">Iturbe </w:t>
    </w:r>
    <w:proofErr w:type="spellStart"/>
    <w:r>
      <w:rPr>
        <w:rFonts w:ascii="Arial" w:eastAsia="Arial" w:hAnsi="Arial" w:cs="Arial"/>
        <w:b/>
        <w:bCs/>
        <w:sz w:val="14"/>
        <w:szCs w:val="14"/>
      </w:rPr>
      <w:t>Nº</w:t>
    </w:r>
    <w:proofErr w:type="spellEnd"/>
    <w:r>
      <w:rPr>
        <w:rFonts w:ascii="Arial" w:eastAsia="Arial" w:hAnsi="Arial" w:cs="Arial"/>
        <w:b/>
        <w:bCs/>
        <w:sz w:val="14"/>
        <w:szCs w:val="14"/>
      </w:rPr>
      <w:t xml:space="preserve"> 883 e/ Manuel Domínguez y Fulgencio R. Moreno</w:t>
    </w:r>
  </w:p>
  <w:p w:rsidR="00C637DD" w:rsidRDefault="00C637DD" w:rsidP="00C637DD">
    <w:pPr>
      <w:tabs>
        <w:tab w:val="center" w:pos="4252"/>
        <w:tab w:val="right" w:pos="8504"/>
      </w:tabs>
      <w:spacing w:after="0"/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b/>
        <w:bCs/>
        <w:sz w:val="14"/>
        <w:szCs w:val="14"/>
      </w:rPr>
      <w:t>Asunción, Paraguay</w:t>
    </w:r>
  </w:p>
  <w:p w:rsidR="00C637DD" w:rsidRDefault="00C637DD" w:rsidP="00C637DD">
    <w:pPr>
      <w:tabs>
        <w:tab w:val="center" w:pos="4252"/>
        <w:tab w:val="right" w:pos="8504"/>
      </w:tabs>
      <w:spacing w:after="0" w:line="240" w:lineRule="auto"/>
      <w:ind w:hanging="2"/>
      <w:jc w:val="right"/>
    </w:pPr>
    <w:r>
      <w:rPr>
        <w:sz w:val="16"/>
        <w:szCs w:val="16"/>
      </w:rPr>
      <w:t xml:space="preserve">Página </w:t>
    </w:r>
    <w:r>
      <w:rPr>
        <w:b/>
        <w:bCs/>
        <w:sz w:val="16"/>
        <w:szCs w:val="16"/>
      </w:rPr>
      <w:fldChar w:fldCharType="begin"/>
    </w:r>
    <w:r>
      <w:rPr>
        <w:b/>
        <w:bCs/>
        <w:sz w:val="16"/>
        <w:szCs w:val="16"/>
      </w:rPr>
      <w:instrText>PAGE</w:instrText>
    </w:r>
    <w:r>
      <w:rPr>
        <w:b/>
        <w:bCs/>
        <w:sz w:val="16"/>
        <w:szCs w:val="16"/>
      </w:rPr>
      <w:fldChar w:fldCharType="separate"/>
    </w:r>
    <w:r>
      <w:rPr>
        <w:b/>
        <w:bCs/>
        <w:sz w:val="16"/>
        <w:szCs w:val="16"/>
      </w:rPr>
      <w:t>5</w:t>
    </w:r>
    <w:r>
      <w:rPr>
        <w:b/>
        <w:bCs/>
        <w:sz w:val="16"/>
        <w:szCs w:val="16"/>
      </w:rPr>
      <w:fldChar w:fldCharType="end"/>
    </w:r>
    <w:r>
      <w:rPr>
        <w:sz w:val="16"/>
        <w:szCs w:val="16"/>
      </w:rPr>
      <w:t xml:space="preserve"> de </w:t>
    </w:r>
    <w:r>
      <w:rPr>
        <w:b/>
        <w:bCs/>
        <w:sz w:val="16"/>
        <w:szCs w:val="16"/>
      </w:rPr>
      <w:fldChar w:fldCharType="begin"/>
    </w:r>
    <w:r>
      <w:rPr>
        <w:b/>
        <w:bCs/>
        <w:sz w:val="16"/>
        <w:szCs w:val="16"/>
      </w:rPr>
      <w:instrText>NUMPAGES</w:instrText>
    </w:r>
    <w:r>
      <w:rPr>
        <w:b/>
        <w:bCs/>
        <w:sz w:val="16"/>
        <w:szCs w:val="16"/>
      </w:rPr>
      <w:fldChar w:fldCharType="separate"/>
    </w:r>
    <w:r>
      <w:rPr>
        <w:b/>
        <w:bCs/>
        <w:sz w:val="16"/>
        <w:szCs w:val="16"/>
      </w:rPr>
      <w:t>5</w:t>
    </w:r>
    <w:r>
      <w:rPr>
        <w:b/>
        <w:bCs/>
        <w:sz w:val="16"/>
        <w:szCs w:val="16"/>
      </w:rPr>
      <w:fldChar w:fldCharType="end"/>
    </w:r>
  </w:p>
  <w:p w:rsidR="00C637DD" w:rsidRDefault="00C637D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48D9" w:rsidRDefault="003348D9" w:rsidP="00333AD0">
      <w:pPr>
        <w:spacing w:after="0" w:line="240" w:lineRule="auto"/>
      </w:pPr>
      <w:r>
        <w:separator/>
      </w:r>
    </w:p>
  </w:footnote>
  <w:footnote w:type="continuationSeparator" w:id="0">
    <w:p w:rsidR="003348D9" w:rsidRDefault="003348D9" w:rsidP="00333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806" w:rsidRDefault="005F5806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7778657" o:spid="_x0000_s2050" type="#_x0000_t136" style="position:absolute;margin-left:0;margin-top:0;width:453.1pt;height:169.9pt;rotation:315;z-index:-251655168;mso-position-horizontal:center;mso-position-horizontal-relative:margin;mso-position-vertical:center;mso-position-vertical-relative:margin" o:allowincell="f" fillcolor="#a5a5a5 [2092]" stroked="f">
          <v:fill opacity=".5"/>
          <v:textpath style="font-family:&quot;Calibri&quot;;font-size:1pt" string="BORRADO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AD0" w:rsidRDefault="005F5806" w:rsidP="00333AD0">
    <w:pPr>
      <w:shd w:val="clear" w:color="auto" w:fill="FFFFFF"/>
      <w:spacing w:after="0" w:line="240" w:lineRule="auto"/>
      <w:jc w:val="center"/>
      <w:rPr>
        <w:rFonts w:ascii="Arial" w:eastAsia="Arial" w:hAnsi="Arial" w:cs="Arial"/>
        <w:b/>
        <w:bCs/>
        <w:i/>
        <w:iCs/>
        <w:color w:val="0F1115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7778658" o:spid="_x0000_s2051" type="#_x0000_t136" style="position:absolute;left:0;text-align:left;margin-left:0;margin-top:0;width:453.1pt;height:169.9pt;rotation:315;z-index:-251653120;mso-position-horizontal:center;mso-position-horizontal-relative:margin;mso-position-vertical:center;mso-position-vertical-relative:margin" o:allowincell="f" fillcolor="#a5a5a5 [2092]" stroked="f">
          <v:fill opacity=".5"/>
          <v:textpath style="font-family:&quot;Calibri&quot;;font-size:1pt" string="BORRADOR"/>
        </v:shape>
      </w:pict>
    </w:r>
    <w:r w:rsidR="00333AD0">
      <w:rPr>
        <w:rFonts w:ascii="Arial" w:eastAsia="Arial" w:hAnsi="Arial" w:cs="Arial"/>
        <w:b/>
        <w:bCs/>
        <w:i/>
        <w:iCs/>
        <w:color w:val="0F1115"/>
      </w:rPr>
      <w:t>“Sesquicentenario de la Epopeya Nacional: 1864 – 1870”</w:t>
    </w:r>
  </w:p>
  <w:p w:rsidR="00333AD0" w:rsidRDefault="00333AD0" w:rsidP="00333AD0">
    <w:pPr>
      <w:shd w:val="clear" w:color="auto" w:fill="FFFFFF"/>
      <w:spacing w:after="0" w:line="240" w:lineRule="auto"/>
      <w:jc w:val="center"/>
      <w:rPr>
        <w:rFonts w:ascii="Arial" w:eastAsia="Arial" w:hAnsi="Arial" w:cs="Arial"/>
        <w:b/>
        <w:bCs/>
        <w:i/>
        <w:iCs/>
        <w:color w:val="0F1115"/>
      </w:rPr>
    </w:pPr>
    <w:r>
      <w:rPr>
        <w:rFonts w:ascii="Arial" w:eastAsia="Arial" w:hAnsi="Arial" w:cs="Arial"/>
        <w:b/>
        <w:bCs/>
        <w:i/>
        <w:iCs/>
        <w:noProof/>
        <w:color w:val="0F1115"/>
      </w:rPr>
      <w:drawing>
        <wp:inline distT="114300" distB="114300" distL="114300" distR="114300" wp14:anchorId="1F50197D" wp14:editId="5EEE8E73">
          <wp:extent cx="859301" cy="761095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9301" cy="761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333AD0" w:rsidRDefault="00333AD0" w:rsidP="00333AD0">
    <w:pPr>
      <w:shd w:val="clear" w:color="auto" w:fill="FFFFFF"/>
      <w:spacing w:after="0" w:line="240" w:lineRule="auto"/>
      <w:jc w:val="center"/>
      <w:rPr>
        <w:rFonts w:ascii="Arial" w:eastAsia="Arial" w:hAnsi="Arial" w:cs="Arial"/>
        <w:b/>
        <w:bCs/>
        <w:i/>
        <w:iCs/>
        <w:color w:val="0F1115"/>
      </w:rPr>
    </w:pPr>
    <w:r>
      <w:rPr>
        <w:rFonts w:ascii="Arial" w:eastAsia="Arial" w:hAnsi="Arial" w:cs="Arial"/>
        <w:b/>
        <w:bCs/>
        <w:i/>
        <w:iCs/>
        <w:color w:val="0F1115"/>
      </w:rPr>
      <w:t>Poder Ejecutivo</w:t>
    </w:r>
  </w:p>
  <w:p w:rsidR="00333AD0" w:rsidRDefault="00333AD0" w:rsidP="00333AD0">
    <w:pPr>
      <w:shd w:val="clear" w:color="auto" w:fill="FFFFFF"/>
      <w:spacing w:after="0" w:line="240" w:lineRule="auto"/>
      <w:jc w:val="center"/>
      <w:rPr>
        <w:rFonts w:ascii="Arial" w:eastAsia="Arial" w:hAnsi="Arial" w:cs="Arial"/>
        <w:b/>
        <w:bCs/>
        <w:i/>
        <w:iCs/>
        <w:color w:val="0F1115"/>
      </w:rPr>
    </w:pPr>
    <w:r>
      <w:rPr>
        <w:rFonts w:ascii="Arial" w:eastAsia="Arial" w:hAnsi="Arial" w:cs="Arial"/>
        <w:b/>
        <w:bCs/>
        <w:i/>
        <w:iCs/>
        <w:color w:val="0F1115"/>
      </w:rPr>
      <w:t xml:space="preserve"> </w:t>
    </w:r>
    <w:r>
      <w:rPr>
        <w:rFonts w:ascii="Arial" w:eastAsia="Arial" w:hAnsi="Arial" w:cs="Arial"/>
        <w:b/>
        <w:bCs/>
        <w:i/>
        <w:iCs/>
        <w:color w:val="0F1115"/>
      </w:rPr>
      <w:tab/>
      <w:t>Dirección Nacional de Vigilancia Sanitaria</w:t>
    </w:r>
  </w:p>
  <w:p w:rsidR="00801098" w:rsidRDefault="00801098" w:rsidP="00333AD0">
    <w:pPr>
      <w:shd w:val="clear" w:color="auto" w:fill="FFFFFF"/>
      <w:spacing w:after="0" w:line="240" w:lineRule="auto"/>
      <w:jc w:val="center"/>
      <w:rPr>
        <w:rFonts w:ascii="Arial" w:eastAsia="Arial" w:hAnsi="Arial" w:cs="Arial"/>
        <w:b/>
        <w:bCs/>
        <w:i/>
        <w:iCs/>
        <w:color w:val="0F1115"/>
      </w:rPr>
    </w:pPr>
  </w:p>
  <w:p w:rsidR="00333AD0" w:rsidRDefault="00333AD0" w:rsidP="00801098">
    <w:pPr>
      <w:shd w:val="clear" w:color="auto" w:fill="FFFFFF"/>
      <w:spacing w:after="0" w:line="276" w:lineRule="auto"/>
      <w:jc w:val="center"/>
      <w:rPr>
        <w:rFonts w:ascii="Arial" w:eastAsia="Arial" w:hAnsi="Arial" w:cs="Arial"/>
        <w:b/>
        <w:bCs/>
        <w:color w:val="0F1115"/>
      </w:rPr>
    </w:pPr>
    <w:r>
      <w:rPr>
        <w:rFonts w:ascii="Arial" w:eastAsia="Arial" w:hAnsi="Arial" w:cs="Arial"/>
        <w:b/>
        <w:bCs/>
        <w:color w:val="0F1115"/>
      </w:rPr>
      <w:t xml:space="preserve"> Resolución DINAVISA </w:t>
    </w:r>
    <w:proofErr w:type="spellStart"/>
    <w:r>
      <w:rPr>
        <w:rFonts w:ascii="Arial" w:eastAsia="Arial" w:hAnsi="Arial" w:cs="Arial"/>
        <w:b/>
        <w:bCs/>
        <w:color w:val="0F1115"/>
      </w:rPr>
      <w:t>N°</w:t>
    </w:r>
    <w:proofErr w:type="spellEnd"/>
    <w:r>
      <w:rPr>
        <w:rFonts w:ascii="Arial" w:eastAsia="Arial" w:hAnsi="Arial" w:cs="Arial"/>
        <w:b/>
        <w:bCs/>
        <w:color w:val="0F1115"/>
      </w:rPr>
      <w:t xml:space="preserve">      </w:t>
    </w:r>
    <w:r>
      <w:rPr>
        <w:rFonts w:ascii="Arial" w:eastAsia="Arial" w:hAnsi="Arial" w:cs="Arial"/>
        <w:b/>
        <w:bCs/>
        <w:color w:val="0F1115"/>
      </w:rPr>
      <w:tab/>
      <w:t>/2026.-</w:t>
    </w:r>
  </w:p>
  <w:p w:rsidR="00801098" w:rsidRDefault="00801098" w:rsidP="00801098">
    <w:pPr>
      <w:shd w:val="clear" w:color="auto" w:fill="FFFFFF"/>
      <w:spacing w:after="0" w:line="276" w:lineRule="auto"/>
      <w:jc w:val="center"/>
      <w:rPr>
        <w:rFonts w:ascii="Arial" w:eastAsia="Arial" w:hAnsi="Arial" w:cs="Arial"/>
        <w:b/>
        <w:bCs/>
        <w:color w:val="0F1115"/>
      </w:rPr>
    </w:pPr>
  </w:p>
  <w:p w:rsidR="00801098" w:rsidRDefault="00801098" w:rsidP="00801098">
    <w:pPr>
      <w:spacing w:after="0" w:line="240" w:lineRule="auto"/>
      <w:jc w:val="center"/>
      <w:rPr>
        <w:rFonts w:ascii="Arial" w:hAnsi="Arial" w:cs="Arial"/>
        <w:b/>
        <w:bCs/>
      </w:rPr>
    </w:pPr>
    <w:bookmarkStart w:id="3" w:name="_heading=h.bfjlcj4xhali" w:colFirst="0" w:colLast="0"/>
    <w:bookmarkEnd w:id="3"/>
    <w:r w:rsidRPr="00884184">
      <w:rPr>
        <w:rFonts w:ascii="Arial" w:hAnsi="Arial" w:cs="Arial"/>
        <w:b/>
        <w:bCs/>
      </w:rPr>
      <w:t>ANEXO II</w:t>
    </w:r>
  </w:p>
  <w:p w:rsidR="00801098" w:rsidRPr="00884184" w:rsidRDefault="00801098" w:rsidP="00801098">
    <w:pPr>
      <w:spacing w:after="0" w:line="240" w:lineRule="auto"/>
      <w:jc w:val="center"/>
      <w:rPr>
        <w:rFonts w:ascii="Arial" w:hAnsi="Arial" w:cs="Arial"/>
        <w:b/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806" w:rsidRDefault="005F5806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7778656" o:spid="_x0000_s2049" type="#_x0000_t136" style="position:absolute;margin-left:0;margin-top:0;width:453.1pt;height:169.9pt;rotation:315;z-index:-251657216;mso-position-horizontal:center;mso-position-horizontal-relative:margin;mso-position-vertical:center;mso-position-vertical-relative:margin" o:allowincell="f" fillcolor="#a5a5a5 [2092]" stroked="f">
          <v:fill opacity=".5"/>
          <v:textpath style="font-family:&quot;Calibri&quot;;font-size:1pt" string="BORRADOR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E22F5"/>
    <w:multiLevelType w:val="multilevel"/>
    <w:tmpl w:val="95A6A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CEF53D8"/>
    <w:multiLevelType w:val="multilevel"/>
    <w:tmpl w:val="76AAC5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DBB"/>
    <w:rsid w:val="00196AAC"/>
    <w:rsid w:val="002160C2"/>
    <w:rsid w:val="00333AD0"/>
    <w:rsid w:val="003348D9"/>
    <w:rsid w:val="005F5806"/>
    <w:rsid w:val="006B6290"/>
    <w:rsid w:val="00801098"/>
    <w:rsid w:val="00816B2F"/>
    <w:rsid w:val="00861B12"/>
    <w:rsid w:val="00884184"/>
    <w:rsid w:val="00942624"/>
    <w:rsid w:val="00972124"/>
    <w:rsid w:val="009C4243"/>
    <w:rsid w:val="00A71DBB"/>
    <w:rsid w:val="00B27CCB"/>
    <w:rsid w:val="00B66725"/>
    <w:rsid w:val="00B91D0B"/>
    <w:rsid w:val="00BB2058"/>
    <w:rsid w:val="00BF7032"/>
    <w:rsid w:val="00BF7241"/>
    <w:rsid w:val="00C637DD"/>
    <w:rsid w:val="00CD234F"/>
    <w:rsid w:val="00F17DCF"/>
    <w:rsid w:val="00FE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041B298"/>
  <w15:docId w15:val="{9D89BC97-64CD-48BC-9FED-76A8AEF42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PY" w:eastAsia="es-P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33A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3AD0"/>
  </w:style>
  <w:style w:type="paragraph" w:styleId="Piedepgina">
    <w:name w:val="footer"/>
    <w:basedOn w:val="Normal"/>
    <w:link w:val="PiedepginaCar"/>
    <w:uiPriority w:val="99"/>
    <w:unhideWhenUsed/>
    <w:rsid w:val="00333A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3AD0"/>
  </w:style>
  <w:style w:type="paragraph" w:customStyle="1" w:styleId="ds-markdown-paragraph">
    <w:name w:val="ds-markdown-paragraph"/>
    <w:basedOn w:val="Normal"/>
    <w:rsid w:val="00CD2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CD23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1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Kva5Tsq7ar2wg+T8UYk9TX8kKQ==">CgMxLjAyDmguYmZqbGNqNHhoYWxpMg5oLjhqbWhjZm40MHM2aTIOaC42MmtvMXc2djBoZHcyDmgudjl4cTVvNDUxYXQwOAByITF4WlhwQmdkcGZNSzZWZmRjYTVLTXM1RVl0bnExRkctaA==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714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13</cp:revision>
  <cp:lastPrinted>2026-04-24T11:48:00Z</cp:lastPrinted>
  <dcterms:created xsi:type="dcterms:W3CDTF">2026-04-17T11:11:00Z</dcterms:created>
  <dcterms:modified xsi:type="dcterms:W3CDTF">2026-04-24T11:51:00Z</dcterms:modified>
</cp:coreProperties>
</file>