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330D" w:rsidRPr="001E330D" w:rsidRDefault="001053BA" w:rsidP="001E330D">
      <w:pPr>
        <w:spacing w:after="0" w:line="240" w:lineRule="auto"/>
        <w:jc w:val="both"/>
        <w:rPr>
          <w:rFonts w:ascii="Arial" w:hAnsi="Arial" w:cs="Arial"/>
          <w:b/>
          <w:bCs/>
        </w:rPr>
      </w:pPr>
      <w:r w:rsidRPr="001E330D">
        <w:rPr>
          <w:rFonts w:ascii="Arial" w:hAnsi="Arial" w:cs="Arial"/>
        </w:rPr>
        <w:t xml:space="preserve"> </w:t>
      </w:r>
      <w:r w:rsidR="001E330D" w:rsidRPr="001E330D">
        <w:rPr>
          <w:rFonts w:ascii="Arial" w:hAnsi="Arial" w:cs="Arial"/>
          <w:b/>
          <w:bCs/>
        </w:rPr>
        <w:t xml:space="preserve">VISTO: </w:t>
      </w:r>
    </w:p>
    <w:p w:rsidR="001E330D" w:rsidRPr="001E330D" w:rsidRDefault="001E330D" w:rsidP="001E330D">
      <w:pPr>
        <w:spacing w:after="0" w:line="240" w:lineRule="auto"/>
        <w:jc w:val="both"/>
        <w:rPr>
          <w:rFonts w:ascii="Arial" w:hAnsi="Arial" w:cs="Arial"/>
        </w:rPr>
      </w:pPr>
    </w:p>
    <w:p w:rsidR="001E330D" w:rsidRPr="001E330D" w:rsidRDefault="001E330D" w:rsidP="001E330D">
      <w:pPr>
        <w:spacing w:after="0" w:line="240" w:lineRule="auto"/>
        <w:ind w:firstLine="720"/>
        <w:jc w:val="both"/>
        <w:rPr>
          <w:rFonts w:ascii="Arial" w:hAnsi="Arial" w:cs="Arial"/>
        </w:rPr>
      </w:pPr>
      <w:r w:rsidRPr="001E330D">
        <w:rPr>
          <w:rFonts w:ascii="Arial" w:hAnsi="Arial" w:cs="Arial"/>
        </w:rPr>
        <w:t xml:space="preserve">El Memorándum DGV </w:t>
      </w:r>
      <w:proofErr w:type="spellStart"/>
      <w:r w:rsidRPr="001E330D">
        <w:rPr>
          <w:rFonts w:ascii="Arial" w:hAnsi="Arial" w:cs="Arial"/>
        </w:rPr>
        <w:t>Nº</w:t>
      </w:r>
      <w:proofErr w:type="spellEnd"/>
      <w:r w:rsidRPr="001E330D">
        <w:rPr>
          <w:rFonts w:ascii="Arial" w:hAnsi="Arial" w:cs="Arial"/>
        </w:rPr>
        <w:t xml:space="preserve"> 0000, presentado por la Dirección General de Vigilancia, por medio del cual solicita se establezcan parámetros para el cálculo de riesgo sanitario y se aprueben reglas y criterios, así como la ponderación de acciones regulatorias, en el marco de la aplicación del régimen de infracciones y sanciones dentro del ámbito de competencia de la Dirección Nacional de Vigilancia Sanitaria, adjunto proyecto de Resolución; y</w:t>
      </w:r>
    </w:p>
    <w:p w:rsidR="001E330D" w:rsidRPr="001E330D" w:rsidRDefault="001E330D" w:rsidP="001E330D">
      <w:pPr>
        <w:spacing w:after="0" w:line="240" w:lineRule="auto"/>
        <w:jc w:val="both"/>
        <w:rPr>
          <w:rFonts w:ascii="Arial" w:hAnsi="Arial" w:cs="Arial"/>
          <w:b/>
          <w:bCs/>
        </w:rPr>
      </w:pPr>
      <w:r w:rsidRPr="001E330D">
        <w:rPr>
          <w:rFonts w:ascii="Arial" w:hAnsi="Arial" w:cs="Arial"/>
          <w:b/>
          <w:bCs/>
        </w:rPr>
        <w:t xml:space="preserve"> CONSIDERANDO:</w:t>
      </w:r>
    </w:p>
    <w:p w:rsidR="001E330D" w:rsidRPr="001E330D" w:rsidRDefault="001E330D" w:rsidP="001E330D">
      <w:pPr>
        <w:spacing w:after="0" w:line="240" w:lineRule="auto"/>
        <w:jc w:val="both"/>
        <w:rPr>
          <w:rFonts w:ascii="Arial" w:hAnsi="Arial" w:cs="Arial"/>
        </w:rPr>
      </w:pPr>
    </w:p>
    <w:p w:rsidR="001E330D" w:rsidRPr="001E330D" w:rsidRDefault="001E330D" w:rsidP="001E330D">
      <w:pPr>
        <w:spacing w:after="0" w:line="240" w:lineRule="auto"/>
        <w:ind w:firstLine="720"/>
        <w:jc w:val="both"/>
        <w:rPr>
          <w:rFonts w:ascii="Arial" w:hAnsi="Arial" w:cs="Arial"/>
        </w:rPr>
      </w:pPr>
      <w:r w:rsidRPr="001E330D">
        <w:rPr>
          <w:rFonts w:ascii="Arial" w:hAnsi="Arial" w:cs="Arial"/>
        </w:rPr>
        <w:t>Que la Constitución de la República del Paraguay en su Capítulo VI “</w:t>
      </w:r>
      <w:r w:rsidRPr="001E330D">
        <w:rPr>
          <w:rFonts w:ascii="Arial" w:hAnsi="Arial" w:cs="Arial"/>
          <w:i/>
          <w:iCs/>
        </w:rPr>
        <w:t>De la Salud</w:t>
      </w:r>
      <w:r w:rsidRPr="001E330D">
        <w:rPr>
          <w:rFonts w:ascii="Arial" w:hAnsi="Arial" w:cs="Arial"/>
        </w:rPr>
        <w:t>”, Artículo 72. “Del control de calidad” dispone que: “</w:t>
      </w:r>
      <w:r w:rsidRPr="001E330D">
        <w:rPr>
          <w:rFonts w:ascii="Arial" w:hAnsi="Arial" w:cs="Arial"/>
          <w:i/>
          <w:iCs/>
        </w:rPr>
        <w:t>El Estado velará por el control de la calidad de los productos alimenticios, químicos, farmacéuticos y biológicos, en las etapas de producción, importación y comercialización. Asimismo, facilitará el acceso de sectores de escasos recursos a los medicamentos considerados esenciales</w:t>
      </w:r>
      <w:r w:rsidRPr="001E330D">
        <w:rPr>
          <w:rFonts w:ascii="Arial" w:hAnsi="Arial" w:cs="Arial"/>
        </w:rPr>
        <w:t>” y en su Capítulo VIII - Sección II establece disposiciones vinculantes respecto a la Función Pública.</w:t>
      </w:r>
    </w:p>
    <w:p w:rsidR="001E330D" w:rsidRPr="001E330D" w:rsidRDefault="001E330D" w:rsidP="001E330D">
      <w:pPr>
        <w:spacing w:after="0" w:line="240" w:lineRule="auto"/>
        <w:jc w:val="both"/>
        <w:rPr>
          <w:rFonts w:ascii="Arial" w:hAnsi="Arial" w:cs="Arial"/>
        </w:rPr>
      </w:pPr>
    </w:p>
    <w:p w:rsidR="001E330D" w:rsidRPr="001E330D" w:rsidRDefault="001E330D" w:rsidP="001E330D">
      <w:pPr>
        <w:spacing w:after="0" w:line="240" w:lineRule="auto"/>
        <w:ind w:firstLine="720"/>
        <w:jc w:val="both"/>
        <w:rPr>
          <w:rFonts w:ascii="Arial" w:hAnsi="Arial" w:cs="Arial"/>
        </w:rPr>
      </w:pPr>
      <w:r w:rsidRPr="001E330D">
        <w:rPr>
          <w:rFonts w:ascii="Arial" w:hAnsi="Arial" w:cs="Arial"/>
        </w:rPr>
        <w:t xml:space="preserve">Que Ley </w:t>
      </w:r>
      <w:proofErr w:type="spellStart"/>
      <w:r w:rsidRPr="001E330D">
        <w:rPr>
          <w:rFonts w:ascii="Arial" w:hAnsi="Arial" w:cs="Arial"/>
        </w:rPr>
        <w:t>N°</w:t>
      </w:r>
      <w:proofErr w:type="spellEnd"/>
      <w:r w:rsidRPr="001E330D">
        <w:rPr>
          <w:rFonts w:ascii="Arial" w:hAnsi="Arial" w:cs="Arial"/>
        </w:rPr>
        <w:t xml:space="preserve"> 1119/1997 “De productos para la salud y otros”, establece disposiciones regulatorias de los productos para la salud.</w:t>
      </w:r>
    </w:p>
    <w:p w:rsidR="001E330D" w:rsidRPr="001E330D" w:rsidRDefault="001E330D" w:rsidP="001E330D">
      <w:pPr>
        <w:spacing w:after="0" w:line="240" w:lineRule="auto"/>
        <w:jc w:val="both"/>
        <w:rPr>
          <w:rFonts w:ascii="Arial" w:hAnsi="Arial" w:cs="Arial"/>
        </w:rPr>
      </w:pPr>
    </w:p>
    <w:p w:rsidR="001E330D" w:rsidRDefault="001E330D" w:rsidP="001E330D">
      <w:pPr>
        <w:spacing w:after="0" w:line="240" w:lineRule="auto"/>
        <w:ind w:firstLine="720"/>
        <w:jc w:val="both"/>
        <w:rPr>
          <w:rFonts w:ascii="Arial" w:hAnsi="Arial" w:cs="Arial"/>
        </w:rPr>
      </w:pPr>
      <w:r w:rsidRPr="001E330D">
        <w:rPr>
          <w:rFonts w:ascii="Arial" w:hAnsi="Arial" w:cs="Arial"/>
        </w:rPr>
        <w:t xml:space="preserve">Que la Ley </w:t>
      </w:r>
      <w:proofErr w:type="spellStart"/>
      <w:r w:rsidRPr="001E330D">
        <w:rPr>
          <w:rFonts w:ascii="Arial" w:hAnsi="Arial" w:cs="Arial"/>
        </w:rPr>
        <w:t>Nº</w:t>
      </w:r>
      <w:proofErr w:type="spellEnd"/>
      <w:r w:rsidRPr="001E330D">
        <w:rPr>
          <w:rFonts w:ascii="Arial" w:hAnsi="Arial" w:cs="Arial"/>
        </w:rPr>
        <w:t xml:space="preserve"> 6788/2021, modificada por la Ley </w:t>
      </w:r>
      <w:proofErr w:type="spellStart"/>
      <w:r w:rsidRPr="001E330D">
        <w:rPr>
          <w:rFonts w:ascii="Arial" w:hAnsi="Arial" w:cs="Arial"/>
        </w:rPr>
        <w:t>Nº</w:t>
      </w:r>
      <w:proofErr w:type="spellEnd"/>
      <w:r w:rsidRPr="001E330D">
        <w:rPr>
          <w:rFonts w:ascii="Arial" w:hAnsi="Arial" w:cs="Arial"/>
        </w:rPr>
        <w:t xml:space="preserve"> 7361/2024, dispone la autonomía de la Dirección Nacional de Vigilancia Sanitaria y en su Artículo 3º establece que la Dirección Nacional de Vigilancia Sanitaria (DINAVISA) será la autoridad responsable en materia de regulación sanitaria de productos para la salud como medicamentos y afines, así como también en materia de alimentos y afines, con las competencias de regulación, control y fiscalización de los alimentos, y afines  de otras sustancias relacionadas con los alimentos, bebidas, aditivos y coadyuvantes alimentarios, alimentos dietéticos, ingredientes o materias primas a ser utilizadas en alimentos, envases en contacto con alimentos o artículos similares destinados a la alimentación humana, y la regulación, control, habilitación y fiscalización de los establecimientos, y de las actividades desarrolladas por las personas físicas o jurídicas que intervienen durante las etapas de: manipulación de alimentos, fabricación, elaboración, almacenamiento, fraccionamiento, control de calidad, disminución, expendio, comercialización, transporte, representación, importación, exportación, empaquetado, etiquetado, información y publicidad de alimentos y las tecnologías aplicadas a la industria alimentaria, de habilitación, inspección, registro sanitario, renovación de registro sanitario, despacho, importación y exportación y en todo otro concepto relacionado a sus funciones.</w:t>
      </w:r>
    </w:p>
    <w:p w:rsidR="001E330D" w:rsidRPr="001E330D" w:rsidRDefault="001E330D" w:rsidP="001E330D">
      <w:pPr>
        <w:spacing w:after="0" w:line="240" w:lineRule="auto"/>
        <w:ind w:firstLine="720"/>
        <w:jc w:val="both"/>
        <w:rPr>
          <w:rFonts w:ascii="Arial" w:hAnsi="Arial" w:cs="Arial"/>
        </w:rPr>
      </w:pPr>
    </w:p>
    <w:p w:rsidR="001E330D" w:rsidRPr="001E330D" w:rsidRDefault="001E330D" w:rsidP="001E330D">
      <w:pPr>
        <w:spacing w:after="0" w:line="240" w:lineRule="auto"/>
        <w:ind w:firstLine="720"/>
        <w:jc w:val="both"/>
        <w:rPr>
          <w:rFonts w:ascii="Arial" w:hAnsi="Arial" w:cs="Arial"/>
        </w:rPr>
      </w:pPr>
      <w:r w:rsidRPr="001E330D">
        <w:rPr>
          <w:rFonts w:ascii="Arial" w:hAnsi="Arial" w:cs="Arial"/>
        </w:rPr>
        <w:t xml:space="preserve">Que en virtud del Artículo 5º de la Ley </w:t>
      </w:r>
      <w:proofErr w:type="spellStart"/>
      <w:r w:rsidRPr="001E330D">
        <w:rPr>
          <w:rFonts w:ascii="Arial" w:hAnsi="Arial" w:cs="Arial"/>
        </w:rPr>
        <w:t>Nº</w:t>
      </w:r>
      <w:proofErr w:type="spellEnd"/>
      <w:r w:rsidRPr="001E330D">
        <w:rPr>
          <w:rFonts w:ascii="Arial" w:hAnsi="Arial" w:cs="Arial"/>
        </w:rPr>
        <w:t xml:space="preserve"> 6788/2021, modificado por la Ley </w:t>
      </w:r>
      <w:proofErr w:type="spellStart"/>
      <w:r w:rsidRPr="001E330D">
        <w:rPr>
          <w:rFonts w:ascii="Arial" w:hAnsi="Arial" w:cs="Arial"/>
        </w:rPr>
        <w:t>Nº</w:t>
      </w:r>
      <w:proofErr w:type="spellEnd"/>
      <w:r w:rsidRPr="001E330D">
        <w:rPr>
          <w:rFonts w:ascii="Arial" w:hAnsi="Arial" w:cs="Arial"/>
        </w:rPr>
        <w:t xml:space="preserve"> 7361/2024 la Dirección Nacional de Vigilancia Sanitaria (DINAVISA), como Autoridad </w:t>
      </w:r>
      <w:r w:rsidRPr="001E330D">
        <w:rPr>
          <w:rFonts w:ascii="Arial" w:hAnsi="Arial" w:cs="Arial"/>
        </w:rPr>
        <w:lastRenderedPageBreak/>
        <w:t>Regulatoria Nacional tiene por finalidad velar por la protección de la salud humana, previendo entre sus funciones la de establecer y aplicar el régimen de infracciones y sanciones a personas físicas o jurídicas que contravengan los lineamientos y normativas del ámbito de su competencia y aplicar medidas preventivas y correctivas.</w:t>
      </w:r>
    </w:p>
    <w:p w:rsidR="001E330D" w:rsidRPr="001E330D" w:rsidRDefault="001E330D" w:rsidP="001E330D">
      <w:pPr>
        <w:spacing w:after="0" w:line="240" w:lineRule="auto"/>
        <w:jc w:val="both"/>
        <w:rPr>
          <w:rFonts w:ascii="Arial" w:hAnsi="Arial" w:cs="Arial"/>
        </w:rPr>
      </w:pPr>
    </w:p>
    <w:p w:rsidR="001E330D" w:rsidRPr="001E330D" w:rsidRDefault="001E330D" w:rsidP="001E330D">
      <w:pPr>
        <w:spacing w:after="0" w:line="240" w:lineRule="auto"/>
        <w:ind w:firstLine="720"/>
        <w:jc w:val="both"/>
        <w:rPr>
          <w:rFonts w:ascii="Arial" w:hAnsi="Arial" w:cs="Arial"/>
        </w:rPr>
      </w:pPr>
      <w:r w:rsidRPr="001E330D">
        <w:rPr>
          <w:rFonts w:ascii="Arial" w:hAnsi="Arial" w:cs="Arial"/>
        </w:rPr>
        <w:t xml:space="preserve">Que el Artículo 27 de la Ley </w:t>
      </w:r>
      <w:proofErr w:type="spellStart"/>
      <w:r w:rsidRPr="001E330D">
        <w:rPr>
          <w:rFonts w:ascii="Arial" w:hAnsi="Arial" w:cs="Arial"/>
        </w:rPr>
        <w:t>Nº</w:t>
      </w:r>
      <w:proofErr w:type="spellEnd"/>
      <w:r w:rsidRPr="001E330D">
        <w:rPr>
          <w:rFonts w:ascii="Arial" w:hAnsi="Arial" w:cs="Arial"/>
        </w:rPr>
        <w:t xml:space="preserve"> 7361/2024, que modifica la Ley </w:t>
      </w:r>
      <w:proofErr w:type="spellStart"/>
      <w:r w:rsidRPr="001E330D">
        <w:rPr>
          <w:rFonts w:ascii="Arial" w:hAnsi="Arial" w:cs="Arial"/>
        </w:rPr>
        <w:t>Nº</w:t>
      </w:r>
      <w:proofErr w:type="spellEnd"/>
      <w:r w:rsidRPr="001E330D">
        <w:rPr>
          <w:rFonts w:ascii="Arial" w:hAnsi="Arial" w:cs="Arial"/>
        </w:rPr>
        <w:t xml:space="preserve"> 6788/2021, faculta a la DINAVISA a adoptar, sin</w:t>
      </w:r>
      <w:r w:rsidRPr="001E330D">
        <w:rPr>
          <w:rFonts w:ascii="Arial" w:hAnsi="Arial" w:cs="Arial"/>
          <w:b/>
          <w:bCs/>
        </w:rPr>
        <w:t xml:space="preserve"> </w:t>
      </w:r>
      <w:r w:rsidRPr="001E330D">
        <w:rPr>
          <w:rFonts w:ascii="Arial" w:hAnsi="Arial" w:cs="Arial"/>
        </w:rPr>
        <w:t>más trámite, medidas cautelares en el ámbito de la misma Ley, y el Artículo 28 establece sanciones, mencionando que las infracciones serán sancionadas aplicando la siguiente graduación: a) Amonestación, b) Multas, c) Decomiso, d) Suspensión de una autorización, licencia, registro o permiso, e) Cancelación de la habilitación del establecimiento, f) Clausura temporal (total o parcial) de las instalaciones sujetas a la regulación de la Dirección Nacional de Vigilancia Sanitaria (DINAVISA), cuando se desarrollen sin la debida autorización, g) Clausura definitiva (total o parcial) ante la detección de faltas graves a los reglamentos y normas obligatorias para precautelar la salud humana, h) Cancelación de Registros sanitarios.</w:t>
      </w:r>
    </w:p>
    <w:p w:rsidR="001E330D" w:rsidRPr="001E330D" w:rsidRDefault="001E330D" w:rsidP="001E330D">
      <w:pPr>
        <w:spacing w:after="0" w:line="240" w:lineRule="auto"/>
        <w:jc w:val="both"/>
        <w:rPr>
          <w:rFonts w:ascii="Arial" w:hAnsi="Arial" w:cs="Arial"/>
        </w:rPr>
      </w:pPr>
    </w:p>
    <w:p w:rsidR="001E330D" w:rsidRPr="001E330D" w:rsidRDefault="001E330D" w:rsidP="001E330D">
      <w:pPr>
        <w:spacing w:after="0" w:line="240" w:lineRule="auto"/>
        <w:ind w:firstLine="720"/>
        <w:jc w:val="both"/>
        <w:rPr>
          <w:rFonts w:ascii="Arial" w:hAnsi="Arial" w:cs="Arial"/>
        </w:rPr>
      </w:pPr>
      <w:r w:rsidRPr="001E330D">
        <w:rPr>
          <w:rFonts w:ascii="Arial" w:hAnsi="Arial" w:cs="Arial"/>
        </w:rPr>
        <w:t xml:space="preserve">Que el Artículo 29 de la Ley </w:t>
      </w:r>
      <w:proofErr w:type="spellStart"/>
      <w:r w:rsidRPr="001E330D">
        <w:rPr>
          <w:rFonts w:ascii="Arial" w:hAnsi="Arial" w:cs="Arial"/>
        </w:rPr>
        <w:t>N°</w:t>
      </w:r>
      <w:proofErr w:type="spellEnd"/>
      <w:r w:rsidRPr="001E330D">
        <w:rPr>
          <w:rFonts w:ascii="Arial" w:hAnsi="Arial" w:cs="Arial"/>
        </w:rPr>
        <w:t xml:space="preserve"> 6788/2021 establece que las sanciones serán aplicadas previo sumario, atendiendo a las circunstancias especiales de cada caso, debiendo imponerse de forma acumulativa cuando procediera.</w:t>
      </w:r>
    </w:p>
    <w:p w:rsidR="001E330D" w:rsidRPr="001E330D" w:rsidRDefault="001E330D" w:rsidP="001E330D">
      <w:pPr>
        <w:spacing w:after="0" w:line="240" w:lineRule="auto"/>
        <w:jc w:val="both"/>
        <w:rPr>
          <w:rFonts w:ascii="Arial" w:hAnsi="Arial" w:cs="Arial"/>
        </w:rPr>
      </w:pPr>
    </w:p>
    <w:p w:rsidR="001E330D" w:rsidRPr="001E330D" w:rsidRDefault="001E330D" w:rsidP="001E330D">
      <w:pPr>
        <w:spacing w:after="0" w:line="240" w:lineRule="auto"/>
        <w:ind w:firstLine="720"/>
        <w:jc w:val="both"/>
        <w:rPr>
          <w:rFonts w:ascii="Arial" w:hAnsi="Arial" w:cs="Arial"/>
        </w:rPr>
      </w:pPr>
      <w:r w:rsidRPr="001E330D">
        <w:rPr>
          <w:rFonts w:ascii="Arial" w:hAnsi="Arial" w:cs="Arial"/>
        </w:rPr>
        <w:t xml:space="preserve">Que la Resolución DINAVISA </w:t>
      </w:r>
      <w:proofErr w:type="spellStart"/>
      <w:r w:rsidRPr="001E330D">
        <w:rPr>
          <w:rFonts w:ascii="Arial" w:hAnsi="Arial" w:cs="Arial"/>
        </w:rPr>
        <w:t>N°</w:t>
      </w:r>
      <w:proofErr w:type="spellEnd"/>
      <w:r w:rsidRPr="001E330D">
        <w:rPr>
          <w:rFonts w:ascii="Arial" w:hAnsi="Arial" w:cs="Arial"/>
        </w:rPr>
        <w:t xml:space="preserve"> 265/2022 “Por la cual se establece el régimen de infracciones y sanciones y el procedimiento sumarial administrativo tramitado en la Dirección Nacional de Vigilancia Sanitaria”, en su Artículo 4º establece la escala de multas en jornales mínimos diarios para actividades diversas no especificadas, clasificadas en faltas leves (10 a 50 /jornales), faltas graves (51 a 500 jornales) y faltas muy graves (501 a 1.000 jornales).</w:t>
      </w:r>
    </w:p>
    <w:p w:rsidR="001E330D" w:rsidRPr="001E330D" w:rsidRDefault="001E330D" w:rsidP="001E330D">
      <w:pPr>
        <w:spacing w:after="0" w:line="240" w:lineRule="auto"/>
        <w:jc w:val="both"/>
        <w:rPr>
          <w:rFonts w:ascii="Arial" w:hAnsi="Arial" w:cs="Arial"/>
        </w:rPr>
      </w:pPr>
    </w:p>
    <w:p w:rsidR="001E330D" w:rsidRPr="001E330D" w:rsidRDefault="001E330D" w:rsidP="001E330D">
      <w:pPr>
        <w:spacing w:after="0" w:line="240" w:lineRule="auto"/>
        <w:ind w:firstLine="720"/>
        <w:jc w:val="both"/>
        <w:rPr>
          <w:rFonts w:ascii="Arial" w:hAnsi="Arial" w:cs="Arial"/>
        </w:rPr>
      </w:pPr>
      <w:r w:rsidRPr="001E330D">
        <w:rPr>
          <w:rFonts w:ascii="Arial" w:hAnsi="Arial" w:cs="Arial"/>
        </w:rPr>
        <w:t>Que el Artículo 5° de la citada Resolución establece circunstancias atenuantes, y el Artículo 6° circunstancias agravantes, entre ellas el riesgo como agravante específico cuando la infracción ponga en serio riesgo la salud de la población.</w:t>
      </w:r>
    </w:p>
    <w:p w:rsidR="001E330D" w:rsidRPr="001E330D" w:rsidRDefault="001E330D" w:rsidP="001E330D">
      <w:pPr>
        <w:spacing w:after="0" w:line="240" w:lineRule="auto"/>
        <w:jc w:val="both"/>
        <w:rPr>
          <w:rFonts w:ascii="Arial" w:hAnsi="Arial" w:cs="Arial"/>
        </w:rPr>
      </w:pPr>
    </w:p>
    <w:p w:rsidR="001E330D" w:rsidRPr="001E330D" w:rsidRDefault="001E330D" w:rsidP="001E330D">
      <w:pPr>
        <w:spacing w:after="0" w:line="240" w:lineRule="auto"/>
        <w:ind w:firstLine="720"/>
        <w:jc w:val="both"/>
        <w:rPr>
          <w:rFonts w:ascii="Arial" w:hAnsi="Arial" w:cs="Arial"/>
        </w:rPr>
      </w:pPr>
      <w:r w:rsidRPr="001E330D">
        <w:rPr>
          <w:rFonts w:ascii="Arial" w:hAnsi="Arial" w:cs="Arial"/>
        </w:rPr>
        <w:t xml:space="preserve">Que el Decreto </w:t>
      </w:r>
      <w:proofErr w:type="spellStart"/>
      <w:r w:rsidRPr="001E330D">
        <w:rPr>
          <w:rFonts w:ascii="Arial" w:hAnsi="Arial" w:cs="Arial"/>
        </w:rPr>
        <w:t>N°</w:t>
      </w:r>
      <w:proofErr w:type="spellEnd"/>
      <w:r w:rsidRPr="001E330D">
        <w:rPr>
          <w:rFonts w:ascii="Arial" w:hAnsi="Arial" w:cs="Arial"/>
        </w:rPr>
        <w:t xml:space="preserve"> 9485/2023, que reglamenta el Capítulo VII de la Ley </w:t>
      </w:r>
      <w:proofErr w:type="spellStart"/>
      <w:r w:rsidRPr="001E330D">
        <w:rPr>
          <w:rFonts w:ascii="Arial" w:hAnsi="Arial" w:cs="Arial"/>
        </w:rPr>
        <w:t>N°</w:t>
      </w:r>
      <w:proofErr w:type="spellEnd"/>
      <w:r w:rsidRPr="001E330D">
        <w:rPr>
          <w:rFonts w:ascii="Arial" w:hAnsi="Arial" w:cs="Arial"/>
        </w:rPr>
        <w:t xml:space="preserve"> 6788/2021, en su Artículo 5º inciso b) establece la reincidencia como circunstancia agravante, definida como haber sido sancionado por la misma falta antes de transcurridos dos años.</w:t>
      </w:r>
    </w:p>
    <w:p w:rsidR="001E330D" w:rsidRPr="001E330D" w:rsidRDefault="001E330D" w:rsidP="001E330D">
      <w:pPr>
        <w:spacing w:after="0" w:line="240" w:lineRule="auto"/>
        <w:jc w:val="both"/>
        <w:rPr>
          <w:rFonts w:ascii="Arial" w:hAnsi="Arial" w:cs="Arial"/>
        </w:rPr>
      </w:pPr>
    </w:p>
    <w:p w:rsidR="001E330D" w:rsidRPr="001E330D" w:rsidRDefault="001E330D" w:rsidP="001E330D">
      <w:pPr>
        <w:spacing w:after="0" w:line="240" w:lineRule="auto"/>
        <w:ind w:firstLine="720"/>
        <w:jc w:val="both"/>
        <w:rPr>
          <w:rFonts w:ascii="Arial" w:hAnsi="Arial" w:cs="Arial"/>
        </w:rPr>
      </w:pPr>
      <w:r w:rsidRPr="001E330D">
        <w:rPr>
          <w:rFonts w:ascii="Arial" w:hAnsi="Arial" w:cs="Arial"/>
        </w:rPr>
        <w:t xml:space="preserve">Que establecer parámetros y aprobar reglas y criterios para el cálculo del riesgo sanitario y la ponderación de acciones regulatorias, en el marco de la aplicación del régimen de infracciones y sanciones en el ámbito de competencia de la Dirección Nacional de Vigilancia Sanitaria facilitará la evaluación del riesgo sanitario bajo criterios uniformes y la determinación de las acciones regulatorias. </w:t>
      </w:r>
    </w:p>
    <w:p w:rsidR="001E330D" w:rsidRPr="001E330D" w:rsidRDefault="001E330D" w:rsidP="001E330D">
      <w:pPr>
        <w:spacing w:after="0" w:line="240" w:lineRule="auto"/>
        <w:jc w:val="both"/>
        <w:rPr>
          <w:rFonts w:ascii="Arial" w:hAnsi="Arial" w:cs="Arial"/>
        </w:rPr>
      </w:pPr>
    </w:p>
    <w:p w:rsidR="001E330D" w:rsidRPr="001E330D" w:rsidRDefault="001E330D" w:rsidP="001E330D">
      <w:pPr>
        <w:spacing w:after="0" w:line="240" w:lineRule="auto"/>
        <w:ind w:firstLine="720"/>
        <w:jc w:val="both"/>
        <w:rPr>
          <w:rFonts w:ascii="Arial" w:hAnsi="Arial" w:cs="Arial"/>
        </w:rPr>
      </w:pPr>
      <w:r w:rsidRPr="001E330D">
        <w:rPr>
          <w:rFonts w:ascii="Arial" w:hAnsi="Arial" w:cs="Arial"/>
        </w:rPr>
        <w:t xml:space="preserve">Que la Dirección General de Vigilancia ha manifestado la importancia de considerar variables operativas clave para una </w:t>
      </w:r>
      <w:bookmarkStart w:id="0" w:name="_GoBack"/>
      <w:bookmarkEnd w:id="0"/>
      <w:r w:rsidRPr="001E330D">
        <w:rPr>
          <w:rFonts w:ascii="Arial" w:hAnsi="Arial" w:cs="Arial"/>
        </w:rPr>
        <w:t>adecuada evaluación del riesgo sanitario, a saber: Condición regulatoria del producto, Tipo de producto</w:t>
      </w:r>
      <w:r w:rsidR="00743949">
        <w:rPr>
          <w:rFonts w:ascii="Arial" w:hAnsi="Arial" w:cs="Arial"/>
        </w:rPr>
        <w:t xml:space="preserve"> encontrado</w:t>
      </w:r>
      <w:r w:rsidRPr="001E330D">
        <w:rPr>
          <w:rFonts w:ascii="Arial" w:hAnsi="Arial" w:cs="Arial"/>
        </w:rPr>
        <w:t>, Condición de venta del producto, Temperatura de almacenamiento</w:t>
      </w:r>
      <w:r w:rsidR="00781E08">
        <w:rPr>
          <w:rFonts w:ascii="Arial" w:hAnsi="Arial" w:cs="Arial"/>
        </w:rPr>
        <w:t xml:space="preserve"> del producto</w:t>
      </w:r>
      <w:r w:rsidRPr="001E330D">
        <w:rPr>
          <w:rFonts w:ascii="Arial" w:hAnsi="Arial" w:cs="Arial"/>
        </w:rPr>
        <w:t>, Tipo de establecimiento, Densidad poblacional de la localidad del establecimiento, Condición regulatoria del establecimiento y Cantidad encontrada.</w:t>
      </w:r>
    </w:p>
    <w:p w:rsidR="001E330D" w:rsidRPr="001E330D" w:rsidRDefault="001E330D" w:rsidP="001E330D">
      <w:pPr>
        <w:spacing w:after="0" w:line="240" w:lineRule="auto"/>
        <w:jc w:val="both"/>
        <w:rPr>
          <w:rFonts w:ascii="Arial" w:hAnsi="Arial" w:cs="Arial"/>
        </w:rPr>
      </w:pPr>
    </w:p>
    <w:p w:rsidR="001E330D" w:rsidRPr="001E330D" w:rsidRDefault="001E330D" w:rsidP="001E330D">
      <w:pPr>
        <w:spacing w:after="0" w:line="240" w:lineRule="auto"/>
        <w:ind w:firstLine="720"/>
        <w:jc w:val="both"/>
        <w:rPr>
          <w:rFonts w:ascii="Arial" w:hAnsi="Arial" w:cs="Arial"/>
        </w:rPr>
      </w:pPr>
      <w:r w:rsidRPr="001E330D">
        <w:rPr>
          <w:rFonts w:ascii="Arial" w:hAnsi="Arial" w:cs="Arial"/>
        </w:rPr>
        <w:t xml:space="preserve">Que los rubros regulados por la Dirección Nacional de Vigilancia Sanitaria (DINAVISA), conforme al Artículo 3° de la Ley </w:t>
      </w:r>
      <w:proofErr w:type="spellStart"/>
      <w:r w:rsidRPr="001E330D">
        <w:rPr>
          <w:rFonts w:ascii="Arial" w:hAnsi="Arial" w:cs="Arial"/>
        </w:rPr>
        <w:t>N°</w:t>
      </w:r>
      <w:proofErr w:type="spellEnd"/>
      <w:r w:rsidRPr="001E330D">
        <w:rPr>
          <w:rFonts w:ascii="Arial" w:hAnsi="Arial" w:cs="Arial"/>
        </w:rPr>
        <w:t xml:space="preserve"> 6788/2021 y sus modificaciones, incluyen medicamentos de uso humano, dispositivos médicos y odontológicos, suplementos dietarios, medicamentos fitoterápicos y productos para diagnósticos de Uso In Vitro; por lo que resulta necesario que los criterios, reglas y ponderaciones de riesgo sanitario establecidos en la presente Resolución sean de aplicación obligatoria para dichos rubros, sin perjuicio de las particularidades técnicas que se contemplan en los Anexos correspondientes..</w:t>
      </w:r>
    </w:p>
    <w:p w:rsidR="001E330D" w:rsidRPr="001E330D" w:rsidRDefault="001E330D" w:rsidP="001E330D">
      <w:pPr>
        <w:spacing w:after="0" w:line="240" w:lineRule="auto"/>
        <w:jc w:val="both"/>
        <w:rPr>
          <w:rFonts w:ascii="Arial" w:hAnsi="Arial" w:cs="Arial"/>
        </w:rPr>
      </w:pPr>
    </w:p>
    <w:p w:rsidR="001E330D" w:rsidRPr="001E330D" w:rsidRDefault="001E330D" w:rsidP="001E330D">
      <w:pPr>
        <w:spacing w:after="0" w:line="240" w:lineRule="auto"/>
        <w:ind w:firstLine="720"/>
        <w:jc w:val="both"/>
        <w:rPr>
          <w:rFonts w:ascii="Arial" w:hAnsi="Arial" w:cs="Arial"/>
        </w:rPr>
      </w:pPr>
      <w:r w:rsidRPr="001E330D">
        <w:rPr>
          <w:rFonts w:ascii="Arial" w:hAnsi="Arial" w:cs="Arial"/>
        </w:rPr>
        <w:t xml:space="preserve">Que la Dirección General de Asuntos Legales se ha expedido favorablemente a la firma de la presente resolución según Dictamen DINAVISA/DGAL </w:t>
      </w:r>
      <w:proofErr w:type="spellStart"/>
      <w:r w:rsidRPr="001E330D">
        <w:rPr>
          <w:rFonts w:ascii="Arial" w:hAnsi="Arial" w:cs="Arial"/>
        </w:rPr>
        <w:t>N°</w:t>
      </w:r>
      <w:proofErr w:type="spellEnd"/>
      <w:r w:rsidRPr="001E330D">
        <w:rPr>
          <w:rFonts w:ascii="Arial" w:hAnsi="Arial" w:cs="Arial"/>
        </w:rPr>
        <w:t xml:space="preserve"> </w:t>
      </w:r>
      <w:proofErr w:type="spellStart"/>
      <w:r w:rsidRPr="001E330D">
        <w:rPr>
          <w:rFonts w:ascii="Arial" w:hAnsi="Arial" w:cs="Arial"/>
        </w:rPr>
        <w:t>xxxx</w:t>
      </w:r>
      <w:proofErr w:type="spellEnd"/>
      <w:r w:rsidRPr="001E330D">
        <w:rPr>
          <w:rFonts w:ascii="Arial" w:hAnsi="Arial" w:cs="Arial"/>
        </w:rPr>
        <w:t xml:space="preserve"> de fecha </w:t>
      </w:r>
      <w:proofErr w:type="spellStart"/>
      <w:r w:rsidRPr="001E330D">
        <w:rPr>
          <w:rFonts w:ascii="Arial" w:hAnsi="Arial" w:cs="Arial"/>
        </w:rPr>
        <w:t>xx</w:t>
      </w:r>
      <w:proofErr w:type="spellEnd"/>
      <w:r w:rsidRPr="001E330D">
        <w:rPr>
          <w:rFonts w:ascii="Arial" w:hAnsi="Arial" w:cs="Arial"/>
        </w:rPr>
        <w:t xml:space="preserve"> de </w:t>
      </w:r>
      <w:proofErr w:type="spellStart"/>
      <w:r w:rsidRPr="001E330D">
        <w:rPr>
          <w:rFonts w:ascii="Arial" w:hAnsi="Arial" w:cs="Arial"/>
        </w:rPr>
        <w:t>xxxxx</w:t>
      </w:r>
      <w:proofErr w:type="spellEnd"/>
      <w:r w:rsidRPr="001E330D">
        <w:rPr>
          <w:rFonts w:ascii="Arial" w:hAnsi="Arial" w:cs="Arial"/>
        </w:rPr>
        <w:t xml:space="preserve"> de 2026.</w:t>
      </w:r>
    </w:p>
    <w:p w:rsidR="001E330D" w:rsidRDefault="001E330D" w:rsidP="001E330D">
      <w:pPr>
        <w:spacing w:after="0" w:line="240" w:lineRule="auto"/>
        <w:rPr>
          <w:rFonts w:ascii="Arial" w:hAnsi="Arial" w:cs="Arial"/>
          <w:b/>
          <w:bCs/>
        </w:rPr>
      </w:pPr>
    </w:p>
    <w:p w:rsidR="001E330D" w:rsidRDefault="001E330D" w:rsidP="001E330D">
      <w:pPr>
        <w:spacing w:after="0" w:line="240" w:lineRule="auto"/>
        <w:rPr>
          <w:rFonts w:ascii="Arial" w:hAnsi="Arial" w:cs="Arial"/>
        </w:rPr>
      </w:pPr>
      <w:r w:rsidRPr="001E330D">
        <w:rPr>
          <w:rFonts w:ascii="Arial" w:hAnsi="Arial" w:cs="Arial"/>
          <w:b/>
          <w:bCs/>
        </w:rPr>
        <w:t>POR TANTO</w:t>
      </w:r>
      <w:r w:rsidRPr="001E330D">
        <w:rPr>
          <w:rFonts w:ascii="Arial" w:hAnsi="Arial" w:cs="Arial"/>
        </w:rPr>
        <w:t>, en ejercicio de sus atribuciones legales,</w:t>
      </w:r>
    </w:p>
    <w:p w:rsidR="001E330D" w:rsidRPr="001E330D" w:rsidRDefault="001E330D" w:rsidP="001E330D">
      <w:pPr>
        <w:spacing w:after="0" w:line="240" w:lineRule="auto"/>
        <w:jc w:val="center"/>
        <w:rPr>
          <w:rFonts w:ascii="Arial" w:hAnsi="Arial" w:cs="Arial"/>
        </w:rPr>
      </w:pPr>
    </w:p>
    <w:p w:rsidR="001E330D" w:rsidRPr="001E330D" w:rsidRDefault="001E330D" w:rsidP="001E330D">
      <w:pPr>
        <w:spacing w:after="0" w:line="240" w:lineRule="auto"/>
        <w:jc w:val="center"/>
        <w:rPr>
          <w:rFonts w:ascii="Arial" w:hAnsi="Arial" w:cs="Arial"/>
          <w:b/>
          <w:bCs/>
        </w:rPr>
      </w:pPr>
      <w:r w:rsidRPr="001E330D">
        <w:rPr>
          <w:rFonts w:ascii="Arial" w:hAnsi="Arial" w:cs="Arial"/>
          <w:b/>
          <w:bCs/>
        </w:rPr>
        <w:t>EL DIRECTOR NACIONAL INTERINO DE LA DIRECCIÓN NACIONAL DE VIGILANCIA SANITARIA</w:t>
      </w:r>
    </w:p>
    <w:p w:rsidR="001E330D" w:rsidRPr="001E330D" w:rsidRDefault="001E330D" w:rsidP="001E330D">
      <w:pPr>
        <w:spacing w:after="0" w:line="240" w:lineRule="auto"/>
        <w:jc w:val="center"/>
        <w:rPr>
          <w:rFonts w:ascii="Arial" w:hAnsi="Arial" w:cs="Arial"/>
          <w:b/>
          <w:bCs/>
          <w:sz w:val="10"/>
          <w:szCs w:val="10"/>
        </w:rPr>
      </w:pPr>
    </w:p>
    <w:p w:rsidR="001E330D" w:rsidRPr="001E330D" w:rsidRDefault="001E330D" w:rsidP="001E330D">
      <w:pPr>
        <w:spacing w:after="0" w:line="240" w:lineRule="auto"/>
        <w:jc w:val="center"/>
        <w:rPr>
          <w:rFonts w:ascii="Arial" w:hAnsi="Arial" w:cs="Arial"/>
          <w:b/>
          <w:bCs/>
        </w:rPr>
      </w:pPr>
      <w:r w:rsidRPr="001E330D">
        <w:rPr>
          <w:rFonts w:ascii="Arial" w:hAnsi="Arial" w:cs="Arial"/>
          <w:b/>
          <w:bCs/>
        </w:rPr>
        <w:t>RESUELVE:</w:t>
      </w:r>
    </w:p>
    <w:p w:rsidR="001E330D" w:rsidRDefault="001E330D" w:rsidP="001E330D">
      <w:pPr>
        <w:spacing w:after="0" w:line="240" w:lineRule="auto"/>
        <w:jc w:val="both"/>
        <w:rPr>
          <w:rFonts w:ascii="Arial" w:hAnsi="Arial" w:cs="Arial"/>
        </w:rPr>
      </w:pPr>
    </w:p>
    <w:p w:rsidR="001E330D" w:rsidRPr="001E330D" w:rsidRDefault="001E330D" w:rsidP="001E330D">
      <w:pPr>
        <w:spacing w:after="0" w:line="240" w:lineRule="auto"/>
        <w:ind w:left="1440" w:hanging="1440"/>
        <w:jc w:val="both"/>
        <w:rPr>
          <w:rFonts w:ascii="Arial" w:hAnsi="Arial" w:cs="Arial"/>
        </w:rPr>
      </w:pPr>
      <w:r w:rsidRPr="001E330D">
        <w:rPr>
          <w:rFonts w:ascii="Arial" w:hAnsi="Arial" w:cs="Arial"/>
          <w:b/>
          <w:bCs/>
        </w:rPr>
        <w:t>Artículo 1</w:t>
      </w:r>
      <w:proofErr w:type="gramStart"/>
      <w:r w:rsidRPr="001E330D">
        <w:rPr>
          <w:rFonts w:ascii="Arial" w:hAnsi="Arial" w:cs="Arial"/>
          <w:b/>
          <w:bCs/>
        </w:rPr>
        <w:t>°.</w:t>
      </w:r>
      <w:r w:rsidRPr="001E330D">
        <w:rPr>
          <w:rFonts w:ascii="Arial" w:hAnsi="Arial" w:cs="Arial"/>
        </w:rPr>
        <w:t>-</w:t>
      </w:r>
      <w:proofErr w:type="gramEnd"/>
      <w:r w:rsidRPr="001E330D">
        <w:rPr>
          <w:rFonts w:ascii="Arial" w:hAnsi="Arial" w:cs="Arial"/>
        </w:rPr>
        <w:t xml:space="preserve">   </w:t>
      </w:r>
      <w:r w:rsidRPr="001E330D">
        <w:rPr>
          <w:rFonts w:ascii="Arial" w:hAnsi="Arial" w:cs="Arial"/>
        </w:rPr>
        <w:tab/>
        <w:t>Establecer “Parámetros para el cálculo del riesgo sanitario en el marco de la aplicación del Régimen de Infracciones y Sanciones en el ámbito de competencia de la DINAVISA”, que como Anexo I forma parte de la presente Resolución.</w:t>
      </w:r>
    </w:p>
    <w:p w:rsidR="001E330D" w:rsidRPr="001E330D" w:rsidRDefault="001E330D" w:rsidP="001E330D">
      <w:pPr>
        <w:spacing w:after="0" w:line="240" w:lineRule="auto"/>
        <w:jc w:val="both"/>
        <w:rPr>
          <w:rFonts w:ascii="Arial" w:hAnsi="Arial" w:cs="Arial"/>
        </w:rPr>
      </w:pPr>
    </w:p>
    <w:p w:rsidR="001E330D" w:rsidRPr="001E330D" w:rsidRDefault="001E330D" w:rsidP="001E330D">
      <w:pPr>
        <w:spacing w:after="0" w:line="240" w:lineRule="auto"/>
        <w:ind w:left="1440" w:hanging="1440"/>
        <w:jc w:val="both"/>
        <w:rPr>
          <w:rFonts w:ascii="Arial" w:hAnsi="Arial" w:cs="Arial"/>
        </w:rPr>
      </w:pPr>
      <w:r w:rsidRPr="001E330D">
        <w:rPr>
          <w:rFonts w:ascii="Arial" w:hAnsi="Arial" w:cs="Arial"/>
          <w:b/>
          <w:bCs/>
        </w:rPr>
        <w:t>Artículo 2</w:t>
      </w:r>
      <w:proofErr w:type="gramStart"/>
      <w:r w:rsidRPr="001E330D">
        <w:rPr>
          <w:rFonts w:ascii="Arial" w:hAnsi="Arial" w:cs="Arial"/>
          <w:b/>
          <w:bCs/>
        </w:rPr>
        <w:t>°.</w:t>
      </w:r>
      <w:r w:rsidRPr="001E330D">
        <w:rPr>
          <w:rFonts w:ascii="Arial" w:hAnsi="Arial" w:cs="Arial"/>
        </w:rPr>
        <w:t>-</w:t>
      </w:r>
      <w:proofErr w:type="gramEnd"/>
      <w:r w:rsidRPr="001E330D">
        <w:rPr>
          <w:rFonts w:ascii="Arial" w:hAnsi="Arial" w:cs="Arial"/>
        </w:rPr>
        <w:tab/>
        <w:t>Aprobar las “Reglas y criterios para el cálculo del riesgo sanitario en el marco de la aplicación del Régimen de Infracciones y Sanciones en el ámbito de competencia de la DINAVISA”, que como Anexo II forma parte de la presente Resolución, y disponer su implementación.</w:t>
      </w:r>
    </w:p>
    <w:p w:rsidR="001E330D" w:rsidRPr="001E330D" w:rsidRDefault="001E330D" w:rsidP="001E330D">
      <w:pPr>
        <w:spacing w:after="0" w:line="240" w:lineRule="auto"/>
        <w:jc w:val="both"/>
        <w:rPr>
          <w:rFonts w:ascii="Arial" w:hAnsi="Arial" w:cs="Arial"/>
          <w:b/>
          <w:bCs/>
        </w:rPr>
      </w:pPr>
    </w:p>
    <w:p w:rsidR="001E330D" w:rsidRPr="001E330D" w:rsidRDefault="001E330D" w:rsidP="001E330D">
      <w:pPr>
        <w:spacing w:after="0" w:line="240" w:lineRule="auto"/>
        <w:ind w:left="1440" w:hanging="1440"/>
        <w:jc w:val="both"/>
        <w:rPr>
          <w:rFonts w:ascii="Arial" w:hAnsi="Arial" w:cs="Arial"/>
        </w:rPr>
      </w:pPr>
      <w:r w:rsidRPr="001E330D">
        <w:rPr>
          <w:rFonts w:ascii="Arial" w:hAnsi="Arial" w:cs="Arial"/>
          <w:b/>
          <w:bCs/>
        </w:rPr>
        <w:t>Artículo 3</w:t>
      </w:r>
      <w:proofErr w:type="gramStart"/>
      <w:r w:rsidRPr="001E330D">
        <w:rPr>
          <w:rFonts w:ascii="Arial" w:hAnsi="Arial" w:cs="Arial"/>
          <w:b/>
          <w:bCs/>
        </w:rPr>
        <w:t>°.</w:t>
      </w:r>
      <w:r w:rsidRPr="001E330D">
        <w:rPr>
          <w:rFonts w:ascii="Arial" w:hAnsi="Arial" w:cs="Arial"/>
        </w:rPr>
        <w:t>-</w:t>
      </w:r>
      <w:proofErr w:type="gramEnd"/>
      <w:r w:rsidRPr="001E330D">
        <w:rPr>
          <w:rFonts w:ascii="Arial" w:hAnsi="Arial" w:cs="Arial"/>
        </w:rPr>
        <w:tab/>
        <w:t>Aprobar la “Ponderación de Acciones Regulatorias”, que como Anexo III forma parte de la presente Resolución, la cual establece las acciones aplicables según el tipo de establecimiento, su condición regulatoria y el nivel de riesgo sanitario determinado conforme al Anexo I.</w:t>
      </w:r>
    </w:p>
    <w:p w:rsidR="001E330D" w:rsidRPr="001E330D" w:rsidRDefault="001E330D" w:rsidP="001E330D">
      <w:pPr>
        <w:spacing w:after="0" w:line="240" w:lineRule="auto"/>
        <w:jc w:val="both"/>
        <w:rPr>
          <w:rFonts w:ascii="Arial" w:hAnsi="Arial" w:cs="Arial"/>
        </w:rPr>
      </w:pPr>
      <w:r w:rsidRPr="001E330D">
        <w:rPr>
          <w:rFonts w:ascii="Arial" w:hAnsi="Arial" w:cs="Arial"/>
        </w:rPr>
        <w:t xml:space="preserve"> </w:t>
      </w:r>
    </w:p>
    <w:p w:rsidR="001E330D" w:rsidRPr="001E330D" w:rsidRDefault="001E330D" w:rsidP="001E330D">
      <w:pPr>
        <w:spacing w:after="0" w:line="240" w:lineRule="auto"/>
        <w:jc w:val="both"/>
        <w:rPr>
          <w:rFonts w:ascii="Arial" w:hAnsi="Arial" w:cs="Arial"/>
        </w:rPr>
      </w:pPr>
      <w:r w:rsidRPr="001E330D">
        <w:rPr>
          <w:rFonts w:ascii="Arial" w:hAnsi="Arial" w:cs="Arial"/>
          <w:b/>
          <w:bCs/>
        </w:rPr>
        <w:t xml:space="preserve">Artículo 4º.-   </w:t>
      </w:r>
      <w:r w:rsidRPr="001E330D">
        <w:rPr>
          <w:rFonts w:ascii="Arial" w:hAnsi="Arial" w:cs="Arial"/>
        </w:rPr>
        <w:t>Establecer que a los fines de la presente Resolución se entenderá por:</w:t>
      </w:r>
    </w:p>
    <w:p w:rsidR="001E330D" w:rsidRPr="001E330D" w:rsidRDefault="001E330D" w:rsidP="001E330D">
      <w:pPr>
        <w:spacing w:after="0" w:line="240" w:lineRule="auto"/>
        <w:ind w:left="1440"/>
        <w:jc w:val="both"/>
        <w:rPr>
          <w:rFonts w:ascii="Arial" w:hAnsi="Arial" w:cs="Arial"/>
          <w:b/>
          <w:bCs/>
          <w:sz w:val="10"/>
          <w:szCs w:val="10"/>
        </w:rPr>
      </w:pPr>
    </w:p>
    <w:p w:rsidR="001E330D" w:rsidRPr="001E330D" w:rsidRDefault="001E330D" w:rsidP="001E330D">
      <w:pPr>
        <w:spacing w:after="0" w:line="240" w:lineRule="auto"/>
        <w:ind w:left="1440"/>
        <w:jc w:val="both"/>
        <w:rPr>
          <w:rFonts w:ascii="Arial" w:hAnsi="Arial" w:cs="Arial"/>
        </w:rPr>
      </w:pPr>
      <w:r w:rsidRPr="001E330D">
        <w:rPr>
          <w:rFonts w:ascii="Arial" w:hAnsi="Arial" w:cs="Arial"/>
          <w:b/>
          <w:bCs/>
        </w:rPr>
        <w:t>RIESGO PARA LA SALUD:</w:t>
      </w:r>
      <w:r w:rsidRPr="001E330D">
        <w:rPr>
          <w:rFonts w:ascii="Arial" w:hAnsi="Arial" w:cs="Arial"/>
        </w:rPr>
        <w:t xml:space="preserve"> Cualquier factor, comportamiento o condición que aumenta la probabilidad de ocurrencia de un evento adverso negativo y no deseado, evitable, como el desarrollo de enfermedades, lesiones o empeoramiento de una condición de la salud, que surge de la exposición a factores peligrosos, físicos, químicos, biológicos, socioambientales; implica la combinación de peligros, la vulnerabilidad, y afectación de la integridad física, mental o social de la población.</w:t>
      </w:r>
    </w:p>
    <w:p w:rsidR="001E330D" w:rsidRPr="001E330D" w:rsidRDefault="001E330D" w:rsidP="001E330D">
      <w:pPr>
        <w:spacing w:after="0" w:line="240" w:lineRule="auto"/>
        <w:jc w:val="both"/>
        <w:rPr>
          <w:rFonts w:ascii="Arial" w:hAnsi="Arial" w:cs="Arial"/>
          <w:sz w:val="10"/>
          <w:szCs w:val="10"/>
        </w:rPr>
      </w:pPr>
    </w:p>
    <w:p w:rsidR="001E330D" w:rsidRPr="001E330D" w:rsidRDefault="001E330D" w:rsidP="001E330D">
      <w:pPr>
        <w:spacing w:after="0" w:line="240" w:lineRule="auto"/>
        <w:ind w:left="1440"/>
        <w:jc w:val="both"/>
        <w:rPr>
          <w:rFonts w:ascii="Arial" w:hAnsi="Arial" w:cs="Arial"/>
        </w:rPr>
      </w:pPr>
      <w:r w:rsidRPr="001E330D">
        <w:rPr>
          <w:rFonts w:ascii="Arial" w:hAnsi="Arial" w:cs="Arial"/>
          <w:b/>
          <w:bCs/>
        </w:rPr>
        <w:t xml:space="preserve">RIESGO BAJO: </w:t>
      </w:r>
      <w:r w:rsidRPr="001E330D">
        <w:rPr>
          <w:rFonts w:ascii="Arial" w:hAnsi="Arial" w:cs="Arial"/>
        </w:rPr>
        <w:t>Se considera riesgo bajo aquel incumplimiento que, si bien constituye una infracción a la normativa vigente, no afecta ni compromete la calidad, seguridad, eficacia, rendimiento del producto, ni representa un riesgo para la salud de la población.</w:t>
      </w:r>
    </w:p>
    <w:p w:rsidR="001E330D" w:rsidRPr="001E330D" w:rsidRDefault="001E330D" w:rsidP="001E330D">
      <w:pPr>
        <w:spacing w:after="0" w:line="240" w:lineRule="auto"/>
        <w:jc w:val="both"/>
        <w:rPr>
          <w:rFonts w:ascii="Arial" w:hAnsi="Arial" w:cs="Arial"/>
          <w:sz w:val="10"/>
          <w:szCs w:val="10"/>
        </w:rPr>
      </w:pPr>
    </w:p>
    <w:p w:rsidR="001E330D" w:rsidRPr="001E330D" w:rsidRDefault="001E330D" w:rsidP="001E330D">
      <w:pPr>
        <w:spacing w:after="0" w:line="240" w:lineRule="auto"/>
        <w:ind w:left="1440"/>
        <w:jc w:val="both"/>
        <w:rPr>
          <w:rFonts w:ascii="Arial" w:hAnsi="Arial" w:cs="Arial"/>
        </w:rPr>
      </w:pPr>
      <w:r w:rsidRPr="001E330D">
        <w:rPr>
          <w:rFonts w:ascii="Arial" w:hAnsi="Arial" w:cs="Arial"/>
          <w:b/>
          <w:bCs/>
        </w:rPr>
        <w:t xml:space="preserve">RIESGO MEDIO: </w:t>
      </w:r>
      <w:r w:rsidRPr="001E330D">
        <w:rPr>
          <w:rFonts w:ascii="Arial" w:hAnsi="Arial" w:cs="Arial"/>
        </w:rPr>
        <w:t>Se considera riesgo medio aquel incumplimiento que podría comprometer la calidad, seguridad, eficacia del producto, generando una incertidumbre sanitaria o un riesgo potencial para la salud pública, sin evidencia inmediata de daño, ni evidencia de desvíos de calidad, seguridad y eficacia del producto.</w:t>
      </w:r>
    </w:p>
    <w:p w:rsidR="001E330D" w:rsidRPr="001E330D" w:rsidRDefault="001E330D" w:rsidP="001E330D">
      <w:pPr>
        <w:spacing w:after="0" w:line="240" w:lineRule="auto"/>
        <w:jc w:val="both"/>
        <w:rPr>
          <w:rFonts w:ascii="Arial" w:hAnsi="Arial" w:cs="Arial"/>
          <w:sz w:val="10"/>
          <w:szCs w:val="10"/>
        </w:rPr>
      </w:pPr>
    </w:p>
    <w:p w:rsidR="001E330D" w:rsidRPr="001E330D" w:rsidRDefault="001E330D" w:rsidP="001E330D">
      <w:pPr>
        <w:spacing w:after="0" w:line="240" w:lineRule="auto"/>
        <w:ind w:left="1440"/>
        <w:jc w:val="both"/>
        <w:rPr>
          <w:rFonts w:ascii="Arial" w:hAnsi="Arial" w:cs="Arial"/>
        </w:rPr>
      </w:pPr>
      <w:r w:rsidRPr="001E330D">
        <w:rPr>
          <w:rFonts w:ascii="Arial" w:hAnsi="Arial" w:cs="Arial"/>
          <w:b/>
          <w:bCs/>
        </w:rPr>
        <w:t xml:space="preserve">RIESGO ALTO: </w:t>
      </w:r>
      <w:r w:rsidRPr="001E330D">
        <w:rPr>
          <w:rFonts w:ascii="Arial" w:hAnsi="Arial" w:cs="Arial"/>
        </w:rPr>
        <w:t>Se considera riesgo alto aquel incumplimiento que aumenta la probabilidad de ocurrencia de un evento adverso negativo y no deseado, evitable, debido a la afectación comprobada de la calidad, seguridad o eficacia del producto, o por la comercialización de productos no autorizados o falsificados, que requiere una intervención inmediata por el peligro inminente.</w:t>
      </w:r>
    </w:p>
    <w:p w:rsidR="001E330D" w:rsidRPr="001E330D" w:rsidRDefault="001E330D" w:rsidP="001E330D">
      <w:pPr>
        <w:spacing w:after="0" w:line="240" w:lineRule="auto"/>
        <w:jc w:val="both"/>
        <w:rPr>
          <w:rFonts w:ascii="Arial" w:hAnsi="Arial" w:cs="Arial"/>
        </w:rPr>
      </w:pPr>
    </w:p>
    <w:p w:rsidR="001E330D" w:rsidRPr="001E330D" w:rsidRDefault="001E330D" w:rsidP="001E330D">
      <w:pPr>
        <w:spacing w:after="0" w:line="240" w:lineRule="auto"/>
        <w:ind w:left="1440" w:hanging="1440"/>
        <w:jc w:val="both"/>
        <w:rPr>
          <w:rFonts w:ascii="Arial" w:hAnsi="Arial" w:cs="Arial"/>
        </w:rPr>
      </w:pPr>
      <w:r w:rsidRPr="001E330D">
        <w:rPr>
          <w:rFonts w:ascii="Arial" w:hAnsi="Arial" w:cs="Arial"/>
          <w:b/>
          <w:bCs/>
        </w:rPr>
        <w:t xml:space="preserve">Artículo 5º.-   </w:t>
      </w:r>
      <w:r w:rsidRPr="001E330D">
        <w:rPr>
          <w:rFonts w:ascii="Arial" w:hAnsi="Arial" w:cs="Arial"/>
        </w:rPr>
        <w:t>Lo establecido en la presente Resolución, incluyendo los criterios, reglas y ponderaciones contenidos en sus Anexos, será de aplicación obligatoria para los siguientes rubros regulados por la Dirección Nacional de Vigilancia Sanitaria (DINAVISA):</w:t>
      </w:r>
    </w:p>
    <w:p w:rsidR="001E330D" w:rsidRPr="001E330D" w:rsidRDefault="001E330D" w:rsidP="001E330D">
      <w:pPr>
        <w:spacing w:after="0" w:line="240" w:lineRule="auto"/>
        <w:jc w:val="both"/>
        <w:rPr>
          <w:rFonts w:ascii="Arial" w:hAnsi="Arial" w:cs="Arial"/>
          <w:sz w:val="6"/>
          <w:szCs w:val="6"/>
        </w:rPr>
      </w:pPr>
    </w:p>
    <w:p w:rsidR="001E330D" w:rsidRPr="001E330D" w:rsidRDefault="001E330D" w:rsidP="001E330D">
      <w:pPr>
        <w:numPr>
          <w:ilvl w:val="0"/>
          <w:numId w:val="1"/>
        </w:numPr>
        <w:spacing w:after="0" w:line="240" w:lineRule="auto"/>
        <w:ind w:left="1985"/>
        <w:jc w:val="both"/>
        <w:rPr>
          <w:rFonts w:ascii="Arial" w:hAnsi="Arial" w:cs="Arial"/>
        </w:rPr>
      </w:pPr>
      <w:r w:rsidRPr="001E330D">
        <w:rPr>
          <w:rFonts w:ascii="Arial" w:hAnsi="Arial" w:cs="Arial"/>
        </w:rPr>
        <w:t>Medicamentos de uso humano.</w:t>
      </w:r>
    </w:p>
    <w:p w:rsidR="001E330D" w:rsidRPr="001E330D" w:rsidRDefault="001E330D" w:rsidP="001E330D">
      <w:pPr>
        <w:numPr>
          <w:ilvl w:val="0"/>
          <w:numId w:val="1"/>
        </w:numPr>
        <w:spacing w:after="0" w:line="240" w:lineRule="auto"/>
        <w:ind w:left="1985"/>
        <w:jc w:val="both"/>
        <w:rPr>
          <w:rFonts w:ascii="Arial" w:hAnsi="Arial" w:cs="Arial"/>
        </w:rPr>
      </w:pPr>
      <w:r w:rsidRPr="001E330D">
        <w:rPr>
          <w:rFonts w:ascii="Arial" w:hAnsi="Arial" w:cs="Arial"/>
        </w:rPr>
        <w:t>Dispositivos médicos y odontológicos.</w:t>
      </w:r>
    </w:p>
    <w:p w:rsidR="001E330D" w:rsidRPr="001E330D" w:rsidRDefault="001E330D" w:rsidP="001E330D">
      <w:pPr>
        <w:numPr>
          <w:ilvl w:val="0"/>
          <w:numId w:val="1"/>
        </w:numPr>
        <w:spacing w:after="0" w:line="240" w:lineRule="auto"/>
        <w:ind w:left="1985"/>
        <w:jc w:val="both"/>
        <w:rPr>
          <w:rFonts w:ascii="Arial" w:hAnsi="Arial" w:cs="Arial"/>
        </w:rPr>
      </w:pPr>
      <w:r w:rsidRPr="001E330D">
        <w:rPr>
          <w:rFonts w:ascii="Arial" w:hAnsi="Arial" w:cs="Arial"/>
        </w:rPr>
        <w:t>Suplementos dietarios.</w:t>
      </w:r>
    </w:p>
    <w:p w:rsidR="001E330D" w:rsidRPr="001E330D" w:rsidRDefault="001E330D" w:rsidP="001E330D">
      <w:pPr>
        <w:numPr>
          <w:ilvl w:val="0"/>
          <w:numId w:val="1"/>
        </w:numPr>
        <w:spacing w:after="0" w:line="240" w:lineRule="auto"/>
        <w:ind w:left="1985"/>
        <w:jc w:val="both"/>
        <w:rPr>
          <w:rFonts w:ascii="Arial" w:hAnsi="Arial" w:cs="Arial"/>
        </w:rPr>
      </w:pPr>
      <w:r w:rsidRPr="001E330D">
        <w:rPr>
          <w:rFonts w:ascii="Arial" w:hAnsi="Arial" w:cs="Arial"/>
        </w:rPr>
        <w:t>Medicamentos fitoterápicos.</w:t>
      </w:r>
    </w:p>
    <w:p w:rsidR="001E330D" w:rsidRPr="001E330D" w:rsidRDefault="001E330D" w:rsidP="001E330D">
      <w:pPr>
        <w:numPr>
          <w:ilvl w:val="0"/>
          <w:numId w:val="1"/>
        </w:numPr>
        <w:spacing w:after="0" w:line="240" w:lineRule="auto"/>
        <w:ind w:left="1985"/>
        <w:jc w:val="both"/>
        <w:rPr>
          <w:rFonts w:ascii="Arial" w:hAnsi="Arial" w:cs="Arial"/>
        </w:rPr>
      </w:pPr>
      <w:r w:rsidRPr="001E330D">
        <w:rPr>
          <w:rFonts w:ascii="Arial" w:hAnsi="Arial" w:cs="Arial"/>
        </w:rPr>
        <w:t xml:space="preserve">Productos para diagnóstico de Uso </w:t>
      </w:r>
      <w:r w:rsidRPr="001E330D">
        <w:rPr>
          <w:rFonts w:ascii="Arial" w:hAnsi="Arial" w:cs="Arial"/>
          <w:i/>
          <w:iCs/>
        </w:rPr>
        <w:t>In Vitro</w:t>
      </w:r>
      <w:r w:rsidRPr="001E330D">
        <w:rPr>
          <w:rFonts w:ascii="Arial" w:hAnsi="Arial" w:cs="Arial"/>
        </w:rPr>
        <w:t>.</w:t>
      </w:r>
    </w:p>
    <w:p w:rsidR="001E330D" w:rsidRPr="001E330D" w:rsidRDefault="001E330D" w:rsidP="001E330D">
      <w:pPr>
        <w:spacing w:after="0" w:line="240" w:lineRule="auto"/>
        <w:ind w:left="1440" w:hanging="1440"/>
        <w:jc w:val="both"/>
        <w:rPr>
          <w:rFonts w:ascii="Arial" w:hAnsi="Arial" w:cs="Arial"/>
        </w:rPr>
      </w:pPr>
      <w:r w:rsidRPr="001E330D">
        <w:rPr>
          <w:rFonts w:ascii="Arial" w:hAnsi="Arial" w:cs="Arial"/>
          <w:b/>
          <w:bCs/>
        </w:rPr>
        <w:t>Artículo 6</w:t>
      </w:r>
      <w:proofErr w:type="gramStart"/>
      <w:r w:rsidRPr="001E330D">
        <w:rPr>
          <w:rFonts w:ascii="Arial" w:hAnsi="Arial" w:cs="Arial"/>
          <w:b/>
          <w:bCs/>
        </w:rPr>
        <w:t>°.-</w:t>
      </w:r>
      <w:proofErr w:type="gramEnd"/>
      <w:r w:rsidRPr="001E330D">
        <w:rPr>
          <w:rFonts w:ascii="Arial" w:hAnsi="Arial" w:cs="Arial"/>
          <w:b/>
          <w:bCs/>
        </w:rPr>
        <w:t xml:space="preserve">   </w:t>
      </w:r>
      <w:r w:rsidRPr="001E330D">
        <w:rPr>
          <w:rFonts w:ascii="Arial" w:hAnsi="Arial" w:cs="Arial"/>
        </w:rPr>
        <w:t>Establecer que la correlación entre el nivel de riesgo sanitario y las Acciones Regulatorias aplicables se realizará conforme al Anexo III que forma parte de la presente Resolución.</w:t>
      </w:r>
    </w:p>
    <w:p w:rsidR="001E330D" w:rsidRPr="001E330D" w:rsidRDefault="001E330D" w:rsidP="001E330D">
      <w:pPr>
        <w:spacing w:after="0" w:line="240" w:lineRule="auto"/>
        <w:jc w:val="both"/>
        <w:rPr>
          <w:rFonts w:ascii="Arial" w:hAnsi="Arial" w:cs="Arial"/>
          <w:sz w:val="10"/>
          <w:szCs w:val="10"/>
        </w:rPr>
      </w:pPr>
      <w:r w:rsidRPr="001E330D">
        <w:rPr>
          <w:rFonts w:ascii="Arial" w:hAnsi="Arial" w:cs="Arial"/>
        </w:rPr>
        <w:t xml:space="preserve"> </w:t>
      </w:r>
    </w:p>
    <w:p w:rsidR="001E330D" w:rsidRPr="001E330D" w:rsidRDefault="001E330D" w:rsidP="001E330D">
      <w:pPr>
        <w:spacing w:after="0" w:line="240" w:lineRule="auto"/>
        <w:ind w:left="1440"/>
        <w:jc w:val="both"/>
        <w:rPr>
          <w:rFonts w:ascii="Arial" w:hAnsi="Arial" w:cs="Arial"/>
        </w:rPr>
      </w:pPr>
      <w:r w:rsidRPr="001E330D">
        <w:rPr>
          <w:rFonts w:ascii="Arial" w:hAnsi="Arial" w:cs="Arial"/>
        </w:rPr>
        <w:t>El resultado del cálculo del riesgo sanitario, conforme a las reglas y criterios previstos en la presente Resolución, será utilizado para la aplicación de las medidas cautelares, las cuales deberán fundarse conforme al nivel de riesgo detectado (bajo, medio o alto), en proporción al peligro inminente y grave para la salud pública.</w:t>
      </w:r>
    </w:p>
    <w:p w:rsidR="001E330D" w:rsidRPr="001E330D" w:rsidRDefault="001E330D" w:rsidP="001E330D">
      <w:pPr>
        <w:spacing w:after="0" w:line="240" w:lineRule="auto"/>
        <w:jc w:val="both"/>
        <w:rPr>
          <w:rFonts w:ascii="Arial" w:hAnsi="Arial" w:cs="Arial"/>
          <w:sz w:val="10"/>
          <w:szCs w:val="10"/>
        </w:rPr>
      </w:pPr>
      <w:r w:rsidRPr="001E330D">
        <w:rPr>
          <w:rFonts w:ascii="Arial" w:hAnsi="Arial" w:cs="Arial"/>
        </w:rPr>
        <w:t xml:space="preserve"> </w:t>
      </w:r>
    </w:p>
    <w:p w:rsidR="001E330D" w:rsidRPr="001E330D" w:rsidRDefault="001E330D" w:rsidP="001E330D">
      <w:pPr>
        <w:spacing w:after="0" w:line="240" w:lineRule="auto"/>
        <w:ind w:left="1440"/>
        <w:jc w:val="both"/>
        <w:rPr>
          <w:rFonts w:ascii="Arial" w:hAnsi="Arial" w:cs="Arial"/>
        </w:rPr>
      </w:pPr>
      <w:r w:rsidRPr="001E330D">
        <w:rPr>
          <w:rFonts w:ascii="Arial" w:hAnsi="Arial" w:cs="Arial"/>
        </w:rPr>
        <w:t xml:space="preserve">La/s sanción/es deberá/n graduarse dentro de los rangos establecidos en el Artículo 4° de la Resolución DINAVISA </w:t>
      </w:r>
      <w:proofErr w:type="spellStart"/>
      <w:r w:rsidRPr="001E330D">
        <w:rPr>
          <w:rFonts w:ascii="Arial" w:hAnsi="Arial" w:cs="Arial"/>
        </w:rPr>
        <w:t>N°</w:t>
      </w:r>
      <w:proofErr w:type="spellEnd"/>
      <w:r w:rsidRPr="001E330D">
        <w:rPr>
          <w:rFonts w:ascii="Arial" w:hAnsi="Arial" w:cs="Arial"/>
        </w:rPr>
        <w:t xml:space="preserve"> 265/2022 o la que la modifique o reemplace, y determinarse basándose en el resultado del cálculo del riesgo sanitario de los hechos acreditados durante el procedimiento sumarial, debiendo el órgano resolutor aplicar la penalidad correspondiente al nivel de riesgo, sin perjuicio de las circunstancias atenuantes y agravantes a considerar, previstas en los Artículos 5° y 6° de la misma Resolución.</w:t>
      </w:r>
    </w:p>
    <w:p w:rsidR="001E330D" w:rsidRPr="001E330D" w:rsidRDefault="001E330D" w:rsidP="001E330D">
      <w:pPr>
        <w:spacing w:after="0" w:line="240" w:lineRule="auto"/>
        <w:jc w:val="both"/>
        <w:rPr>
          <w:rFonts w:ascii="Arial" w:hAnsi="Arial" w:cs="Arial"/>
        </w:rPr>
      </w:pPr>
    </w:p>
    <w:p w:rsidR="001E330D" w:rsidRPr="001E330D" w:rsidRDefault="001E330D" w:rsidP="001E330D">
      <w:pPr>
        <w:spacing w:after="0" w:line="240" w:lineRule="auto"/>
        <w:ind w:left="1440" w:hanging="1440"/>
        <w:jc w:val="both"/>
        <w:rPr>
          <w:rFonts w:ascii="Arial" w:hAnsi="Arial" w:cs="Arial"/>
        </w:rPr>
      </w:pPr>
      <w:r w:rsidRPr="001E330D">
        <w:rPr>
          <w:rFonts w:ascii="Arial" w:hAnsi="Arial" w:cs="Arial"/>
          <w:b/>
          <w:bCs/>
        </w:rPr>
        <w:t>Artículo 7</w:t>
      </w:r>
      <w:proofErr w:type="gramStart"/>
      <w:r w:rsidRPr="001E330D">
        <w:rPr>
          <w:rFonts w:ascii="Arial" w:hAnsi="Arial" w:cs="Arial"/>
          <w:b/>
          <w:bCs/>
        </w:rPr>
        <w:t>°.-</w:t>
      </w:r>
      <w:proofErr w:type="gramEnd"/>
      <w:r w:rsidRPr="001E330D">
        <w:rPr>
          <w:rFonts w:ascii="Arial" w:hAnsi="Arial" w:cs="Arial"/>
          <w:b/>
          <w:bCs/>
        </w:rPr>
        <w:t xml:space="preserve"> </w:t>
      </w:r>
      <w:r w:rsidRPr="001E330D">
        <w:rPr>
          <w:rFonts w:ascii="Arial" w:hAnsi="Arial" w:cs="Arial"/>
          <w:b/>
          <w:bCs/>
        </w:rPr>
        <w:tab/>
      </w:r>
      <w:r w:rsidRPr="001E330D">
        <w:rPr>
          <w:rFonts w:ascii="Arial" w:hAnsi="Arial" w:cs="Arial"/>
        </w:rPr>
        <w:t>Definir los niveles de riesgo sanitario y su correlación con la clasificación de la falta y el rango de multa, conforme a la siguiente escala:</w:t>
      </w:r>
    </w:p>
    <w:p w:rsidR="001E330D" w:rsidRPr="001E330D" w:rsidRDefault="001E330D" w:rsidP="001E330D">
      <w:pPr>
        <w:spacing w:after="0" w:line="240" w:lineRule="auto"/>
        <w:jc w:val="both"/>
        <w:rPr>
          <w:rFonts w:ascii="Arial" w:hAnsi="Arial" w:cs="Arial"/>
        </w:rPr>
      </w:pPr>
      <w:r w:rsidRPr="001E330D">
        <w:rPr>
          <w:rFonts w:ascii="Arial" w:hAnsi="Arial" w:cs="Arial"/>
        </w:rPr>
        <w:t xml:space="preserve"> </w:t>
      </w:r>
    </w:p>
    <w:tbl>
      <w:tblPr>
        <w:tblW w:w="7365" w:type="dxa"/>
        <w:tblInd w:w="1455" w:type="dxa"/>
        <w:tblBorders>
          <w:top w:val="nil"/>
          <w:left w:val="nil"/>
          <w:bottom w:val="nil"/>
          <w:right w:val="nil"/>
          <w:insideH w:val="nil"/>
          <w:insideV w:val="nil"/>
        </w:tblBorders>
        <w:tblLayout w:type="fixed"/>
        <w:tblLook w:val="0600" w:firstRow="0" w:lastRow="0" w:firstColumn="0" w:lastColumn="0" w:noHBand="1" w:noVBand="1"/>
      </w:tblPr>
      <w:tblGrid>
        <w:gridCol w:w="1725"/>
        <w:gridCol w:w="1575"/>
        <w:gridCol w:w="2040"/>
        <w:gridCol w:w="2025"/>
      </w:tblGrid>
      <w:tr w:rsidR="001E330D" w:rsidRPr="001E330D" w:rsidTr="00032E1A">
        <w:trPr>
          <w:trHeight w:val="685"/>
        </w:trPr>
        <w:tc>
          <w:tcPr>
            <w:tcW w:w="1725" w:type="dxa"/>
            <w:tcBorders>
              <w:top w:val="single" w:sz="4" w:space="0" w:color="000000"/>
              <w:left w:val="single" w:sz="4" w:space="0" w:color="000000"/>
              <w:bottom w:val="single" w:sz="4" w:space="0" w:color="000000"/>
              <w:right w:val="single" w:sz="4" w:space="0" w:color="000000"/>
            </w:tcBorders>
            <w:tcMar>
              <w:top w:w="160" w:type="dxa"/>
              <w:left w:w="0" w:type="dxa"/>
              <w:bottom w:w="160" w:type="dxa"/>
              <w:right w:w="240" w:type="dxa"/>
            </w:tcMar>
          </w:tcPr>
          <w:p w:rsidR="001E330D" w:rsidRPr="001E330D" w:rsidRDefault="001E330D" w:rsidP="001E330D">
            <w:pPr>
              <w:spacing w:after="0" w:line="240" w:lineRule="auto"/>
              <w:ind w:left="98" w:right="-173"/>
              <w:jc w:val="center"/>
              <w:rPr>
                <w:rFonts w:ascii="Arial" w:hAnsi="Arial" w:cs="Arial"/>
              </w:rPr>
            </w:pPr>
            <w:r w:rsidRPr="001E330D">
              <w:rPr>
                <w:rFonts w:ascii="Arial" w:hAnsi="Arial" w:cs="Arial"/>
              </w:rPr>
              <w:t>Puntaje obtenido (semáforo)</w:t>
            </w:r>
          </w:p>
        </w:tc>
        <w:tc>
          <w:tcPr>
            <w:tcW w:w="1575" w:type="dxa"/>
            <w:tcBorders>
              <w:top w:val="single" w:sz="4" w:space="0" w:color="000000"/>
              <w:left w:val="nil"/>
              <w:bottom w:val="single" w:sz="4" w:space="0" w:color="000000"/>
              <w:right w:val="single" w:sz="4" w:space="0" w:color="000000"/>
            </w:tcBorders>
            <w:tcMar>
              <w:top w:w="160" w:type="dxa"/>
              <w:left w:w="240" w:type="dxa"/>
              <w:bottom w:w="160" w:type="dxa"/>
              <w:right w:w="240" w:type="dxa"/>
            </w:tcMar>
          </w:tcPr>
          <w:p w:rsidR="001E330D" w:rsidRPr="001E330D" w:rsidRDefault="001E330D" w:rsidP="001E330D">
            <w:pPr>
              <w:spacing w:after="0" w:line="240" w:lineRule="auto"/>
              <w:ind w:right="-162"/>
              <w:jc w:val="center"/>
              <w:rPr>
                <w:rFonts w:ascii="Arial" w:hAnsi="Arial" w:cs="Arial"/>
              </w:rPr>
            </w:pPr>
            <w:r w:rsidRPr="001E330D">
              <w:rPr>
                <w:rFonts w:ascii="Arial" w:hAnsi="Arial" w:cs="Arial"/>
              </w:rPr>
              <w:t>Categoría de riesgo</w:t>
            </w:r>
          </w:p>
        </w:tc>
        <w:tc>
          <w:tcPr>
            <w:tcW w:w="2040" w:type="dxa"/>
            <w:tcBorders>
              <w:top w:val="single" w:sz="4" w:space="0" w:color="000000"/>
              <w:left w:val="nil"/>
              <w:bottom w:val="single" w:sz="4" w:space="0" w:color="000000"/>
              <w:right w:val="single" w:sz="4" w:space="0" w:color="000000"/>
            </w:tcBorders>
            <w:tcMar>
              <w:top w:w="160" w:type="dxa"/>
              <w:left w:w="240" w:type="dxa"/>
              <w:bottom w:w="160" w:type="dxa"/>
              <w:right w:w="240" w:type="dxa"/>
            </w:tcMar>
          </w:tcPr>
          <w:p w:rsidR="001E330D" w:rsidRPr="001E330D" w:rsidRDefault="001E330D" w:rsidP="001E330D">
            <w:pPr>
              <w:spacing w:after="0" w:line="240" w:lineRule="auto"/>
              <w:ind w:right="-107"/>
              <w:jc w:val="center"/>
              <w:rPr>
                <w:rFonts w:ascii="Arial" w:hAnsi="Arial" w:cs="Arial"/>
              </w:rPr>
            </w:pPr>
            <w:r w:rsidRPr="001E330D">
              <w:rPr>
                <w:rFonts w:ascii="Arial" w:hAnsi="Arial" w:cs="Arial"/>
              </w:rPr>
              <w:t>Clasificación de la falta</w:t>
            </w:r>
          </w:p>
        </w:tc>
        <w:tc>
          <w:tcPr>
            <w:tcW w:w="2025" w:type="dxa"/>
            <w:tcBorders>
              <w:top w:val="single" w:sz="4" w:space="0" w:color="000000"/>
              <w:left w:val="nil"/>
              <w:bottom w:val="single" w:sz="4" w:space="0" w:color="000000"/>
              <w:right w:val="single" w:sz="4" w:space="0" w:color="000000"/>
            </w:tcBorders>
            <w:tcMar>
              <w:top w:w="160" w:type="dxa"/>
              <w:left w:w="240" w:type="dxa"/>
              <w:bottom w:w="160" w:type="dxa"/>
              <w:right w:w="240" w:type="dxa"/>
            </w:tcMar>
          </w:tcPr>
          <w:p w:rsidR="001E330D" w:rsidRPr="001E330D" w:rsidRDefault="001E330D" w:rsidP="001E330D">
            <w:pPr>
              <w:spacing w:after="0" w:line="240" w:lineRule="auto"/>
              <w:jc w:val="center"/>
              <w:rPr>
                <w:rFonts w:ascii="Arial" w:hAnsi="Arial" w:cs="Arial"/>
              </w:rPr>
            </w:pPr>
            <w:r w:rsidRPr="001E330D">
              <w:rPr>
                <w:rFonts w:ascii="Arial" w:hAnsi="Arial" w:cs="Arial"/>
              </w:rPr>
              <w:t>Rango de multa (jornales)</w:t>
            </w:r>
          </w:p>
        </w:tc>
      </w:tr>
      <w:tr w:rsidR="001E330D" w:rsidRPr="001E330D" w:rsidTr="00374F79">
        <w:trPr>
          <w:trHeight w:val="24"/>
        </w:trPr>
        <w:tc>
          <w:tcPr>
            <w:tcW w:w="1725" w:type="dxa"/>
            <w:tcBorders>
              <w:top w:val="nil"/>
              <w:left w:val="single" w:sz="4" w:space="0" w:color="000000"/>
              <w:bottom w:val="single" w:sz="4" w:space="0" w:color="000000"/>
              <w:right w:val="single" w:sz="4" w:space="0" w:color="000000"/>
            </w:tcBorders>
            <w:tcMar>
              <w:top w:w="160" w:type="dxa"/>
              <w:left w:w="0" w:type="dxa"/>
              <w:bottom w:w="160" w:type="dxa"/>
              <w:right w:w="240" w:type="dxa"/>
            </w:tcMar>
            <w:vAlign w:val="center"/>
          </w:tcPr>
          <w:p w:rsidR="001E330D" w:rsidRPr="001E330D" w:rsidRDefault="001E330D" w:rsidP="00374F79">
            <w:pPr>
              <w:spacing w:after="0" w:line="240" w:lineRule="auto"/>
              <w:ind w:left="98" w:right="-173"/>
              <w:jc w:val="center"/>
              <w:rPr>
                <w:rFonts w:ascii="Arial" w:hAnsi="Arial" w:cs="Arial"/>
              </w:rPr>
            </w:pPr>
            <w:r w:rsidRPr="001E330D">
              <w:rPr>
                <w:rFonts w:ascii="Arial" w:hAnsi="Arial" w:cs="Arial"/>
              </w:rPr>
              <w:t>Hasta 2,40</w:t>
            </w:r>
          </w:p>
        </w:tc>
        <w:tc>
          <w:tcPr>
            <w:tcW w:w="1575" w:type="dxa"/>
            <w:tcBorders>
              <w:top w:val="nil"/>
              <w:left w:val="nil"/>
              <w:bottom w:val="single" w:sz="4" w:space="0" w:color="000000"/>
              <w:right w:val="single" w:sz="4" w:space="0" w:color="000000"/>
            </w:tcBorders>
            <w:tcMar>
              <w:top w:w="160" w:type="dxa"/>
              <w:left w:w="240" w:type="dxa"/>
              <w:bottom w:w="160" w:type="dxa"/>
              <w:right w:w="240" w:type="dxa"/>
            </w:tcMar>
          </w:tcPr>
          <w:p w:rsidR="001E330D" w:rsidRPr="001E330D" w:rsidRDefault="001E330D" w:rsidP="001E330D">
            <w:pPr>
              <w:spacing w:after="0" w:line="240" w:lineRule="auto"/>
              <w:ind w:right="-162"/>
              <w:jc w:val="center"/>
              <w:rPr>
                <w:rFonts w:ascii="Arial" w:hAnsi="Arial" w:cs="Arial"/>
              </w:rPr>
            </w:pPr>
            <w:r w:rsidRPr="001E330D">
              <w:rPr>
                <w:rFonts w:ascii="Arial" w:hAnsi="Arial" w:cs="Arial"/>
              </w:rPr>
              <w:t>Bajo</w:t>
            </w:r>
          </w:p>
        </w:tc>
        <w:tc>
          <w:tcPr>
            <w:tcW w:w="2040" w:type="dxa"/>
            <w:tcBorders>
              <w:top w:val="nil"/>
              <w:left w:val="nil"/>
              <w:bottom w:val="single" w:sz="4" w:space="0" w:color="000000"/>
              <w:right w:val="single" w:sz="4" w:space="0" w:color="000000"/>
            </w:tcBorders>
            <w:tcMar>
              <w:top w:w="160" w:type="dxa"/>
              <w:left w:w="240" w:type="dxa"/>
              <w:bottom w:w="160" w:type="dxa"/>
              <w:right w:w="240" w:type="dxa"/>
            </w:tcMar>
          </w:tcPr>
          <w:p w:rsidR="001E330D" w:rsidRPr="001E330D" w:rsidRDefault="001E330D" w:rsidP="001E330D">
            <w:pPr>
              <w:spacing w:after="0" w:line="240" w:lineRule="auto"/>
              <w:ind w:right="-248"/>
              <w:jc w:val="center"/>
              <w:rPr>
                <w:rFonts w:ascii="Arial" w:hAnsi="Arial" w:cs="Arial"/>
              </w:rPr>
            </w:pPr>
            <w:r w:rsidRPr="001E330D">
              <w:rPr>
                <w:rFonts w:ascii="Arial" w:hAnsi="Arial" w:cs="Arial"/>
              </w:rPr>
              <w:t>Leve</w:t>
            </w:r>
          </w:p>
        </w:tc>
        <w:tc>
          <w:tcPr>
            <w:tcW w:w="2025" w:type="dxa"/>
            <w:tcBorders>
              <w:top w:val="nil"/>
              <w:left w:val="nil"/>
              <w:bottom w:val="single" w:sz="4" w:space="0" w:color="000000"/>
              <w:right w:val="single" w:sz="4" w:space="0" w:color="000000"/>
            </w:tcBorders>
            <w:tcMar>
              <w:top w:w="160" w:type="dxa"/>
              <w:left w:w="240" w:type="dxa"/>
              <w:bottom w:w="160" w:type="dxa"/>
              <w:right w:w="0" w:type="dxa"/>
            </w:tcMar>
          </w:tcPr>
          <w:p w:rsidR="001E330D" w:rsidRPr="001E330D" w:rsidRDefault="001E330D" w:rsidP="001E330D">
            <w:pPr>
              <w:spacing w:after="0" w:line="240" w:lineRule="auto"/>
              <w:ind w:right="179"/>
              <w:jc w:val="center"/>
              <w:rPr>
                <w:rFonts w:ascii="Arial" w:hAnsi="Arial" w:cs="Arial"/>
              </w:rPr>
            </w:pPr>
            <w:r w:rsidRPr="001E330D">
              <w:rPr>
                <w:rFonts w:ascii="Arial" w:hAnsi="Arial" w:cs="Arial"/>
              </w:rPr>
              <w:t>10 a 50</w:t>
            </w:r>
          </w:p>
        </w:tc>
      </w:tr>
      <w:tr w:rsidR="001E330D" w:rsidRPr="001E330D" w:rsidTr="00374F79">
        <w:trPr>
          <w:trHeight w:val="501"/>
        </w:trPr>
        <w:tc>
          <w:tcPr>
            <w:tcW w:w="1725" w:type="dxa"/>
            <w:tcBorders>
              <w:top w:val="nil"/>
              <w:left w:val="single" w:sz="4" w:space="0" w:color="000000"/>
              <w:bottom w:val="single" w:sz="4" w:space="0" w:color="000000"/>
              <w:right w:val="single" w:sz="4" w:space="0" w:color="000000"/>
            </w:tcBorders>
            <w:tcMar>
              <w:top w:w="160" w:type="dxa"/>
              <w:left w:w="0" w:type="dxa"/>
              <w:bottom w:w="160" w:type="dxa"/>
              <w:right w:w="240" w:type="dxa"/>
            </w:tcMar>
            <w:vAlign w:val="center"/>
          </w:tcPr>
          <w:p w:rsidR="001E330D" w:rsidRPr="001E330D" w:rsidRDefault="001E330D" w:rsidP="00374F79">
            <w:pPr>
              <w:spacing w:after="0" w:line="240" w:lineRule="auto"/>
              <w:ind w:left="98" w:right="-173"/>
              <w:jc w:val="center"/>
              <w:rPr>
                <w:rFonts w:ascii="Arial" w:hAnsi="Arial" w:cs="Arial"/>
              </w:rPr>
            </w:pPr>
            <w:r w:rsidRPr="001E330D">
              <w:rPr>
                <w:rFonts w:ascii="Arial" w:hAnsi="Arial" w:cs="Arial"/>
              </w:rPr>
              <w:t>mayor a 2,40 y menor a 3,20</w:t>
            </w:r>
          </w:p>
        </w:tc>
        <w:tc>
          <w:tcPr>
            <w:tcW w:w="1575" w:type="dxa"/>
            <w:tcBorders>
              <w:top w:val="nil"/>
              <w:left w:val="nil"/>
              <w:bottom w:val="single" w:sz="4" w:space="0" w:color="000000"/>
              <w:right w:val="single" w:sz="4" w:space="0" w:color="000000"/>
            </w:tcBorders>
            <w:tcMar>
              <w:top w:w="160" w:type="dxa"/>
              <w:left w:w="240" w:type="dxa"/>
              <w:bottom w:w="160" w:type="dxa"/>
              <w:right w:w="240" w:type="dxa"/>
            </w:tcMar>
            <w:vAlign w:val="center"/>
          </w:tcPr>
          <w:p w:rsidR="001E330D" w:rsidRPr="001E330D" w:rsidRDefault="001E330D" w:rsidP="00A600A9">
            <w:pPr>
              <w:spacing w:after="0" w:line="240" w:lineRule="auto"/>
              <w:ind w:right="-162"/>
              <w:jc w:val="center"/>
              <w:rPr>
                <w:rFonts w:ascii="Arial" w:hAnsi="Arial" w:cs="Arial"/>
              </w:rPr>
            </w:pPr>
            <w:r w:rsidRPr="001E330D">
              <w:rPr>
                <w:rFonts w:ascii="Arial" w:hAnsi="Arial" w:cs="Arial"/>
              </w:rPr>
              <w:t>Medio</w:t>
            </w:r>
          </w:p>
        </w:tc>
        <w:tc>
          <w:tcPr>
            <w:tcW w:w="2040" w:type="dxa"/>
            <w:tcBorders>
              <w:top w:val="nil"/>
              <w:left w:val="nil"/>
              <w:bottom w:val="single" w:sz="4" w:space="0" w:color="000000"/>
              <w:right w:val="single" w:sz="4" w:space="0" w:color="000000"/>
            </w:tcBorders>
            <w:tcMar>
              <w:top w:w="160" w:type="dxa"/>
              <w:left w:w="240" w:type="dxa"/>
              <w:bottom w:w="160" w:type="dxa"/>
              <w:right w:w="240" w:type="dxa"/>
            </w:tcMar>
            <w:vAlign w:val="center"/>
          </w:tcPr>
          <w:p w:rsidR="001E330D" w:rsidRPr="001E330D" w:rsidRDefault="001E330D" w:rsidP="00A600A9">
            <w:pPr>
              <w:spacing w:after="0" w:line="240" w:lineRule="auto"/>
              <w:ind w:right="-248"/>
              <w:jc w:val="center"/>
              <w:rPr>
                <w:rFonts w:ascii="Arial" w:hAnsi="Arial" w:cs="Arial"/>
              </w:rPr>
            </w:pPr>
            <w:r w:rsidRPr="001E330D">
              <w:rPr>
                <w:rFonts w:ascii="Arial" w:hAnsi="Arial" w:cs="Arial"/>
              </w:rPr>
              <w:t>Grave</w:t>
            </w:r>
          </w:p>
        </w:tc>
        <w:tc>
          <w:tcPr>
            <w:tcW w:w="2025" w:type="dxa"/>
            <w:tcBorders>
              <w:top w:val="nil"/>
              <w:left w:val="nil"/>
              <w:bottom w:val="single" w:sz="4" w:space="0" w:color="000000"/>
              <w:right w:val="single" w:sz="4" w:space="0" w:color="000000"/>
            </w:tcBorders>
            <w:tcMar>
              <w:top w:w="160" w:type="dxa"/>
              <w:left w:w="240" w:type="dxa"/>
              <w:bottom w:w="160" w:type="dxa"/>
              <w:right w:w="0" w:type="dxa"/>
            </w:tcMar>
            <w:vAlign w:val="center"/>
          </w:tcPr>
          <w:p w:rsidR="001E330D" w:rsidRPr="001E330D" w:rsidRDefault="001E330D" w:rsidP="00A600A9">
            <w:pPr>
              <w:spacing w:after="0" w:line="240" w:lineRule="auto"/>
              <w:ind w:right="179"/>
              <w:jc w:val="center"/>
              <w:rPr>
                <w:rFonts w:ascii="Arial" w:hAnsi="Arial" w:cs="Arial"/>
              </w:rPr>
            </w:pPr>
            <w:r w:rsidRPr="001E330D">
              <w:rPr>
                <w:rFonts w:ascii="Arial" w:hAnsi="Arial" w:cs="Arial"/>
              </w:rPr>
              <w:t>51 a 250</w:t>
            </w:r>
          </w:p>
        </w:tc>
      </w:tr>
      <w:tr w:rsidR="001E330D" w:rsidRPr="001E330D" w:rsidTr="00374F79">
        <w:trPr>
          <w:trHeight w:val="356"/>
        </w:trPr>
        <w:tc>
          <w:tcPr>
            <w:tcW w:w="1725" w:type="dxa"/>
            <w:tcBorders>
              <w:top w:val="nil"/>
              <w:left w:val="single" w:sz="4" w:space="0" w:color="000000"/>
              <w:bottom w:val="single" w:sz="4" w:space="0" w:color="000000"/>
              <w:right w:val="single" w:sz="4" w:space="0" w:color="000000"/>
            </w:tcBorders>
            <w:tcMar>
              <w:top w:w="160" w:type="dxa"/>
              <w:left w:w="0" w:type="dxa"/>
              <w:bottom w:w="160" w:type="dxa"/>
              <w:right w:w="240" w:type="dxa"/>
            </w:tcMar>
            <w:vAlign w:val="center"/>
          </w:tcPr>
          <w:p w:rsidR="001E330D" w:rsidRPr="001E330D" w:rsidRDefault="001E330D" w:rsidP="00374F79">
            <w:pPr>
              <w:spacing w:after="0" w:line="240" w:lineRule="auto"/>
              <w:ind w:left="98" w:right="-173"/>
              <w:jc w:val="center"/>
              <w:rPr>
                <w:rFonts w:ascii="Arial" w:hAnsi="Arial" w:cs="Arial"/>
              </w:rPr>
            </w:pPr>
            <w:r w:rsidRPr="001E330D">
              <w:rPr>
                <w:rFonts w:ascii="Arial" w:hAnsi="Arial" w:cs="Arial"/>
              </w:rPr>
              <w:t>Igual o mayor a 3,20</w:t>
            </w:r>
          </w:p>
        </w:tc>
        <w:tc>
          <w:tcPr>
            <w:tcW w:w="1575" w:type="dxa"/>
            <w:tcBorders>
              <w:top w:val="nil"/>
              <w:left w:val="nil"/>
              <w:bottom w:val="single" w:sz="4" w:space="0" w:color="000000"/>
              <w:right w:val="single" w:sz="4" w:space="0" w:color="000000"/>
            </w:tcBorders>
            <w:tcMar>
              <w:top w:w="160" w:type="dxa"/>
              <w:left w:w="240" w:type="dxa"/>
              <w:bottom w:w="160" w:type="dxa"/>
              <w:right w:w="240" w:type="dxa"/>
            </w:tcMar>
            <w:vAlign w:val="center"/>
          </w:tcPr>
          <w:p w:rsidR="001E330D" w:rsidRPr="001E330D" w:rsidRDefault="001E330D" w:rsidP="00A600A9">
            <w:pPr>
              <w:spacing w:after="0" w:line="240" w:lineRule="auto"/>
              <w:ind w:right="-162"/>
              <w:jc w:val="center"/>
              <w:rPr>
                <w:rFonts w:ascii="Arial" w:hAnsi="Arial" w:cs="Arial"/>
              </w:rPr>
            </w:pPr>
            <w:r w:rsidRPr="001E330D">
              <w:rPr>
                <w:rFonts w:ascii="Arial" w:hAnsi="Arial" w:cs="Arial"/>
              </w:rPr>
              <w:t>Alto</w:t>
            </w:r>
          </w:p>
        </w:tc>
        <w:tc>
          <w:tcPr>
            <w:tcW w:w="2040" w:type="dxa"/>
            <w:tcBorders>
              <w:top w:val="nil"/>
              <w:left w:val="nil"/>
              <w:bottom w:val="single" w:sz="4" w:space="0" w:color="000000"/>
              <w:right w:val="single" w:sz="4" w:space="0" w:color="000000"/>
            </w:tcBorders>
            <w:tcMar>
              <w:top w:w="160" w:type="dxa"/>
              <w:left w:w="240" w:type="dxa"/>
              <w:bottom w:w="160" w:type="dxa"/>
              <w:right w:w="240" w:type="dxa"/>
            </w:tcMar>
            <w:vAlign w:val="center"/>
          </w:tcPr>
          <w:p w:rsidR="001E330D" w:rsidRPr="001E330D" w:rsidRDefault="001E330D" w:rsidP="00A600A9">
            <w:pPr>
              <w:spacing w:after="0" w:line="240" w:lineRule="auto"/>
              <w:ind w:right="-248"/>
              <w:jc w:val="center"/>
              <w:rPr>
                <w:rFonts w:ascii="Arial" w:hAnsi="Arial" w:cs="Arial"/>
              </w:rPr>
            </w:pPr>
            <w:r w:rsidRPr="001E330D">
              <w:rPr>
                <w:rFonts w:ascii="Arial" w:hAnsi="Arial" w:cs="Arial"/>
              </w:rPr>
              <w:t>Grave</w:t>
            </w:r>
          </w:p>
        </w:tc>
        <w:tc>
          <w:tcPr>
            <w:tcW w:w="2025" w:type="dxa"/>
            <w:tcBorders>
              <w:top w:val="nil"/>
              <w:left w:val="nil"/>
              <w:bottom w:val="single" w:sz="4" w:space="0" w:color="000000"/>
              <w:right w:val="single" w:sz="4" w:space="0" w:color="000000"/>
            </w:tcBorders>
            <w:tcMar>
              <w:top w:w="160" w:type="dxa"/>
              <w:left w:w="240" w:type="dxa"/>
              <w:bottom w:w="160" w:type="dxa"/>
              <w:right w:w="0" w:type="dxa"/>
            </w:tcMar>
            <w:vAlign w:val="center"/>
          </w:tcPr>
          <w:p w:rsidR="001E330D" w:rsidRPr="001E330D" w:rsidRDefault="001E330D" w:rsidP="00A600A9">
            <w:pPr>
              <w:spacing w:after="0" w:line="240" w:lineRule="auto"/>
              <w:ind w:right="179"/>
              <w:jc w:val="center"/>
              <w:rPr>
                <w:rFonts w:ascii="Arial" w:hAnsi="Arial" w:cs="Arial"/>
              </w:rPr>
            </w:pPr>
            <w:r w:rsidRPr="001E330D">
              <w:rPr>
                <w:rFonts w:ascii="Arial" w:hAnsi="Arial" w:cs="Arial"/>
              </w:rPr>
              <w:t>251 a 500</w:t>
            </w:r>
          </w:p>
        </w:tc>
      </w:tr>
    </w:tbl>
    <w:p w:rsidR="001E330D" w:rsidRPr="001E330D" w:rsidRDefault="001E330D" w:rsidP="001E330D">
      <w:pPr>
        <w:spacing w:after="0" w:line="240" w:lineRule="auto"/>
        <w:jc w:val="both"/>
        <w:rPr>
          <w:rFonts w:ascii="Arial" w:hAnsi="Arial" w:cs="Arial"/>
          <w:b/>
          <w:bCs/>
          <w:sz w:val="10"/>
          <w:szCs w:val="10"/>
        </w:rPr>
      </w:pPr>
      <w:r w:rsidRPr="001E330D">
        <w:rPr>
          <w:rFonts w:ascii="Arial" w:hAnsi="Arial" w:cs="Arial"/>
          <w:b/>
          <w:bCs/>
        </w:rPr>
        <w:t xml:space="preserve"> </w:t>
      </w:r>
    </w:p>
    <w:p w:rsidR="001E330D" w:rsidRPr="001E330D" w:rsidRDefault="001E330D" w:rsidP="001E330D">
      <w:pPr>
        <w:spacing w:after="0" w:line="240" w:lineRule="auto"/>
        <w:ind w:left="1440"/>
        <w:jc w:val="both"/>
        <w:rPr>
          <w:rFonts w:ascii="Arial" w:hAnsi="Arial" w:cs="Arial"/>
        </w:rPr>
      </w:pPr>
      <w:r w:rsidRPr="001E330D">
        <w:rPr>
          <w:rFonts w:ascii="Arial" w:hAnsi="Arial" w:cs="Arial"/>
        </w:rPr>
        <w:t xml:space="preserve">Sin perjuicio de la aplicación de las otras sanciones previstas en el </w:t>
      </w:r>
      <w:r w:rsidR="009134B2">
        <w:rPr>
          <w:rFonts w:ascii="Arial" w:hAnsi="Arial" w:cs="Arial"/>
        </w:rPr>
        <w:t xml:space="preserve">artículo </w:t>
      </w:r>
      <w:r w:rsidRPr="001E330D">
        <w:rPr>
          <w:rFonts w:ascii="Arial" w:hAnsi="Arial" w:cs="Arial"/>
        </w:rPr>
        <w:t xml:space="preserve">28 y </w:t>
      </w:r>
      <w:r w:rsidR="009134B2">
        <w:rPr>
          <w:rFonts w:ascii="Arial" w:hAnsi="Arial" w:cs="Arial"/>
        </w:rPr>
        <w:t xml:space="preserve">la acumulación de sanciones según el artículo </w:t>
      </w:r>
      <w:r w:rsidRPr="001E330D">
        <w:rPr>
          <w:rFonts w:ascii="Arial" w:hAnsi="Arial" w:cs="Arial"/>
        </w:rPr>
        <w:t xml:space="preserve">29 </w:t>
      </w:r>
      <w:r w:rsidR="009134B2">
        <w:rPr>
          <w:rFonts w:ascii="Arial" w:hAnsi="Arial" w:cs="Arial"/>
        </w:rPr>
        <w:t xml:space="preserve">y 38 </w:t>
      </w:r>
      <w:r w:rsidRPr="001E330D">
        <w:rPr>
          <w:rFonts w:ascii="Arial" w:hAnsi="Arial" w:cs="Arial"/>
        </w:rPr>
        <w:t xml:space="preserve">de la Ley </w:t>
      </w:r>
      <w:proofErr w:type="spellStart"/>
      <w:r w:rsidR="00A600A9">
        <w:rPr>
          <w:rFonts w:ascii="Arial" w:hAnsi="Arial" w:cs="Arial"/>
        </w:rPr>
        <w:t>Nº</w:t>
      </w:r>
      <w:proofErr w:type="spellEnd"/>
      <w:r w:rsidR="00A600A9">
        <w:rPr>
          <w:rFonts w:ascii="Arial" w:hAnsi="Arial" w:cs="Arial"/>
        </w:rPr>
        <w:t xml:space="preserve"> </w:t>
      </w:r>
      <w:r w:rsidRPr="001E330D">
        <w:rPr>
          <w:rFonts w:ascii="Arial" w:hAnsi="Arial" w:cs="Arial"/>
        </w:rPr>
        <w:t>6788/2021.</w:t>
      </w:r>
    </w:p>
    <w:p w:rsidR="001E330D" w:rsidRPr="001E330D" w:rsidRDefault="001E330D" w:rsidP="001E330D">
      <w:pPr>
        <w:spacing w:after="0" w:line="240" w:lineRule="auto"/>
        <w:jc w:val="both"/>
        <w:rPr>
          <w:rFonts w:ascii="Arial" w:hAnsi="Arial" w:cs="Arial"/>
          <w:b/>
          <w:bCs/>
        </w:rPr>
      </w:pPr>
      <w:r w:rsidRPr="001E330D">
        <w:rPr>
          <w:rFonts w:ascii="Arial" w:hAnsi="Arial" w:cs="Arial"/>
          <w:b/>
          <w:bCs/>
        </w:rPr>
        <w:t xml:space="preserve"> </w:t>
      </w:r>
    </w:p>
    <w:p w:rsidR="001E330D" w:rsidRPr="001E330D" w:rsidRDefault="001E330D" w:rsidP="001E330D">
      <w:pPr>
        <w:spacing w:after="0" w:line="240" w:lineRule="auto"/>
        <w:ind w:left="1440" w:hanging="1440"/>
        <w:jc w:val="both"/>
        <w:rPr>
          <w:rFonts w:ascii="Arial" w:hAnsi="Arial" w:cs="Arial"/>
        </w:rPr>
      </w:pPr>
      <w:r w:rsidRPr="001E330D">
        <w:rPr>
          <w:rFonts w:ascii="Arial" w:hAnsi="Arial" w:cs="Arial"/>
          <w:b/>
          <w:bCs/>
        </w:rPr>
        <w:t xml:space="preserve">Artículo 8º.-   </w:t>
      </w:r>
      <w:r w:rsidRPr="001E330D">
        <w:rPr>
          <w:rFonts w:ascii="Arial" w:hAnsi="Arial" w:cs="Arial"/>
          <w:b/>
          <w:bCs/>
        </w:rPr>
        <w:tab/>
      </w:r>
      <w:r w:rsidRPr="001E330D">
        <w:rPr>
          <w:rFonts w:ascii="Arial" w:hAnsi="Arial" w:cs="Arial"/>
        </w:rPr>
        <w:t>Precisar que la reincidencia en la comisión de faltas graves será sancionada como falta muy grave, aplicándose la multa de 501 a 1.000</w:t>
      </w:r>
      <w:r w:rsidRPr="001E330D">
        <w:rPr>
          <w:rFonts w:ascii="Arial" w:hAnsi="Arial" w:cs="Arial"/>
          <w:b/>
          <w:bCs/>
        </w:rPr>
        <w:t xml:space="preserve"> </w:t>
      </w:r>
      <w:r w:rsidRPr="001E330D">
        <w:rPr>
          <w:rFonts w:ascii="Arial" w:hAnsi="Arial" w:cs="Arial"/>
        </w:rPr>
        <w:t xml:space="preserve">jornales mínimos diarios para actividades diversas no especificadas, conforme al Artículo 3° inciso c) de la Resolución DINAVISA </w:t>
      </w:r>
      <w:proofErr w:type="spellStart"/>
      <w:r w:rsidRPr="001E330D">
        <w:rPr>
          <w:rFonts w:ascii="Arial" w:hAnsi="Arial" w:cs="Arial"/>
        </w:rPr>
        <w:t>N°</w:t>
      </w:r>
      <w:proofErr w:type="spellEnd"/>
      <w:r w:rsidRPr="001E330D">
        <w:rPr>
          <w:rFonts w:ascii="Arial" w:hAnsi="Arial" w:cs="Arial"/>
        </w:rPr>
        <w:t xml:space="preserve"> 265/2022 o la que la modifique o reemplace, independientemente del puntaje de riesgo sanitario obtenido en el caso concreto.</w:t>
      </w:r>
    </w:p>
    <w:p w:rsidR="001E330D" w:rsidRPr="001E330D" w:rsidRDefault="001E330D" w:rsidP="001E330D">
      <w:pPr>
        <w:spacing w:after="0" w:line="240" w:lineRule="auto"/>
        <w:jc w:val="both"/>
        <w:rPr>
          <w:rFonts w:ascii="Arial" w:hAnsi="Arial" w:cs="Arial"/>
        </w:rPr>
      </w:pPr>
      <w:r w:rsidRPr="001E330D">
        <w:rPr>
          <w:rFonts w:ascii="Arial" w:hAnsi="Arial" w:cs="Arial"/>
        </w:rPr>
        <w:t xml:space="preserve"> </w:t>
      </w:r>
    </w:p>
    <w:p w:rsidR="001E330D" w:rsidRPr="001E330D" w:rsidRDefault="001E330D" w:rsidP="001E330D">
      <w:pPr>
        <w:spacing w:after="0" w:line="240" w:lineRule="auto"/>
        <w:ind w:left="1440" w:hanging="1440"/>
        <w:jc w:val="both"/>
        <w:rPr>
          <w:rFonts w:ascii="Arial" w:hAnsi="Arial" w:cs="Arial"/>
        </w:rPr>
      </w:pPr>
      <w:r w:rsidRPr="001E330D">
        <w:rPr>
          <w:rFonts w:ascii="Arial" w:hAnsi="Arial" w:cs="Arial"/>
          <w:b/>
          <w:bCs/>
        </w:rPr>
        <w:t xml:space="preserve">Artículo 9º.-   </w:t>
      </w:r>
      <w:r w:rsidRPr="001E330D">
        <w:rPr>
          <w:rFonts w:ascii="Arial" w:hAnsi="Arial" w:cs="Arial"/>
        </w:rPr>
        <w:t>Disponer que la Dirección General de Vigilancia, al remitir el Informe Técnico derivado de los procedimientos de fiscalización realizados por sus funcionarios, deberá incluir obligatoriamente en dicho informe el resultado del cálculo del riesgo sanitario obtenido de la aplicación del Anexo I y II, e indicar la categoría de riesgo resultante: Bajo, Medio o Alto.</w:t>
      </w:r>
    </w:p>
    <w:p w:rsidR="001E330D" w:rsidRPr="001E330D" w:rsidRDefault="001E330D" w:rsidP="001E330D">
      <w:pPr>
        <w:spacing w:after="0" w:line="240" w:lineRule="auto"/>
        <w:jc w:val="both"/>
        <w:rPr>
          <w:rFonts w:ascii="Arial" w:hAnsi="Arial" w:cs="Arial"/>
          <w:sz w:val="10"/>
          <w:szCs w:val="10"/>
        </w:rPr>
      </w:pPr>
      <w:r w:rsidRPr="001E330D">
        <w:rPr>
          <w:rFonts w:ascii="Arial" w:hAnsi="Arial" w:cs="Arial"/>
        </w:rPr>
        <w:t xml:space="preserve"> </w:t>
      </w:r>
    </w:p>
    <w:p w:rsidR="001E330D" w:rsidRPr="001E330D" w:rsidRDefault="001E330D" w:rsidP="001E330D">
      <w:pPr>
        <w:spacing w:after="0" w:line="240" w:lineRule="auto"/>
        <w:ind w:left="1440"/>
        <w:jc w:val="both"/>
        <w:rPr>
          <w:rFonts w:ascii="Arial" w:hAnsi="Arial" w:cs="Arial"/>
        </w:rPr>
      </w:pPr>
      <w:r w:rsidRPr="001E330D">
        <w:rPr>
          <w:rFonts w:ascii="Arial" w:hAnsi="Arial" w:cs="Arial"/>
        </w:rPr>
        <w:t>Dicho resultado y categoría servirán como base para la ponderación de las acciones regulatorias.</w:t>
      </w:r>
    </w:p>
    <w:p w:rsidR="001E330D" w:rsidRPr="001E330D" w:rsidRDefault="001E330D" w:rsidP="001E330D">
      <w:pPr>
        <w:spacing w:after="0" w:line="240" w:lineRule="auto"/>
        <w:jc w:val="both"/>
        <w:rPr>
          <w:rFonts w:ascii="Arial" w:hAnsi="Arial" w:cs="Arial"/>
        </w:rPr>
      </w:pPr>
      <w:r w:rsidRPr="001E330D">
        <w:rPr>
          <w:rFonts w:ascii="Arial" w:hAnsi="Arial" w:cs="Arial"/>
        </w:rPr>
        <w:t xml:space="preserve"> </w:t>
      </w:r>
    </w:p>
    <w:p w:rsidR="001E330D" w:rsidRPr="001E330D" w:rsidRDefault="001E330D" w:rsidP="001E330D">
      <w:pPr>
        <w:spacing w:after="0" w:line="240" w:lineRule="auto"/>
        <w:ind w:left="1440" w:hanging="1440"/>
        <w:jc w:val="both"/>
        <w:rPr>
          <w:rFonts w:ascii="Arial" w:hAnsi="Arial" w:cs="Arial"/>
        </w:rPr>
      </w:pPr>
      <w:r w:rsidRPr="001E330D">
        <w:rPr>
          <w:rFonts w:ascii="Arial" w:hAnsi="Arial" w:cs="Arial"/>
          <w:b/>
          <w:bCs/>
        </w:rPr>
        <w:t>Artículo 10.-</w:t>
      </w:r>
      <w:r w:rsidRPr="001E330D">
        <w:rPr>
          <w:rFonts w:ascii="Arial" w:hAnsi="Arial" w:cs="Arial"/>
          <w:b/>
          <w:bCs/>
        </w:rPr>
        <w:tab/>
      </w:r>
      <w:r w:rsidRPr="001E330D">
        <w:rPr>
          <w:rFonts w:ascii="Arial" w:hAnsi="Arial" w:cs="Arial"/>
        </w:rPr>
        <w:t>Disponer que la Dirección General de Asuntos Legales, deberá utilizar el resultado del cálculo del riesgo sanitario y la categoría de riesgo resultante: Bajo, Medio o Alto, remitido por la Dirección General de Vigilancia, a los efectos de recomendar las acciones regulatorias tanto para la adopción de medidas cautelares, la instrucción de sumario administrativo y según corresponda determinar la graduación de la multa, conforme a lo establecido en la presente Resolución.</w:t>
      </w:r>
    </w:p>
    <w:p w:rsidR="001E330D" w:rsidRPr="001E330D" w:rsidRDefault="001E330D" w:rsidP="001E330D">
      <w:pPr>
        <w:spacing w:after="0" w:line="240" w:lineRule="auto"/>
        <w:jc w:val="both"/>
        <w:rPr>
          <w:rFonts w:ascii="Arial" w:hAnsi="Arial" w:cs="Arial"/>
        </w:rPr>
      </w:pPr>
      <w:r w:rsidRPr="001E330D">
        <w:rPr>
          <w:rFonts w:ascii="Arial" w:hAnsi="Arial" w:cs="Arial"/>
        </w:rPr>
        <w:t xml:space="preserve">        </w:t>
      </w:r>
      <w:r w:rsidRPr="001E330D">
        <w:rPr>
          <w:rFonts w:ascii="Arial" w:hAnsi="Arial" w:cs="Arial"/>
        </w:rPr>
        <w:tab/>
      </w:r>
    </w:p>
    <w:p w:rsidR="001E330D" w:rsidRPr="001E330D" w:rsidRDefault="001E330D" w:rsidP="001E330D">
      <w:pPr>
        <w:spacing w:after="0" w:line="240" w:lineRule="auto"/>
        <w:ind w:left="1440" w:hanging="1440"/>
        <w:jc w:val="both"/>
        <w:rPr>
          <w:rFonts w:ascii="Arial" w:hAnsi="Arial" w:cs="Arial"/>
        </w:rPr>
      </w:pPr>
      <w:r w:rsidRPr="001E330D">
        <w:rPr>
          <w:rFonts w:ascii="Arial" w:hAnsi="Arial" w:cs="Arial"/>
          <w:b/>
          <w:bCs/>
        </w:rPr>
        <w:t>Artículo 11.-</w:t>
      </w:r>
      <w:r w:rsidRPr="001E330D">
        <w:rPr>
          <w:rFonts w:ascii="Arial" w:hAnsi="Arial" w:cs="Arial"/>
          <w:b/>
          <w:bCs/>
        </w:rPr>
        <w:tab/>
      </w:r>
      <w:r w:rsidRPr="001E330D">
        <w:rPr>
          <w:rFonts w:ascii="Arial" w:hAnsi="Arial" w:cs="Arial"/>
        </w:rPr>
        <w:t>Encomendar a la Dirección General de Vigilancia y a la Dirección General de Asuntos Legales elevar recomendaciones para la actualización técnica de los Anexos aprobados en la presente Resolución.</w:t>
      </w:r>
    </w:p>
    <w:p w:rsidR="001E330D" w:rsidRPr="001E330D" w:rsidRDefault="001E330D" w:rsidP="001E330D">
      <w:pPr>
        <w:spacing w:after="0" w:line="240" w:lineRule="auto"/>
        <w:jc w:val="both"/>
        <w:rPr>
          <w:rFonts w:ascii="Arial" w:hAnsi="Arial" w:cs="Arial"/>
          <w:b/>
          <w:bCs/>
        </w:rPr>
      </w:pPr>
      <w:r w:rsidRPr="001E330D">
        <w:rPr>
          <w:rFonts w:ascii="Arial" w:hAnsi="Arial" w:cs="Arial"/>
          <w:b/>
          <w:bCs/>
        </w:rPr>
        <w:t xml:space="preserve"> </w:t>
      </w:r>
    </w:p>
    <w:p w:rsidR="001E330D" w:rsidRPr="001E330D" w:rsidRDefault="001E330D" w:rsidP="001E330D">
      <w:pPr>
        <w:spacing w:after="0" w:line="240" w:lineRule="auto"/>
        <w:ind w:left="1440" w:hanging="1440"/>
        <w:jc w:val="both"/>
        <w:rPr>
          <w:rFonts w:ascii="Arial" w:hAnsi="Arial" w:cs="Arial"/>
        </w:rPr>
      </w:pPr>
      <w:r w:rsidRPr="001E330D">
        <w:rPr>
          <w:rFonts w:ascii="Arial" w:hAnsi="Arial" w:cs="Arial"/>
          <w:b/>
          <w:bCs/>
        </w:rPr>
        <w:t>Artículo 12.-</w:t>
      </w:r>
      <w:r w:rsidRPr="001E330D">
        <w:rPr>
          <w:rFonts w:ascii="Arial" w:hAnsi="Arial" w:cs="Arial"/>
          <w:b/>
          <w:bCs/>
        </w:rPr>
        <w:tab/>
      </w:r>
      <w:r w:rsidRPr="001E330D">
        <w:rPr>
          <w:rFonts w:ascii="Arial" w:hAnsi="Arial" w:cs="Arial"/>
        </w:rPr>
        <w:t>Establecer la obligatoriedad a la Dirección General de Vigilancia y a la Dirección General de Asuntos Legales, la implementación de lo establecido en la presente Resolución.</w:t>
      </w:r>
    </w:p>
    <w:p w:rsidR="001E330D" w:rsidRPr="001E330D" w:rsidRDefault="001E330D" w:rsidP="001E330D">
      <w:pPr>
        <w:spacing w:after="0" w:line="240" w:lineRule="auto"/>
        <w:jc w:val="both"/>
        <w:rPr>
          <w:rFonts w:ascii="Arial" w:hAnsi="Arial" w:cs="Arial"/>
          <w:b/>
          <w:bCs/>
        </w:rPr>
      </w:pPr>
      <w:r w:rsidRPr="001E330D">
        <w:rPr>
          <w:rFonts w:ascii="Arial" w:hAnsi="Arial" w:cs="Arial"/>
          <w:b/>
          <w:bCs/>
        </w:rPr>
        <w:t xml:space="preserve"> </w:t>
      </w:r>
    </w:p>
    <w:p w:rsidR="001E330D" w:rsidRPr="001E330D" w:rsidRDefault="001E330D" w:rsidP="001E330D">
      <w:pPr>
        <w:spacing w:after="0" w:line="240" w:lineRule="auto"/>
        <w:ind w:left="1440" w:hanging="1440"/>
        <w:jc w:val="both"/>
        <w:rPr>
          <w:rFonts w:ascii="Arial" w:hAnsi="Arial" w:cs="Arial"/>
        </w:rPr>
      </w:pPr>
      <w:r w:rsidRPr="001E330D">
        <w:rPr>
          <w:rFonts w:ascii="Arial" w:hAnsi="Arial" w:cs="Arial"/>
          <w:b/>
          <w:bCs/>
        </w:rPr>
        <w:t xml:space="preserve">Artículo 13.-   </w:t>
      </w:r>
      <w:r w:rsidRPr="001E330D">
        <w:rPr>
          <w:rFonts w:ascii="Arial" w:hAnsi="Arial" w:cs="Arial"/>
        </w:rPr>
        <w:t>Disponer que la presente Resolución entrará en vigencia a partir de la fecha de su firma.</w:t>
      </w:r>
    </w:p>
    <w:p w:rsidR="001E330D" w:rsidRPr="001E330D" w:rsidRDefault="001E330D" w:rsidP="001E330D">
      <w:pPr>
        <w:spacing w:after="0" w:line="240" w:lineRule="auto"/>
        <w:jc w:val="both"/>
        <w:rPr>
          <w:rFonts w:ascii="Arial" w:hAnsi="Arial" w:cs="Arial"/>
        </w:rPr>
      </w:pPr>
    </w:p>
    <w:p w:rsidR="001E330D" w:rsidRPr="001E330D" w:rsidRDefault="001E330D" w:rsidP="001E330D">
      <w:pPr>
        <w:spacing w:after="0" w:line="240" w:lineRule="auto"/>
        <w:ind w:left="1440" w:hanging="1440"/>
        <w:jc w:val="both"/>
        <w:rPr>
          <w:rFonts w:ascii="Arial" w:hAnsi="Arial" w:cs="Arial"/>
        </w:rPr>
      </w:pPr>
      <w:r w:rsidRPr="001E330D">
        <w:rPr>
          <w:rFonts w:ascii="Arial" w:hAnsi="Arial" w:cs="Arial"/>
          <w:b/>
          <w:bCs/>
        </w:rPr>
        <w:t xml:space="preserve">Artículo 14.-   </w:t>
      </w:r>
      <w:r w:rsidRPr="001E330D">
        <w:rPr>
          <w:rFonts w:ascii="Arial" w:hAnsi="Arial" w:cs="Arial"/>
        </w:rPr>
        <w:t>Comunicar a quienes corresponda, y cumplido archivar.</w:t>
      </w:r>
    </w:p>
    <w:p w:rsidR="001E330D" w:rsidRPr="001E330D" w:rsidRDefault="001E330D" w:rsidP="001E330D">
      <w:pPr>
        <w:spacing w:after="0" w:line="240" w:lineRule="auto"/>
        <w:jc w:val="both"/>
        <w:rPr>
          <w:rFonts w:ascii="Arial" w:hAnsi="Arial" w:cs="Arial"/>
        </w:rPr>
      </w:pPr>
      <w:r w:rsidRPr="001E330D">
        <w:rPr>
          <w:rFonts w:ascii="Arial" w:hAnsi="Arial" w:cs="Arial"/>
        </w:rPr>
        <w:t xml:space="preserve">  </w:t>
      </w:r>
    </w:p>
    <w:p w:rsidR="00C11D47" w:rsidRPr="001E330D" w:rsidRDefault="00C11D47" w:rsidP="001E330D">
      <w:pPr>
        <w:spacing w:after="0" w:line="240" w:lineRule="auto"/>
        <w:jc w:val="both"/>
        <w:rPr>
          <w:rFonts w:ascii="Arial" w:hAnsi="Arial" w:cs="Arial"/>
        </w:rPr>
      </w:pPr>
    </w:p>
    <w:sectPr w:rsidR="00C11D47" w:rsidRPr="001E330D" w:rsidSect="009A159C">
      <w:headerReference w:type="even" r:id="rId8"/>
      <w:headerReference w:type="default" r:id="rId9"/>
      <w:footerReference w:type="default" r:id="rId10"/>
      <w:headerReference w:type="first" r:id="rId11"/>
      <w:pgSz w:w="12240" w:h="18720" w:code="14"/>
      <w:pgMar w:top="1417" w:right="1701" w:bottom="1417" w:left="1701" w:header="708" w:footer="2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53BA" w:rsidRDefault="001053BA">
      <w:pPr>
        <w:spacing w:after="0" w:line="240" w:lineRule="auto"/>
      </w:pPr>
      <w:r>
        <w:separator/>
      </w:r>
    </w:p>
  </w:endnote>
  <w:endnote w:type="continuationSeparator" w:id="0">
    <w:p w:rsidR="001053BA" w:rsidRDefault="00105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7937792-6D45-4D36-9E6A-8C6B82F7B7A6}"/>
    <w:embedBold r:id="rId2" w:fontKey="{59C5F922-E0F1-4113-A3D2-CD4A1049BBFC}"/>
    <w:embedItalic r:id="rId3" w:fontKey="{FDF288FD-578B-43CE-9D04-722BA3979607}"/>
  </w:font>
  <w:font w:name="Georgia">
    <w:panose1 w:val="02040502050405020303"/>
    <w:charset w:val="00"/>
    <w:family w:val="roman"/>
    <w:pitch w:val="variable"/>
    <w:sig w:usb0="00000287" w:usb1="00000000" w:usb2="00000000" w:usb3="00000000" w:csb0="0000009F" w:csb1="00000000"/>
    <w:embedItalic r:id="rId4" w:fontKey="{6E2DE341-FB25-4A1E-8BE9-C7F41816DFC1}"/>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5AA7CE5D-3C93-48F4-93FA-A5556247AE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D47" w:rsidRPr="001E330D" w:rsidRDefault="00C11D47">
    <w:pPr>
      <w:pBdr>
        <w:top w:val="nil"/>
        <w:left w:val="nil"/>
        <w:bottom w:val="nil"/>
        <w:right w:val="nil"/>
        <w:between w:val="nil"/>
      </w:pBdr>
      <w:tabs>
        <w:tab w:val="center" w:pos="4252"/>
        <w:tab w:val="right" w:pos="8504"/>
      </w:tabs>
      <w:spacing w:after="0"/>
      <w:jc w:val="both"/>
      <w:rPr>
        <w:rFonts w:ascii="Arial" w:eastAsia="Arial" w:hAnsi="Arial" w:cs="Arial"/>
        <w:b/>
        <w:bCs/>
        <w:color w:val="000000"/>
        <w:sz w:val="14"/>
        <w:szCs w:val="14"/>
      </w:rPr>
    </w:pPr>
    <w:bookmarkStart w:id="1" w:name="_heading=h.ltn110g2aqe8" w:colFirst="0" w:colLast="0"/>
    <w:bookmarkEnd w:id="1"/>
  </w:p>
  <w:p w:rsidR="00C11D47" w:rsidRPr="001E330D" w:rsidRDefault="00C11D47">
    <w:pPr>
      <w:pBdr>
        <w:top w:val="nil"/>
        <w:left w:val="nil"/>
        <w:bottom w:val="nil"/>
        <w:right w:val="nil"/>
        <w:between w:val="nil"/>
      </w:pBdr>
      <w:tabs>
        <w:tab w:val="center" w:pos="4252"/>
        <w:tab w:val="right" w:pos="8504"/>
      </w:tabs>
      <w:spacing w:after="0"/>
      <w:jc w:val="both"/>
      <w:rPr>
        <w:rFonts w:ascii="Arial" w:eastAsia="Arial" w:hAnsi="Arial" w:cs="Arial"/>
        <w:b/>
        <w:bCs/>
        <w:color w:val="000000"/>
        <w:sz w:val="14"/>
        <w:szCs w:val="14"/>
      </w:rPr>
    </w:pPr>
  </w:p>
  <w:p w:rsidR="00C11D47" w:rsidRPr="001E330D" w:rsidRDefault="00C11D47">
    <w:pPr>
      <w:pBdr>
        <w:top w:val="nil"/>
        <w:left w:val="nil"/>
        <w:bottom w:val="nil"/>
        <w:right w:val="nil"/>
        <w:between w:val="nil"/>
      </w:pBdr>
      <w:tabs>
        <w:tab w:val="center" w:pos="4252"/>
        <w:tab w:val="right" w:pos="8504"/>
      </w:tabs>
      <w:spacing w:after="0"/>
      <w:jc w:val="both"/>
      <w:rPr>
        <w:rFonts w:ascii="Arial" w:eastAsia="Arial" w:hAnsi="Arial" w:cs="Arial"/>
        <w:b/>
        <w:bCs/>
        <w:color w:val="000000"/>
        <w:sz w:val="14"/>
        <w:szCs w:val="14"/>
      </w:rPr>
    </w:pPr>
  </w:p>
  <w:p w:rsidR="00C11D47" w:rsidRPr="001E330D" w:rsidRDefault="00C11D47">
    <w:pPr>
      <w:pBdr>
        <w:top w:val="nil"/>
        <w:left w:val="nil"/>
        <w:bottom w:val="nil"/>
        <w:right w:val="nil"/>
        <w:between w:val="nil"/>
      </w:pBdr>
      <w:tabs>
        <w:tab w:val="center" w:pos="4252"/>
        <w:tab w:val="right" w:pos="8504"/>
      </w:tabs>
      <w:spacing w:after="0"/>
      <w:jc w:val="both"/>
      <w:rPr>
        <w:rFonts w:ascii="Arial" w:eastAsia="Arial" w:hAnsi="Arial" w:cs="Arial"/>
        <w:b/>
        <w:bCs/>
        <w:color w:val="000000"/>
        <w:sz w:val="14"/>
        <w:szCs w:val="14"/>
      </w:rPr>
    </w:pPr>
  </w:p>
  <w:p w:rsidR="00C11D47" w:rsidRPr="001E330D" w:rsidRDefault="00C11D47">
    <w:pPr>
      <w:pBdr>
        <w:top w:val="nil"/>
        <w:left w:val="nil"/>
        <w:bottom w:val="nil"/>
        <w:right w:val="nil"/>
        <w:between w:val="nil"/>
      </w:pBdr>
      <w:tabs>
        <w:tab w:val="center" w:pos="4252"/>
        <w:tab w:val="right" w:pos="8504"/>
      </w:tabs>
      <w:spacing w:after="0"/>
      <w:jc w:val="both"/>
      <w:rPr>
        <w:rFonts w:ascii="Arial" w:eastAsia="Arial" w:hAnsi="Arial" w:cs="Arial"/>
        <w:b/>
        <w:bCs/>
        <w:color w:val="000000"/>
        <w:sz w:val="14"/>
        <w:szCs w:val="14"/>
      </w:rPr>
    </w:pPr>
  </w:p>
  <w:p w:rsidR="00C11D47" w:rsidRDefault="001053BA">
    <w:pPr>
      <w:pBdr>
        <w:top w:val="nil"/>
        <w:left w:val="nil"/>
        <w:bottom w:val="nil"/>
        <w:right w:val="nil"/>
        <w:between w:val="nil"/>
      </w:pBdr>
      <w:tabs>
        <w:tab w:val="center" w:pos="4252"/>
        <w:tab w:val="right" w:pos="8504"/>
      </w:tabs>
      <w:spacing w:after="0"/>
      <w:jc w:val="both"/>
      <w:rPr>
        <w:rFonts w:ascii="Arial" w:eastAsia="Arial" w:hAnsi="Arial" w:cs="Arial"/>
        <w:color w:val="000000"/>
        <w:sz w:val="14"/>
        <w:szCs w:val="14"/>
      </w:rPr>
    </w:pPr>
    <w:r>
      <w:rPr>
        <w:rFonts w:ascii="Arial" w:eastAsia="Arial" w:hAnsi="Arial" w:cs="Arial"/>
        <w:b/>
        <w:bCs/>
        <w:color w:val="000000"/>
        <w:sz w:val="14"/>
        <w:szCs w:val="14"/>
      </w:rPr>
      <w:t>Misión</w:t>
    </w:r>
    <w:r>
      <w:rPr>
        <w:rFonts w:ascii="Arial" w:eastAsia="Arial" w:hAnsi="Arial" w:cs="Arial"/>
        <w:color w:val="000000"/>
        <w:sz w:val="14"/>
        <w:szCs w:val="14"/>
      </w:rPr>
      <w:t>: Regular, vigilar y fiscalizar productos de aplicación en medicina y otros asignados por ley, para garantizar la calidad, seguridad y eficacia de los mismos en beneficio de las personas, respondiendo a los desafíos de la innovación y promoviendo el desarr</w:t>
    </w:r>
    <w:r>
      <w:rPr>
        <w:rFonts w:ascii="Arial" w:eastAsia="Arial" w:hAnsi="Arial" w:cs="Arial"/>
        <w:color w:val="000000"/>
        <w:sz w:val="14"/>
        <w:szCs w:val="14"/>
      </w:rPr>
      <w:t>ollo, a través de acciones coordinadas e integradas, sostenidas en normas técnicas.</w:t>
    </w:r>
  </w:p>
  <w:p w:rsidR="00C11D47" w:rsidRDefault="001053BA">
    <w:pPr>
      <w:pBdr>
        <w:top w:val="nil"/>
        <w:left w:val="nil"/>
        <w:bottom w:val="nil"/>
        <w:right w:val="nil"/>
        <w:between w:val="nil"/>
      </w:pBdr>
      <w:tabs>
        <w:tab w:val="center" w:pos="4252"/>
        <w:tab w:val="right" w:pos="8504"/>
      </w:tabs>
      <w:spacing w:after="0"/>
      <w:jc w:val="both"/>
      <w:rPr>
        <w:rFonts w:ascii="Arial" w:eastAsia="Arial" w:hAnsi="Arial" w:cs="Arial"/>
        <w:color w:val="000000"/>
        <w:sz w:val="14"/>
        <w:szCs w:val="14"/>
      </w:rPr>
    </w:pPr>
    <w:r>
      <w:rPr>
        <w:rFonts w:ascii="Arial" w:eastAsia="Arial" w:hAnsi="Arial" w:cs="Arial"/>
        <w:b/>
        <w:bCs/>
        <w:color w:val="000000"/>
        <w:sz w:val="14"/>
        <w:szCs w:val="14"/>
      </w:rPr>
      <w:t xml:space="preserve">Visión: </w:t>
    </w:r>
    <w:r>
      <w:rPr>
        <w:rFonts w:ascii="Arial" w:eastAsia="Arial" w:hAnsi="Arial" w:cs="Arial"/>
        <w:color w:val="000000"/>
        <w:sz w:val="14"/>
        <w:szCs w:val="14"/>
      </w:rPr>
      <w:t>Ser una institución reguladora y fiscalizadora de Referencia Nacional e Internacional reconocida por su capacidad técnica, credibilidad y compromiso con la protecci</w:t>
    </w:r>
    <w:r>
      <w:rPr>
        <w:rFonts w:ascii="Arial" w:eastAsia="Arial" w:hAnsi="Arial" w:cs="Arial"/>
        <w:color w:val="000000"/>
        <w:sz w:val="14"/>
        <w:szCs w:val="14"/>
      </w:rPr>
      <w:t>ón de la salud de la población y el desarrollo nacional.</w:t>
    </w:r>
  </w:p>
  <w:p w:rsidR="00C11D47" w:rsidRDefault="00C11D47">
    <w:pPr>
      <w:pBdr>
        <w:top w:val="nil"/>
        <w:left w:val="nil"/>
        <w:bottom w:val="nil"/>
        <w:right w:val="nil"/>
        <w:between w:val="nil"/>
      </w:pBdr>
      <w:tabs>
        <w:tab w:val="center" w:pos="4252"/>
        <w:tab w:val="right" w:pos="8504"/>
      </w:tabs>
      <w:spacing w:after="0"/>
      <w:jc w:val="both"/>
      <w:rPr>
        <w:rFonts w:ascii="Arial" w:eastAsia="Arial" w:hAnsi="Arial" w:cs="Arial"/>
        <w:color w:val="000000"/>
        <w:sz w:val="14"/>
        <w:szCs w:val="14"/>
      </w:rPr>
    </w:pPr>
  </w:p>
  <w:p w:rsidR="00C11D47" w:rsidRDefault="001053BA">
    <w:pPr>
      <w:pBdr>
        <w:top w:val="nil"/>
        <w:left w:val="nil"/>
        <w:bottom w:val="nil"/>
        <w:right w:val="nil"/>
        <w:between w:val="nil"/>
      </w:pBdr>
      <w:tabs>
        <w:tab w:val="center" w:pos="4252"/>
        <w:tab w:val="right" w:pos="8504"/>
      </w:tabs>
      <w:spacing w:after="0"/>
      <w:jc w:val="center"/>
      <w:rPr>
        <w:rFonts w:ascii="Arial" w:eastAsia="Arial" w:hAnsi="Arial" w:cs="Arial"/>
        <w:color w:val="000000"/>
        <w:sz w:val="14"/>
        <w:szCs w:val="14"/>
      </w:rPr>
    </w:pPr>
    <w:r>
      <w:rPr>
        <w:rFonts w:ascii="Arial" w:eastAsia="Arial" w:hAnsi="Arial" w:cs="Arial"/>
        <w:b/>
        <w:bCs/>
        <w:color w:val="000000"/>
        <w:sz w:val="14"/>
        <w:szCs w:val="14"/>
      </w:rPr>
      <w:t xml:space="preserve">Iturbe </w:t>
    </w:r>
    <w:proofErr w:type="spellStart"/>
    <w:r>
      <w:rPr>
        <w:rFonts w:ascii="Arial" w:eastAsia="Arial" w:hAnsi="Arial" w:cs="Arial"/>
        <w:b/>
        <w:bCs/>
        <w:color w:val="000000"/>
        <w:sz w:val="14"/>
        <w:szCs w:val="14"/>
      </w:rPr>
      <w:t>Nº</w:t>
    </w:r>
    <w:proofErr w:type="spellEnd"/>
    <w:r>
      <w:rPr>
        <w:rFonts w:ascii="Arial" w:eastAsia="Arial" w:hAnsi="Arial" w:cs="Arial"/>
        <w:b/>
        <w:bCs/>
        <w:color w:val="000000"/>
        <w:sz w:val="14"/>
        <w:szCs w:val="14"/>
      </w:rPr>
      <w:t xml:space="preserve"> 883 e/ Manuel Domínguez y Fulgencio R. Moreno</w:t>
    </w:r>
  </w:p>
  <w:p w:rsidR="00C11D47" w:rsidRDefault="001053BA">
    <w:pPr>
      <w:pBdr>
        <w:top w:val="nil"/>
        <w:left w:val="nil"/>
        <w:bottom w:val="nil"/>
        <w:right w:val="nil"/>
        <w:between w:val="nil"/>
      </w:pBdr>
      <w:tabs>
        <w:tab w:val="center" w:pos="4252"/>
        <w:tab w:val="right" w:pos="8504"/>
      </w:tabs>
      <w:spacing w:after="0"/>
      <w:jc w:val="center"/>
      <w:rPr>
        <w:rFonts w:ascii="Arial" w:eastAsia="Arial" w:hAnsi="Arial" w:cs="Arial"/>
        <w:color w:val="000000"/>
        <w:sz w:val="14"/>
        <w:szCs w:val="14"/>
      </w:rPr>
    </w:pPr>
    <w:r>
      <w:rPr>
        <w:rFonts w:ascii="Arial" w:eastAsia="Arial" w:hAnsi="Arial" w:cs="Arial"/>
        <w:b/>
        <w:bCs/>
        <w:color w:val="000000"/>
        <w:sz w:val="14"/>
        <w:szCs w:val="14"/>
      </w:rPr>
      <w:t>Asunción, Paraguay</w:t>
    </w:r>
  </w:p>
  <w:p w:rsidR="00C11D47" w:rsidRDefault="001053BA">
    <w:pPr>
      <w:pBdr>
        <w:top w:val="nil"/>
        <w:left w:val="nil"/>
        <w:bottom w:val="nil"/>
        <w:right w:val="nil"/>
        <w:between w:val="nil"/>
      </w:pBdr>
      <w:tabs>
        <w:tab w:val="center" w:pos="4252"/>
        <w:tab w:val="right" w:pos="8504"/>
      </w:tabs>
      <w:spacing w:after="0" w:line="240" w:lineRule="auto"/>
      <w:ind w:hanging="2"/>
      <w:jc w:val="right"/>
      <w:rPr>
        <w:color w:val="000000"/>
      </w:rPr>
    </w:pPr>
    <w:r>
      <w:rPr>
        <w:color w:val="000000"/>
        <w:sz w:val="16"/>
        <w:szCs w:val="16"/>
      </w:rPr>
      <w:t xml:space="preserve">Página </w:t>
    </w:r>
    <w:r>
      <w:rPr>
        <w:b/>
        <w:bCs/>
        <w:color w:val="000000"/>
        <w:sz w:val="16"/>
        <w:szCs w:val="16"/>
      </w:rPr>
      <w:fldChar w:fldCharType="begin"/>
    </w:r>
    <w:r>
      <w:rPr>
        <w:b/>
        <w:bCs/>
        <w:color w:val="000000"/>
        <w:sz w:val="16"/>
        <w:szCs w:val="16"/>
      </w:rPr>
      <w:instrText>PAGE</w:instrText>
    </w:r>
    <w:r w:rsidR="009A159C">
      <w:rPr>
        <w:b/>
        <w:bCs/>
        <w:color w:val="000000"/>
        <w:sz w:val="16"/>
        <w:szCs w:val="16"/>
      </w:rPr>
      <w:fldChar w:fldCharType="separate"/>
    </w:r>
    <w:r w:rsidR="009A159C">
      <w:rPr>
        <w:b/>
        <w:bCs/>
        <w:noProof/>
        <w:color w:val="000000"/>
        <w:sz w:val="16"/>
        <w:szCs w:val="16"/>
      </w:rPr>
      <w:t>1</w:t>
    </w:r>
    <w:r>
      <w:rPr>
        <w:b/>
        <w:bCs/>
        <w:color w:val="000000"/>
        <w:sz w:val="16"/>
        <w:szCs w:val="16"/>
      </w:rPr>
      <w:fldChar w:fldCharType="end"/>
    </w:r>
    <w:r>
      <w:rPr>
        <w:color w:val="000000"/>
        <w:sz w:val="16"/>
        <w:szCs w:val="16"/>
      </w:rPr>
      <w:t xml:space="preserve"> de </w:t>
    </w:r>
    <w:r>
      <w:rPr>
        <w:b/>
        <w:bCs/>
        <w:color w:val="000000"/>
        <w:sz w:val="16"/>
        <w:szCs w:val="16"/>
      </w:rPr>
      <w:fldChar w:fldCharType="begin"/>
    </w:r>
    <w:r>
      <w:rPr>
        <w:b/>
        <w:bCs/>
        <w:color w:val="000000"/>
        <w:sz w:val="16"/>
        <w:szCs w:val="16"/>
      </w:rPr>
      <w:instrText>NUMPAGES</w:instrText>
    </w:r>
    <w:r w:rsidR="009A159C">
      <w:rPr>
        <w:b/>
        <w:bCs/>
        <w:color w:val="000000"/>
        <w:sz w:val="16"/>
        <w:szCs w:val="16"/>
      </w:rPr>
      <w:fldChar w:fldCharType="separate"/>
    </w:r>
    <w:r w:rsidR="009A159C">
      <w:rPr>
        <w:b/>
        <w:bCs/>
        <w:noProof/>
        <w:color w:val="000000"/>
        <w:sz w:val="16"/>
        <w:szCs w:val="16"/>
      </w:rPr>
      <w:t>1</w:t>
    </w:r>
    <w:r>
      <w:rPr>
        <w:b/>
        <w:bCs/>
        <w:color w:val="000000"/>
        <w:sz w:val="16"/>
        <w:szCs w:val="16"/>
      </w:rPr>
      <w:fldChar w:fldCharType="end"/>
    </w:r>
  </w:p>
  <w:p w:rsidR="00C11D47" w:rsidRDefault="00C11D47">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53BA" w:rsidRDefault="001053BA">
      <w:pPr>
        <w:spacing w:after="0" w:line="240" w:lineRule="auto"/>
      </w:pPr>
      <w:r>
        <w:separator/>
      </w:r>
    </w:p>
  </w:footnote>
  <w:footnote w:type="continuationSeparator" w:id="0">
    <w:p w:rsidR="001053BA" w:rsidRDefault="001053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330D" w:rsidRDefault="001E330D">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1101532" o:spid="_x0000_s2050" type="#_x0000_t136" style="position:absolute;margin-left:0;margin-top:0;width:453.1pt;height:169.9pt;rotation:315;z-index:-251655168;mso-position-horizontal:center;mso-position-horizontal-relative:margin;mso-position-vertical:center;mso-position-vertical-relative:margin" o:allowincell="f" fillcolor="#7f7f7f [1612]" stroked="f">
          <v:fill opacity=".5"/>
          <v:textpath style="font-family:&quot;Calibri&quot;;font-size:1pt" string="BORRADOR"/>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D47" w:rsidRDefault="001E330D">
    <w:pPr>
      <w:shd w:val="clear" w:color="auto" w:fill="FFFFFF"/>
      <w:spacing w:after="0" w:line="240" w:lineRule="auto"/>
      <w:jc w:val="center"/>
      <w:rPr>
        <w:rFonts w:ascii="Arial" w:eastAsia="Arial" w:hAnsi="Arial" w:cs="Arial"/>
        <w:b/>
        <w:bCs/>
        <w:i/>
        <w:iCs/>
        <w:color w:val="0F1115"/>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1101533" o:spid="_x0000_s2051" type="#_x0000_t136" style="position:absolute;left:0;text-align:left;margin-left:0;margin-top:0;width:453.1pt;height:169.9pt;rotation:315;z-index:-251653120;mso-position-horizontal:center;mso-position-horizontal-relative:margin;mso-position-vertical:center;mso-position-vertical-relative:margin" o:allowincell="f" fillcolor="#7f7f7f [1612]" stroked="f">
          <v:fill opacity=".5"/>
          <v:textpath style="font-family:&quot;Calibri&quot;;font-size:1pt" string="BORRADOR"/>
        </v:shape>
      </w:pict>
    </w:r>
    <w:r w:rsidR="001053BA">
      <w:rPr>
        <w:rFonts w:ascii="Arial" w:eastAsia="Arial" w:hAnsi="Arial" w:cs="Arial"/>
        <w:b/>
        <w:bCs/>
        <w:i/>
        <w:iCs/>
        <w:color w:val="0F1115"/>
      </w:rPr>
      <w:t>“Sesquicentenario de la Epopeya Nacional: 1864 – 1870”</w:t>
    </w:r>
  </w:p>
  <w:p w:rsidR="00C11D47" w:rsidRDefault="00C11D47">
    <w:pPr>
      <w:shd w:val="clear" w:color="auto" w:fill="FFFFFF"/>
      <w:spacing w:after="0" w:line="240" w:lineRule="auto"/>
      <w:jc w:val="center"/>
      <w:rPr>
        <w:rFonts w:ascii="Arial" w:eastAsia="Arial" w:hAnsi="Arial" w:cs="Arial"/>
        <w:b/>
        <w:bCs/>
        <w:i/>
        <w:iCs/>
        <w:color w:val="0F1115"/>
        <w:sz w:val="10"/>
        <w:szCs w:val="10"/>
      </w:rPr>
    </w:pPr>
  </w:p>
  <w:p w:rsidR="00C11D47" w:rsidRDefault="001053BA">
    <w:pPr>
      <w:shd w:val="clear" w:color="auto" w:fill="FFFFFF"/>
      <w:spacing w:after="0" w:line="240" w:lineRule="auto"/>
      <w:jc w:val="center"/>
      <w:rPr>
        <w:rFonts w:ascii="Arial" w:eastAsia="Arial" w:hAnsi="Arial" w:cs="Arial"/>
        <w:b/>
        <w:bCs/>
        <w:i/>
        <w:iCs/>
        <w:color w:val="0F1115"/>
      </w:rPr>
    </w:pPr>
    <w:r>
      <w:rPr>
        <w:rFonts w:ascii="Arial" w:eastAsia="Arial" w:hAnsi="Arial" w:cs="Arial"/>
        <w:b/>
        <w:bCs/>
        <w:i/>
        <w:iCs/>
        <w:noProof/>
        <w:color w:val="0F1115"/>
      </w:rPr>
      <w:drawing>
        <wp:inline distT="114300" distB="114300" distL="114300" distR="114300">
          <wp:extent cx="859301" cy="76109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59301" cy="761095"/>
                  </a:xfrm>
                  <a:prstGeom prst="rect">
                    <a:avLst/>
                  </a:prstGeom>
                  <a:ln/>
                </pic:spPr>
              </pic:pic>
            </a:graphicData>
          </a:graphic>
        </wp:inline>
      </w:drawing>
    </w:r>
  </w:p>
  <w:p w:rsidR="00C11D47" w:rsidRDefault="001053BA">
    <w:pPr>
      <w:shd w:val="clear" w:color="auto" w:fill="FFFFFF"/>
      <w:spacing w:after="0" w:line="240" w:lineRule="auto"/>
      <w:jc w:val="center"/>
      <w:rPr>
        <w:rFonts w:ascii="Arial" w:eastAsia="Arial" w:hAnsi="Arial" w:cs="Arial"/>
        <w:b/>
        <w:bCs/>
        <w:i/>
        <w:iCs/>
        <w:color w:val="0F1115"/>
      </w:rPr>
    </w:pPr>
    <w:r>
      <w:rPr>
        <w:rFonts w:ascii="Arial" w:eastAsia="Arial" w:hAnsi="Arial" w:cs="Arial"/>
        <w:b/>
        <w:bCs/>
        <w:i/>
        <w:iCs/>
        <w:color w:val="0F1115"/>
      </w:rPr>
      <w:t>Poder Ejecutivo</w:t>
    </w:r>
  </w:p>
  <w:p w:rsidR="00C11D47" w:rsidRDefault="001053BA">
    <w:pPr>
      <w:shd w:val="clear" w:color="auto" w:fill="FFFFFF"/>
      <w:spacing w:after="0" w:line="240" w:lineRule="auto"/>
      <w:jc w:val="center"/>
      <w:rPr>
        <w:rFonts w:ascii="Arial" w:eastAsia="Arial" w:hAnsi="Arial" w:cs="Arial"/>
        <w:b/>
        <w:bCs/>
        <w:i/>
        <w:iCs/>
        <w:color w:val="0F1115"/>
      </w:rPr>
    </w:pPr>
    <w:r>
      <w:rPr>
        <w:rFonts w:ascii="Arial" w:eastAsia="Arial" w:hAnsi="Arial" w:cs="Arial"/>
        <w:b/>
        <w:bCs/>
        <w:i/>
        <w:iCs/>
        <w:color w:val="0F1115"/>
      </w:rPr>
      <w:t xml:space="preserve"> </w:t>
    </w:r>
    <w:r>
      <w:rPr>
        <w:rFonts w:ascii="Arial" w:eastAsia="Arial" w:hAnsi="Arial" w:cs="Arial"/>
        <w:b/>
        <w:bCs/>
        <w:i/>
        <w:iCs/>
        <w:color w:val="0F1115"/>
      </w:rPr>
      <w:tab/>
      <w:t>Dirección Nacional de Vigilancia Sanitaria</w:t>
    </w:r>
  </w:p>
  <w:p w:rsidR="00C11D47" w:rsidRDefault="001053BA">
    <w:pPr>
      <w:shd w:val="clear" w:color="auto" w:fill="FFFFFF"/>
      <w:spacing w:before="240" w:after="240" w:line="276" w:lineRule="auto"/>
      <w:jc w:val="center"/>
      <w:rPr>
        <w:rFonts w:ascii="Arial" w:eastAsia="Arial" w:hAnsi="Arial" w:cs="Arial"/>
        <w:b/>
        <w:bCs/>
        <w:color w:val="0F1115"/>
      </w:rPr>
    </w:pPr>
    <w:r>
      <w:rPr>
        <w:rFonts w:ascii="Arial" w:eastAsia="Arial" w:hAnsi="Arial" w:cs="Arial"/>
        <w:b/>
        <w:bCs/>
        <w:color w:val="0F1115"/>
      </w:rPr>
      <w:t xml:space="preserve"> Resolución DINAVISA </w:t>
    </w:r>
    <w:proofErr w:type="spellStart"/>
    <w:r>
      <w:rPr>
        <w:rFonts w:ascii="Arial" w:eastAsia="Arial" w:hAnsi="Arial" w:cs="Arial"/>
        <w:b/>
        <w:bCs/>
        <w:color w:val="0F1115"/>
      </w:rPr>
      <w:t>N°</w:t>
    </w:r>
    <w:proofErr w:type="spellEnd"/>
    <w:r>
      <w:rPr>
        <w:rFonts w:ascii="Arial" w:eastAsia="Arial" w:hAnsi="Arial" w:cs="Arial"/>
        <w:b/>
        <w:bCs/>
        <w:color w:val="0F1115"/>
      </w:rPr>
      <w:t xml:space="preserve">      </w:t>
    </w:r>
    <w:r>
      <w:rPr>
        <w:rFonts w:ascii="Arial" w:eastAsia="Arial" w:hAnsi="Arial" w:cs="Arial"/>
        <w:b/>
        <w:bCs/>
        <w:color w:val="0F1115"/>
      </w:rPr>
      <w:tab/>
      <w:t>/2026.-</w:t>
    </w:r>
  </w:p>
  <w:p w:rsidR="00C11D47" w:rsidRDefault="001053BA">
    <w:pPr>
      <w:shd w:val="clear" w:color="auto" w:fill="FFFFFF"/>
      <w:spacing w:before="240" w:after="240" w:line="240" w:lineRule="auto"/>
      <w:jc w:val="both"/>
      <w:rPr>
        <w:rFonts w:ascii="Arial" w:eastAsia="Arial" w:hAnsi="Arial" w:cs="Arial"/>
        <w:b/>
        <w:bCs/>
        <w:color w:val="0F1115"/>
      </w:rPr>
    </w:pPr>
    <w:r>
      <w:rPr>
        <w:rFonts w:ascii="Arial" w:eastAsia="Arial" w:hAnsi="Arial" w:cs="Arial"/>
        <w:b/>
        <w:bCs/>
        <w:color w:val="0F1115"/>
      </w:rPr>
      <w:t xml:space="preserve">POR LA CUAL SE ESTABLECEN </w:t>
    </w:r>
    <w:r>
      <w:rPr>
        <w:rFonts w:ascii="Arial" w:eastAsia="Arial" w:hAnsi="Arial" w:cs="Arial"/>
        <w:b/>
        <w:bCs/>
      </w:rPr>
      <w:t>PARÁMETROS Y SE APRUEBAN REGLAS Y CRITERIOS</w:t>
    </w:r>
    <w:r>
      <w:rPr>
        <w:rFonts w:ascii="Arial" w:eastAsia="Arial" w:hAnsi="Arial" w:cs="Arial"/>
        <w:b/>
        <w:bCs/>
        <w:color w:val="0F1115"/>
      </w:rPr>
      <w:t xml:space="preserve"> </w:t>
    </w:r>
    <w:r>
      <w:rPr>
        <w:rFonts w:ascii="Arial" w:eastAsia="Arial" w:hAnsi="Arial" w:cs="Arial"/>
        <w:b/>
        <w:bCs/>
      </w:rPr>
      <w:t>PARA EL CÁLCULO DEL RIESGO SANITARIO</w:t>
    </w:r>
    <w:r>
      <w:rPr>
        <w:rFonts w:ascii="Arial" w:eastAsia="Arial" w:hAnsi="Arial" w:cs="Arial"/>
        <w:b/>
        <w:bCs/>
        <w:color w:val="0000FF"/>
      </w:rPr>
      <w:t xml:space="preserve"> </w:t>
    </w:r>
    <w:r>
      <w:rPr>
        <w:rFonts w:ascii="Arial" w:eastAsia="Arial" w:hAnsi="Arial" w:cs="Arial"/>
        <w:b/>
        <w:bCs/>
      </w:rPr>
      <w:t>Y LA PONDERACIÓN DE ACCIONES REGULATORIAS, EN EL MARCO DE LA APLICACIÓN DEL RÉGIMEN DE INFRACCIONES Y SANCIONES</w:t>
    </w:r>
    <w:r>
      <w:rPr>
        <w:rFonts w:ascii="Arial" w:eastAsia="Arial" w:hAnsi="Arial" w:cs="Arial"/>
        <w:b/>
        <w:bCs/>
      </w:rPr>
      <w:t xml:space="preserve"> EN EL ÁMBITO DE COMPETENCIA DE LA DINAVISA</w:t>
    </w:r>
    <w:r>
      <w:rPr>
        <w:rFonts w:ascii="Arial" w:eastAsia="Arial" w:hAnsi="Arial" w:cs="Arial"/>
        <w:b/>
        <w:bCs/>
        <w:color w:val="0F1115"/>
      </w:rPr>
      <w:t>.</w:t>
    </w:r>
  </w:p>
  <w:p w:rsidR="00C11D47" w:rsidRDefault="001053BA">
    <w:pPr>
      <w:pBdr>
        <w:top w:val="nil"/>
        <w:left w:val="nil"/>
        <w:bottom w:val="nil"/>
        <w:right w:val="nil"/>
        <w:between w:val="nil"/>
      </w:pBdr>
      <w:tabs>
        <w:tab w:val="center" w:pos="4252"/>
        <w:tab w:val="right" w:pos="8504"/>
      </w:tabs>
      <w:spacing w:after="0" w:line="240" w:lineRule="auto"/>
      <w:jc w:val="right"/>
      <w:rPr>
        <w:rFonts w:ascii="Arial" w:eastAsia="Arial" w:hAnsi="Arial" w:cs="Arial"/>
        <w:color w:val="000000"/>
      </w:rPr>
    </w:pPr>
    <w:proofErr w:type="gramStart"/>
    <w:r>
      <w:rPr>
        <w:rFonts w:ascii="Arial" w:eastAsia="Arial" w:hAnsi="Arial" w:cs="Arial"/>
        <w:color w:val="000000"/>
      </w:rPr>
      <w:t xml:space="preserve">Asunción,   </w:t>
    </w:r>
    <w:proofErr w:type="gramEnd"/>
    <w:r>
      <w:rPr>
        <w:rFonts w:ascii="Arial" w:eastAsia="Arial" w:hAnsi="Arial" w:cs="Arial"/>
        <w:color w:val="000000"/>
      </w:rPr>
      <w:t xml:space="preserve">  de                </w:t>
    </w:r>
    <w:proofErr w:type="spellStart"/>
    <w:r>
      <w:rPr>
        <w:rFonts w:ascii="Arial" w:eastAsia="Arial" w:hAnsi="Arial" w:cs="Arial"/>
        <w:color w:val="000000"/>
      </w:rPr>
      <w:t>de</w:t>
    </w:r>
    <w:proofErr w:type="spellEnd"/>
    <w:r>
      <w:rPr>
        <w:rFonts w:ascii="Arial" w:eastAsia="Arial" w:hAnsi="Arial" w:cs="Arial"/>
        <w:color w:val="000000"/>
      </w:rPr>
      <w:t xml:space="preserve"> 2026.</w:t>
    </w:r>
  </w:p>
  <w:p w:rsidR="00C11D47" w:rsidRDefault="00C11D47">
    <w:pPr>
      <w:pBdr>
        <w:top w:val="nil"/>
        <w:left w:val="nil"/>
        <w:bottom w:val="nil"/>
        <w:right w:val="nil"/>
        <w:between w:val="nil"/>
      </w:pBdr>
      <w:tabs>
        <w:tab w:val="center" w:pos="4252"/>
        <w:tab w:val="right" w:pos="8504"/>
      </w:tabs>
      <w:spacing w:after="0" w:line="240" w:lineRule="auto"/>
      <w:jc w:val="right"/>
      <w:rPr>
        <w:rFonts w:ascii="Arial" w:eastAsia="Arial" w:hAnsi="Arial" w:cs="Arial"/>
      </w:rPr>
    </w:pPr>
  </w:p>
  <w:p w:rsidR="00C11D47" w:rsidRDefault="00C11D47">
    <w:pPr>
      <w:pBdr>
        <w:top w:val="nil"/>
        <w:left w:val="nil"/>
        <w:bottom w:val="nil"/>
        <w:right w:val="nil"/>
        <w:between w:val="nil"/>
      </w:pBdr>
      <w:tabs>
        <w:tab w:val="center" w:pos="4252"/>
        <w:tab w:val="right" w:pos="8504"/>
      </w:tabs>
      <w:spacing w:after="0" w:line="240" w:lineRule="auto"/>
      <w:rPr>
        <w:rFonts w:ascii="Arial" w:eastAsia="Arial" w:hAnsi="Arial" w:cs="Arial"/>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330D" w:rsidRDefault="001E330D">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1101531" o:spid="_x0000_s2049" type="#_x0000_t136" style="position:absolute;margin-left:0;margin-top:0;width:453.1pt;height:169.9pt;rotation:315;z-index:-251657216;mso-position-horizontal:center;mso-position-horizontal-relative:margin;mso-position-vertical:center;mso-position-vertical-relative:margin" o:allowincell="f" fillcolor="#7f7f7f [1612]" stroked="f">
          <v:fill opacity=".5"/>
          <v:textpath style="font-family:&quot;Calibri&quot;;font-size:1pt" string="BORRADOR"/>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E947E8"/>
    <w:multiLevelType w:val="multilevel"/>
    <w:tmpl w:val="C21C52A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D47"/>
    <w:rsid w:val="000145F2"/>
    <w:rsid w:val="001053BA"/>
    <w:rsid w:val="001E330D"/>
    <w:rsid w:val="00374F79"/>
    <w:rsid w:val="00706761"/>
    <w:rsid w:val="00743949"/>
    <w:rsid w:val="00781E08"/>
    <w:rsid w:val="008769B0"/>
    <w:rsid w:val="009134B2"/>
    <w:rsid w:val="009A159C"/>
    <w:rsid w:val="00A600A9"/>
    <w:rsid w:val="00C11D47"/>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52D176"/>
  <w15:docId w15:val="{9D89BC97-64CD-48BC-9FED-76A8AEF42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PY" w:eastAsia="es-PY"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paragraph" w:styleId="Encabezado">
    <w:name w:val="header"/>
    <w:basedOn w:val="Normal"/>
    <w:link w:val="EncabezadoCar"/>
    <w:uiPriority w:val="99"/>
    <w:unhideWhenUsed/>
    <w:rsid w:val="001E330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E330D"/>
  </w:style>
  <w:style w:type="paragraph" w:styleId="Piedepgina">
    <w:name w:val="footer"/>
    <w:basedOn w:val="Normal"/>
    <w:link w:val="PiedepginaCar"/>
    <w:uiPriority w:val="99"/>
    <w:unhideWhenUsed/>
    <w:rsid w:val="001E330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E33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KLWw/GgvXLHaW+eVjvSk8g0MYA==">CgMxLjAyDmgubHRuMTEwZzJhcWU4OAByITF2ajl5aHQ0N0RVbmNQYlBwbVFIRHpXU21rQ3Zqb3FEdw==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6</Pages>
  <Words>2032</Words>
  <Characters>11180</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8</cp:revision>
  <cp:lastPrinted>2026-04-24T11:48:00Z</cp:lastPrinted>
  <dcterms:created xsi:type="dcterms:W3CDTF">2026-04-23T17:05:00Z</dcterms:created>
  <dcterms:modified xsi:type="dcterms:W3CDTF">2026-04-24T14:16:00Z</dcterms:modified>
</cp:coreProperties>
</file>