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77D" w:rsidRDefault="00B35FEE">
      <w:pPr>
        <w:jc w:val="both"/>
        <w:rPr>
          <w:rFonts w:ascii="Arial" w:eastAsia="Arial" w:hAnsi="Arial" w:cs="Arial"/>
          <w:b/>
          <w:sz w:val="22"/>
          <w:szCs w:val="22"/>
          <w:u w:val="single"/>
        </w:rPr>
      </w:pPr>
      <w:r>
        <w:rPr>
          <w:rFonts w:ascii="Arial" w:eastAsia="Arial" w:hAnsi="Arial" w:cs="Arial"/>
          <w:b/>
          <w:sz w:val="22"/>
          <w:szCs w:val="22"/>
          <w:u w:val="single"/>
        </w:rPr>
        <w:t xml:space="preserve">   </w:t>
      </w:r>
    </w:p>
    <w:p w:rsidR="00F7277D" w:rsidRDefault="00B35FEE">
      <w:pPr>
        <w:tabs>
          <w:tab w:val="left" w:pos="1680"/>
        </w:tabs>
        <w:ind w:left="1620" w:hanging="1620"/>
        <w:jc w:val="both"/>
        <w:rPr>
          <w:rFonts w:ascii="Arial" w:eastAsia="Arial" w:hAnsi="Arial" w:cs="Arial"/>
          <w:sz w:val="22"/>
          <w:szCs w:val="22"/>
        </w:rPr>
      </w:pPr>
      <w:r>
        <w:rPr>
          <w:rFonts w:ascii="Arial" w:eastAsia="Arial" w:hAnsi="Arial" w:cs="Arial"/>
          <w:b/>
          <w:sz w:val="22"/>
          <w:szCs w:val="22"/>
        </w:rPr>
        <w:t xml:space="preserve">VISTO:   </w:t>
      </w:r>
      <w:r>
        <w:rPr>
          <w:rFonts w:ascii="Arial" w:eastAsia="Arial" w:hAnsi="Arial" w:cs="Arial"/>
          <w:b/>
          <w:sz w:val="22"/>
          <w:szCs w:val="22"/>
        </w:rPr>
        <w:tab/>
      </w:r>
    </w:p>
    <w:p w:rsidR="00F7277D" w:rsidRDefault="00B35FEE">
      <w:pPr>
        <w:ind w:left="1620" w:hanging="1620"/>
        <w:jc w:val="both"/>
        <w:rPr>
          <w:rFonts w:ascii="Arial" w:eastAsia="Arial" w:hAnsi="Arial" w:cs="Arial"/>
          <w:sz w:val="22"/>
          <w:szCs w:val="22"/>
        </w:rPr>
      </w:pPr>
      <w:r>
        <w:rPr>
          <w:rFonts w:ascii="Arial" w:eastAsia="Arial" w:hAnsi="Arial" w:cs="Arial"/>
          <w:sz w:val="22"/>
          <w:szCs w:val="22"/>
        </w:rPr>
        <w:tab/>
      </w:r>
    </w:p>
    <w:p w:rsidR="00F7277D" w:rsidRDefault="00B35FEE">
      <w:pPr>
        <w:ind w:left="1620" w:hanging="1620"/>
        <w:jc w:val="both"/>
        <w:rPr>
          <w:rFonts w:ascii="Arial" w:eastAsia="Arial" w:hAnsi="Arial" w:cs="Arial"/>
          <w:sz w:val="22"/>
          <w:szCs w:val="22"/>
        </w:rPr>
      </w:pPr>
      <w:r>
        <w:rPr>
          <w:rFonts w:ascii="Arial" w:eastAsia="Arial" w:hAnsi="Arial" w:cs="Arial"/>
          <w:sz w:val="22"/>
          <w:szCs w:val="22"/>
        </w:rPr>
        <w:tab/>
      </w:r>
    </w:p>
    <w:p w:rsidR="00F7277D" w:rsidRDefault="00F7277D">
      <w:pPr>
        <w:tabs>
          <w:tab w:val="left" w:pos="1680"/>
        </w:tabs>
        <w:ind w:left="1620" w:hanging="1620"/>
        <w:jc w:val="both"/>
        <w:rPr>
          <w:rFonts w:ascii="Arial" w:eastAsia="Arial" w:hAnsi="Arial" w:cs="Arial"/>
          <w:sz w:val="22"/>
          <w:szCs w:val="22"/>
        </w:rPr>
      </w:pPr>
    </w:p>
    <w:p w:rsidR="00F7277D" w:rsidRDefault="00B35FEE">
      <w:pPr>
        <w:tabs>
          <w:tab w:val="left" w:pos="1680"/>
        </w:tabs>
        <w:ind w:left="1620" w:hanging="1620"/>
        <w:jc w:val="both"/>
        <w:rPr>
          <w:rFonts w:ascii="Arial" w:eastAsia="Arial" w:hAnsi="Arial" w:cs="Arial"/>
          <w:b/>
          <w:sz w:val="22"/>
          <w:szCs w:val="22"/>
        </w:rPr>
      </w:pPr>
      <w:r>
        <w:rPr>
          <w:rFonts w:ascii="Arial" w:eastAsia="Arial" w:hAnsi="Arial" w:cs="Arial"/>
          <w:b/>
          <w:sz w:val="22"/>
          <w:szCs w:val="22"/>
        </w:rPr>
        <w:t>CONSIDERANDO:</w:t>
      </w:r>
    </w:p>
    <w:p w:rsidR="00F7277D" w:rsidRDefault="00F7277D">
      <w:pPr>
        <w:tabs>
          <w:tab w:val="left" w:pos="1680"/>
        </w:tabs>
        <w:ind w:left="1620" w:hanging="1620"/>
        <w:jc w:val="both"/>
        <w:rPr>
          <w:rFonts w:ascii="Arial" w:eastAsia="Arial" w:hAnsi="Arial" w:cs="Arial"/>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la Constitución de la República del Paraguay en su Capítulo VI “De la Salud”, Artículo 72. “Del control de calidad” dispone que: “El Estado velará por el control de la calidad de los productos alimenticios, químicos, farmacéuticos y biológicos, en las etapas de producción, importación y comercialización. Asimismo, facilitará el acceso de sectores de escasos recursos a los medicamentos considerados esenciales”. </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la Ley </w:t>
      </w:r>
      <w:proofErr w:type="spellStart"/>
      <w:r>
        <w:rPr>
          <w:rFonts w:ascii="Arial" w:eastAsia="Arial" w:hAnsi="Arial" w:cs="Arial"/>
          <w:i/>
          <w:sz w:val="22"/>
          <w:szCs w:val="22"/>
        </w:rPr>
        <w:t>Nº</w:t>
      </w:r>
      <w:proofErr w:type="spellEnd"/>
      <w:r>
        <w:rPr>
          <w:rFonts w:ascii="Arial" w:eastAsia="Arial" w:hAnsi="Arial" w:cs="Arial"/>
          <w:i/>
          <w:sz w:val="22"/>
          <w:szCs w:val="22"/>
        </w:rPr>
        <w:t xml:space="preserve"> 6788/2021, establece la competencia, atribuciones y estructura de la Dirección Nacional de Vigilancia Sanitaria otorgándole plena autonomía, capacidad y autarquía, disponiendo en su Artículo 2°: “La Dirección Nacional de Vigilancia Sanitaria (DINAVISA), establecida en el Artículo 1° de la presente Ley, se constituye como persona jurídica de derecho público, con autonomía administrativa, autarquía y patrimonio propio. La misma se regirá por las disposiciones de la presente Ley, las normas complementarias y sus reglamentos…La dirección Nacional de vigilancia Sanitaria (DINAVISA), tendrá plena capacidad jurídica para actuar en la esfera pública y privada en todo el territorio de la República del Paraguay”. </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la Ley </w:t>
      </w:r>
      <w:proofErr w:type="spellStart"/>
      <w:r>
        <w:rPr>
          <w:rFonts w:ascii="Arial" w:eastAsia="Arial" w:hAnsi="Arial" w:cs="Arial"/>
          <w:i/>
          <w:sz w:val="22"/>
          <w:szCs w:val="22"/>
        </w:rPr>
        <w:t>Nº</w:t>
      </w:r>
      <w:proofErr w:type="spellEnd"/>
      <w:r>
        <w:rPr>
          <w:rFonts w:ascii="Arial" w:eastAsia="Arial" w:hAnsi="Arial" w:cs="Arial"/>
          <w:i/>
          <w:sz w:val="22"/>
          <w:szCs w:val="22"/>
        </w:rPr>
        <w:t xml:space="preserve"> 6788/2021, establece la autonomía de la Dirección Nacional de Vigilancia Sanitaria y en su Artículo 3º dispone: “La Dirección Nacional de Vigilancia Sanitaria (DINAVISA), será considerada como la autoridad responsable en cuanto a las disposiciones relativas al ámbito de su competencia, a través de la ejecución de las políticas públicas diseñadas por el Ministerio de Salud Pública y Bienestar Social, en su carácter de rector en la materia, el desarrollo de estrategias adecuadas, la regulación, control y fiscalización de los productos para la salud como medicamentos de uso humano, drogas, productos químicos, reactivos, dispositivos médicos y todo otro producto de uso y aplicación en medicina humana, así como los productos considerados como cosméticos, perfumes, </w:t>
      </w:r>
      <w:proofErr w:type="spellStart"/>
      <w:r>
        <w:rPr>
          <w:rFonts w:ascii="Arial" w:eastAsia="Arial" w:hAnsi="Arial" w:cs="Arial"/>
          <w:i/>
          <w:sz w:val="22"/>
          <w:szCs w:val="22"/>
        </w:rPr>
        <w:t>domisanitarios</w:t>
      </w:r>
      <w:proofErr w:type="spellEnd"/>
      <w:r>
        <w:rPr>
          <w:rFonts w:ascii="Arial" w:eastAsia="Arial" w:hAnsi="Arial" w:cs="Arial"/>
          <w:i/>
          <w:sz w:val="22"/>
          <w:szCs w:val="22"/>
        </w:rPr>
        <w:t xml:space="preserve"> y afines, y aquellos productos cuya regulación y control le sean asignados por Ley, así como el aseguramiento de su calidad, seguridad y eficacia, pudiendo sancionar las infracciones que se detecten”.</w:t>
      </w:r>
    </w:p>
    <w:p w:rsidR="00AD020B" w:rsidRDefault="00AD020B">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Asimismo, en su Artículo 5º la Ley </w:t>
      </w:r>
      <w:proofErr w:type="spellStart"/>
      <w:r>
        <w:rPr>
          <w:rFonts w:ascii="Arial" w:eastAsia="Arial" w:hAnsi="Arial" w:cs="Arial"/>
          <w:i/>
          <w:sz w:val="22"/>
          <w:szCs w:val="22"/>
        </w:rPr>
        <w:t>N°</w:t>
      </w:r>
      <w:proofErr w:type="spellEnd"/>
      <w:r>
        <w:rPr>
          <w:rFonts w:ascii="Arial" w:eastAsia="Arial" w:hAnsi="Arial" w:cs="Arial"/>
          <w:i/>
          <w:sz w:val="22"/>
          <w:szCs w:val="22"/>
        </w:rPr>
        <w:t xml:space="preserve"> 6788/2021 dispone que la Dirección Nacional de Vigilancia Sanitaria (DINAVISA), tiene por finalidad velar por la protección de la salud humana, prevé las funciones que deberá cumplir, entre las más importantes determina que como Autoridad Regulatoria recaen bajo su competencia la regulación, control y fiscalización de los productos para la salud así como la fiscalización y regulación de las actividades de fabricación, elaboración, fraccionamiento, control de calidad, distribución, prescripción, dispensación, comercialización, representación, importación, </w:t>
      </w:r>
      <w:r>
        <w:rPr>
          <w:rFonts w:ascii="Arial" w:eastAsia="Arial" w:hAnsi="Arial" w:cs="Arial"/>
          <w:i/>
          <w:sz w:val="22"/>
          <w:szCs w:val="22"/>
        </w:rPr>
        <w:lastRenderedPageBreak/>
        <w:t xml:space="preserve">exportación, almacenamiento, uso racional, fijación de precios, información y publicidad de los citados productos, sin perjuicio de otras competencias que le atribuyen otras disposiciones. Igualmente, inciso h) la referida ley dispone como función de la DINAVISA la de otorgar la habilitación y ejercer el control y la fiscalización de los establecimientos dedicados a las actividades relacionadas con los productos para la salud, k), la Ley </w:t>
      </w:r>
      <w:proofErr w:type="spellStart"/>
      <w:r>
        <w:rPr>
          <w:rFonts w:ascii="Arial" w:eastAsia="Arial" w:hAnsi="Arial" w:cs="Arial"/>
          <w:i/>
          <w:sz w:val="22"/>
          <w:szCs w:val="22"/>
        </w:rPr>
        <w:t>N°</w:t>
      </w:r>
      <w:proofErr w:type="spellEnd"/>
      <w:r>
        <w:rPr>
          <w:rFonts w:ascii="Arial" w:eastAsia="Arial" w:hAnsi="Arial" w:cs="Arial"/>
          <w:i/>
          <w:sz w:val="22"/>
          <w:szCs w:val="22"/>
        </w:rPr>
        <w:t xml:space="preserve"> 6788/21 se hallan entre sus funciones la de establecer medidas de carácter general para la aplicación de las buenas prácticas o mejores estándares técnicos para las actividades dirigidas al consumo de los productos objeto de vigilancia de la entidad en el inc. n) establece: “Liderar, en coordinación con entidades especializadas en la materia, la elaboración de normas técnicas de calidad en los temas de su competencia. ñ) establecer las reglamentaciones técnicas para la ejecución de cualquier actividad de su competencia en todo el territorio nacional, de acuerdo a las legislaciones pertinentes, siendo las mismas de acatamiento obligatorio por parte de toda persona física, jurídica u organismos públicos o privados sin excepción”.</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la Ley 6788/2021 en su Artículo 7° establece que la dirección, administración y representación legal de la Dirección Nacional de Vigilancia Sanitaria (DINAVISA), estará a cargo de un Director Nacional, el cual será su máxima autoridad y en tal carácter será el responsable directo de la gestión técnica, financiera y administrativa de la entidad. </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De conformidad al Artículo 11 de la Ley 6788/21, son funciones del Director Nacional: “a) …. b) Velar por el buen funcionamiento de la Dirección Nacional de Vigilancia Sanitaria (DINAVISA) c) …. d)… l) Las demás funciones que fuesen establecidas por leyes especiales o aquellas necesarias para el correcto funcionamiento de la Dirección Nacional de Vigilancia Sanitaria (DINAVISA). t) Realizar los demás actos necesarios para el mejor cumplimiento de los fines y objetivos de la Dirección Nacional de Vigilancia Sanitaria (DINAVISA)”. </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a partir de la Ley </w:t>
      </w:r>
      <w:proofErr w:type="spellStart"/>
      <w:r>
        <w:rPr>
          <w:rFonts w:ascii="Arial" w:eastAsia="Arial" w:hAnsi="Arial" w:cs="Arial"/>
          <w:i/>
          <w:sz w:val="22"/>
          <w:szCs w:val="22"/>
        </w:rPr>
        <w:t>Nº</w:t>
      </w:r>
      <w:proofErr w:type="spellEnd"/>
      <w:r>
        <w:rPr>
          <w:rFonts w:ascii="Arial" w:eastAsia="Arial" w:hAnsi="Arial" w:cs="Arial"/>
          <w:i/>
          <w:sz w:val="22"/>
          <w:szCs w:val="22"/>
        </w:rPr>
        <w:t xml:space="preserve"> 7050/2023, “Que aprueba el Presupuesto General de la Nación para el Ejercicio Fiscal 2023” se consagra la autarquía de la Entidad 23 38 Dirección Nacional de Vigilancia Sanitaria.</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la Ley </w:t>
      </w:r>
      <w:proofErr w:type="spellStart"/>
      <w:r>
        <w:rPr>
          <w:rFonts w:ascii="Arial" w:eastAsia="Arial" w:hAnsi="Arial" w:cs="Arial"/>
          <w:i/>
          <w:sz w:val="22"/>
          <w:szCs w:val="22"/>
        </w:rPr>
        <w:t>N.°</w:t>
      </w:r>
      <w:proofErr w:type="spellEnd"/>
      <w:r>
        <w:rPr>
          <w:rFonts w:ascii="Arial" w:eastAsia="Arial" w:hAnsi="Arial" w:cs="Arial"/>
          <w:i/>
          <w:sz w:val="22"/>
          <w:szCs w:val="22"/>
        </w:rPr>
        <w:t xml:space="preserve"> 7228/2023, aprueba la estimación de ingresos del Presupuesto General de la Nación (Tesoro Público) para el Ejercicio Fiscal 2024, el Anexo de Personal y las partidas presupuestarias de la Dirección Nacional de Vigilancia Sanitaria.</w:t>
      </w: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por Resolución DINAVISA </w:t>
      </w:r>
      <w:proofErr w:type="spellStart"/>
      <w:r>
        <w:rPr>
          <w:rFonts w:ascii="Arial" w:eastAsia="Arial" w:hAnsi="Arial" w:cs="Arial"/>
          <w:i/>
          <w:sz w:val="22"/>
          <w:szCs w:val="22"/>
        </w:rPr>
        <w:t>N°</w:t>
      </w:r>
      <w:proofErr w:type="spellEnd"/>
      <w:r>
        <w:rPr>
          <w:rFonts w:ascii="Arial" w:eastAsia="Arial" w:hAnsi="Arial" w:cs="Arial"/>
          <w:i/>
          <w:sz w:val="22"/>
          <w:szCs w:val="22"/>
        </w:rPr>
        <w:t xml:space="preserve"> 98 del 07 de mayo de 2024, se aprueba la estructura orgánica y funcional de la DINAVISA.</w:t>
      </w:r>
    </w:p>
    <w:p w:rsidR="00AD020B" w:rsidRDefault="00AD020B">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bookmarkStart w:id="0" w:name="_GoBack"/>
      <w:bookmarkEnd w:id="0"/>
      <w:r>
        <w:rPr>
          <w:rFonts w:ascii="Arial" w:eastAsia="Arial" w:hAnsi="Arial" w:cs="Arial"/>
          <w:i/>
          <w:sz w:val="22"/>
          <w:szCs w:val="22"/>
        </w:rPr>
        <w:t xml:space="preserve">Que de acuerdo a la Ley </w:t>
      </w:r>
      <w:proofErr w:type="spellStart"/>
      <w:r>
        <w:rPr>
          <w:rFonts w:ascii="Arial" w:eastAsia="Arial" w:hAnsi="Arial" w:cs="Arial"/>
          <w:i/>
          <w:sz w:val="22"/>
          <w:szCs w:val="22"/>
        </w:rPr>
        <w:t>N°</w:t>
      </w:r>
      <w:proofErr w:type="spellEnd"/>
      <w:r>
        <w:rPr>
          <w:rFonts w:ascii="Arial" w:eastAsia="Arial" w:hAnsi="Arial" w:cs="Arial"/>
          <w:i/>
          <w:sz w:val="22"/>
          <w:szCs w:val="22"/>
        </w:rPr>
        <w:t xml:space="preserve"> 1119 del 10 de octubre de 1997 “De productos para la salud y otros”, donde se establecen disposiciones regulatorias de los productos para la salud, estipula de acuerdo a su Artículo 1° que regula   comercialización de todo producto </w:t>
      </w:r>
      <w:r>
        <w:rPr>
          <w:rFonts w:ascii="Arial" w:eastAsia="Arial" w:hAnsi="Arial" w:cs="Arial"/>
          <w:i/>
          <w:sz w:val="22"/>
          <w:szCs w:val="22"/>
        </w:rPr>
        <w:lastRenderedPageBreak/>
        <w:t>de uso y aplicación en medicina humana al tiempo de regular también la actuación de las personas físicas o jurídicas que intervienen en las actividades relativas.</w:t>
      </w:r>
    </w:p>
    <w:p w:rsidR="00F7277D" w:rsidRDefault="00F7277D">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 xml:space="preserve">Que el Decreto </w:t>
      </w:r>
      <w:proofErr w:type="spellStart"/>
      <w:r>
        <w:rPr>
          <w:rFonts w:ascii="Arial" w:eastAsia="Arial" w:hAnsi="Arial" w:cs="Arial"/>
          <w:i/>
          <w:sz w:val="22"/>
          <w:szCs w:val="22"/>
        </w:rPr>
        <w:t>N°</w:t>
      </w:r>
      <w:proofErr w:type="spellEnd"/>
      <w:r>
        <w:rPr>
          <w:rFonts w:ascii="Arial" w:eastAsia="Arial" w:hAnsi="Arial" w:cs="Arial"/>
          <w:i/>
          <w:sz w:val="22"/>
          <w:szCs w:val="22"/>
        </w:rPr>
        <w:t xml:space="preserve"> 2479 de fecha 05 de septiembre de 2024, “Por el cual se reglamentan los artículos 6°, 7°, 8°, 10, 11, 13, 14, 15, 16, 17, 18 y 19 de la Ley </w:t>
      </w:r>
      <w:proofErr w:type="spellStart"/>
      <w:r>
        <w:rPr>
          <w:rFonts w:ascii="Arial" w:eastAsia="Arial" w:hAnsi="Arial" w:cs="Arial"/>
          <w:i/>
          <w:sz w:val="22"/>
          <w:szCs w:val="22"/>
        </w:rPr>
        <w:t>N°</w:t>
      </w:r>
      <w:proofErr w:type="spellEnd"/>
      <w:r>
        <w:rPr>
          <w:rFonts w:ascii="Arial" w:eastAsia="Arial" w:hAnsi="Arial" w:cs="Arial"/>
          <w:i/>
          <w:sz w:val="22"/>
          <w:szCs w:val="22"/>
        </w:rPr>
        <w:t xml:space="preserve"> 1119/1997, “De Productos para la Salud y Otros”, y se establecen los requisitos para la emisión y renovación del registro sanitario de medicamentos, y se abrogan los Decretos N°10262/2012, </w:t>
      </w:r>
      <w:proofErr w:type="spellStart"/>
      <w:r>
        <w:rPr>
          <w:rFonts w:ascii="Arial" w:eastAsia="Arial" w:hAnsi="Arial" w:cs="Arial"/>
          <w:i/>
          <w:sz w:val="22"/>
          <w:szCs w:val="22"/>
        </w:rPr>
        <w:t>N°</w:t>
      </w:r>
      <w:proofErr w:type="spellEnd"/>
      <w:r>
        <w:rPr>
          <w:rFonts w:ascii="Arial" w:eastAsia="Arial" w:hAnsi="Arial" w:cs="Arial"/>
          <w:i/>
          <w:sz w:val="22"/>
          <w:szCs w:val="22"/>
        </w:rPr>
        <w:t xml:space="preserve"> 3586/2015 y </w:t>
      </w:r>
      <w:proofErr w:type="spellStart"/>
      <w:r>
        <w:rPr>
          <w:rFonts w:ascii="Arial" w:eastAsia="Arial" w:hAnsi="Arial" w:cs="Arial"/>
          <w:i/>
          <w:sz w:val="22"/>
          <w:szCs w:val="22"/>
        </w:rPr>
        <w:t>N°</w:t>
      </w:r>
      <w:proofErr w:type="spellEnd"/>
      <w:r>
        <w:rPr>
          <w:rFonts w:ascii="Arial" w:eastAsia="Arial" w:hAnsi="Arial" w:cs="Arial"/>
          <w:i/>
          <w:sz w:val="22"/>
          <w:szCs w:val="22"/>
        </w:rPr>
        <w:t xml:space="preserve"> 6611/2016”, establece, en su artículo 23, que “En forma excepcional, la Dirección Nacional de Vigilancia Sanitaria (DINAVISA) podrá autorizar el uso temporal de determinados medicamentos sin registro sanitario, fundado en alguna de las siguientes causales: a) Pandemias, epidemias o situaciones de emergencia, urgencia o catástrofe, que signifiquen grave riesgo para la salud o la vida de las personas, y sean declaradas por las autoridades competentes.”</w:t>
      </w:r>
    </w:p>
    <w:p w:rsidR="003F6153" w:rsidRDefault="003F6153" w:rsidP="003F6153">
      <w:pPr>
        <w:ind w:firstLine="851"/>
        <w:jc w:val="both"/>
        <w:rPr>
          <w:rFonts w:ascii="Arial" w:eastAsia="Arial" w:hAnsi="Arial" w:cs="Arial"/>
          <w:i/>
          <w:sz w:val="22"/>
          <w:szCs w:val="22"/>
        </w:rPr>
      </w:pPr>
    </w:p>
    <w:p w:rsidR="00F7277D" w:rsidRDefault="003F6153" w:rsidP="003F6153">
      <w:pPr>
        <w:ind w:firstLine="851"/>
        <w:jc w:val="both"/>
        <w:rPr>
          <w:rFonts w:ascii="Arial" w:eastAsia="Arial" w:hAnsi="Arial" w:cs="Arial"/>
          <w:i/>
          <w:sz w:val="22"/>
          <w:szCs w:val="22"/>
        </w:rPr>
      </w:pPr>
      <w:r w:rsidRPr="003F6153">
        <w:rPr>
          <w:rFonts w:ascii="Arial" w:eastAsia="Arial" w:hAnsi="Arial" w:cs="Arial"/>
          <w:i/>
          <w:sz w:val="22"/>
          <w:szCs w:val="22"/>
        </w:rPr>
        <w:t xml:space="preserve">Que la Resolución DINAVISA </w:t>
      </w:r>
      <w:proofErr w:type="spellStart"/>
      <w:r w:rsidRPr="003F6153">
        <w:rPr>
          <w:rFonts w:ascii="Arial" w:eastAsia="Arial" w:hAnsi="Arial" w:cs="Arial"/>
          <w:i/>
          <w:sz w:val="22"/>
          <w:szCs w:val="22"/>
        </w:rPr>
        <w:t>N</w:t>
      </w:r>
      <w:r>
        <w:rPr>
          <w:rFonts w:ascii="Arial" w:eastAsia="Arial" w:hAnsi="Arial" w:cs="Arial"/>
          <w:i/>
          <w:sz w:val="22"/>
          <w:szCs w:val="22"/>
        </w:rPr>
        <w:t>°</w:t>
      </w:r>
      <w:proofErr w:type="spellEnd"/>
      <w:r w:rsidRPr="003F6153">
        <w:rPr>
          <w:rFonts w:ascii="Arial" w:eastAsia="Arial" w:hAnsi="Arial" w:cs="Arial"/>
          <w:i/>
          <w:sz w:val="22"/>
          <w:szCs w:val="22"/>
        </w:rPr>
        <w:t xml:space="preserve"> 469/2025 considera actualmente a las terapias avanzadas dentro de la categoría de productos biológicos, sin normativa técnica diferenciada que contemple las características particulares de estos productos</w:t>
      </w:r>
      <w:r>
        <w:rPr>
          <w:rFonts w:ascii="Arial" w:eastAsia="Arial" w:hAnsi="Arial" w:cs="Arial"/>
          <w:i/>
          <w:sz w:val="22"/>
          <w:szCs w:val="22"/>
        </w:rPr>
        <w:t>.</w:t>
      </w:r>
    </w:p>
    <w:p w:rsidR="003F6153" w:rsidRPr="003F6153" w:rsidRDefault="003F6153" w:rsidP="003F6153">
      <w:pPr>
        <w:ind w:firstLine="851"/>
        <w:jc w:val="both"/>
        <w:rPr>
          <w:rFonts w:ascii="Arial" w:eastAsia="Arial" w:hAnsi="Arial" w:cs="Arial"/>
          <w:i/>
          <w:sz w:val="22"/>
          <w:szCs w:val="22"/>
        </w:rPr>
      </w:pPr>
      <w:r w:rsidRPr="003F6153">
        <w:rPr>
          <w:rFonts w:ascii="Arial" w:eastAsia="Arial" w:hAnsi="Arial" w:cs="Arial"/>
          <w:i/>
          <w:sz w:val="22"/>
          <w:szCs w:val="22"/>
        </w:rPr>
        <w:t xml:space="preserve">Que los productos de Terapias Avanzadas presentan riesgos específicos y una elevada complejidad técnica que requieren un abordaje regulatorio diferenciado en materia de calidad, fabricación, controles, ensayos clínicos, </w:t>
      </w:r>
      <w:proofErr w:type="spellStart"/>
      <w:r w:rsidRPr="003F6153">
        <w:rPr>
          <w:rFonts w:ascii="Arial" w:eastAsia="Arial" w:hAnsi="Arial" w:cs="Arial"/>
          <w:i/>
          <w:sz w:val="22"/>
          <w:szCs w:val="22"/>
        </w:rPr>
        <w:t>biofarmacovigilancia</w:t>
      </w:r>
      <w:proofErr w:type="spellEnd"/>
      <w:r w:rsidRPr="003F6153">
        <w:rPr>
          <w:rFonts w:ascii="Arial" w:eastAsia="Arial" w:hAnsi="Arial" w:cs="Arial"/>
          <w:i/>
          <w:sz w:val="22"/>
          <w:szCs w:val="22"/>
        </w:rPr>
        <w:t>, trazabilidad y gestión de riesgo en todas sus etapas;</w:t>
      </w:r>
    </w:p>
    <w:p w:rsidR="003F6153" w:rsidRPr="003F6153" w:rsidRDefault="003F6153" w:rsidP="003F6153">
      <w:pPr>
        <w:ind w:firstLine="851"/>
        <w:jc w:val="both"/>
        <w:rPr>
          <w:rFonts w:ascii="Arial" w:eastAsia="Arial" w:hAnsi="Arial" w:cs="Arial"/>
          <w:i/>
          <w:sz w:val="22"/>
          <w:szCs w:val="22"/>
        </w:rPr>
      </w:pPr>
    </w:p>
    <w:p w:rsidR="003F6153" w:rsidRDefault="003F6153" w:rsidP="003F6153">
      <w:pPr>
        <w:ind w:firstLine="851"/>
        <w:jc w:val="both"/>
        <w:rPr>
          <w:rFonts w:ascii="Arial" w:eastAsia="Arial" w:hAnsi="Arial" w:cs="Arial"/>
          <w:i/>
          <w:sz w:val="22"/>
          <w:szCs w:val="22"/>
        </w:rPr>
      </w:pPr>
      <w:r w:rsidRPr="003F6153">
        <w:rPr>
          <w:rFonts w:ascii="Arial" w:eastAsia="Arial" w:hAnsi="Arial" w:cs="Arial"/>
          <w:i/>
          <w:sz w:val="22"/>
          <w:szCs w:val="22"/>
        </w:rPr>
        <w:t>Que resulta necesario establecer un marco regulatorio robusto y armonizado con las mejores prácticas regulatorias internacionales, incluyendo estándares técnicos de fabricación (GMP), buenas prácticas clínicas (GCP), análisis basados en riesgo, principios de comparabilidad, requisitos no clínicos y clínicos, farmacovigilancia reforzada y disposiciones particulares para productos que involucren manipulación celular, modificación genética y combinación con dispositivos médicos;</w:t>
      </w:r>
    </w:p>
    <w:p w:rsidR="003F6153" w:rsidRDefault="003F6153" w:rsidP="003F6153">
      <w:pPr>
        <w:ind w:firstLine="851"/>
        <w:jc w:val="both"/>
        <w:rPr>
          <w:rFonts w:ascii="Arial" w:eastAsia="Arial" w:hAnsi="Arial" w:cs="Arial"/>
          <w:i/>
          <w:sz w:val="22"/>
          <w:szCs w:val="22"/>
        </w:rPr>
      </w:pPr>
    </w:p>
    <w:p w:rsidR="00F7277D" w:rsidRDefault="00B35FEE">
      <w:pPr>
        <w:ind w:firstLine="851"/>
        <w:jc w:val="both"/>
        <w:rPr>
          <w:rFonts w:ascii="Arial" w:eastAsia="Arial" w:hAnsi="Arial" w:cs="Arial"/>
          <w:i/>
          <w:sz w:val="22"/>
          <w:szCs w:val="22"/>
        </w:rPr>
      </w:pPr>
      <w:r>
        <w:rPr>
          <w:rFonts w:ascii="Arial" w:eastAsia="Arial" w:hAnsi="Arial" w:cs="Arial"/>
          <w:i/>
          <w:sz w:val="22"/>
          <w:szCs w:val="22"/>
        </w:rPr>
        <w:tab/>
      </w:r>
      <w:r>
        <w:rPr>
          <w:rFonts w:ascii="Arial" w:eastAsia="Arial" w:hAnsi="Arial" w:cs="Arial"/>
          <w:i/>
          <w:color w:val="000000"/>
          <w:sz w:val="22"/>
          <w:szCs w:val="22"/>
        </w:rPr>
        <w:t xml:space="preserve"> </w:t>
      </w:r>
      <w:r>
        <w:rPr>
          <w:rFonts w:ascii="Arial" w:eastAsia="Arial" w:hAnsi="Arial" w:cs="Arial"/>
          <w:i/>
          <w:sz w:val="22"/>
          <w:szCs w:val="22"/>
        </w:rPr>
        <w:t xml:space="preserve">Que, la Dirección General de Asuntos Legales de la DINAVISA, a través del Dictamen </w:t>
      </w:r>
      <w:proofErr w:type="spellStart"/>
      <w:r>
        <w:rPr>
          <w:rFonts w:ascii="Arial" w:eastAsia="Arial" w:hAnsi="Arial" w:cs="Arial"/>
          <w:i/>
          <w:sz w:val="22"/>
          <w:szCs w:val="22"/>
        </w:rPr>
        <w:t>N°</w:t>
      </w:r>
      <w:proofErr w:type="spellEnd"/>
      <w:r>
        <w:rPr>
          <w:rFonts w:ascii="Arial" w:eastAsia="Arial" w:hAnsi="Arial" w:cs="Arial"/>
          <w:i/>
          <w:sz w:val="22"/>
          <w:szCs w:val="22"/>
        </w:rPr>
        <w:t xml:space="preserve"> XXXXX de fecha XXXX, ha emitido su parecer favorable a la firma de la presente Resolución.</w:t>
      </w:r>
    </w:p>
    <w:p w:rsidR="00F7277D" w:rsidRDefault="00F7277D">
      <w:pPr>
        <w:ind w:firstLine="851"/>
        <w:jc w:val="both"/>
        <w:rPr>
          <w:rFonts w:ascii="Arial" w:eastAsia="Arial" w:hAnsi="Arial" w:cs="Arial"/>
          <w:i/>
          <w:sz w:val="22"/>
          <w:szCs w:val="22"/>
        </w:rPr>
      </w:pPr>
    </w:p>
    <w:p w:rsidR="00F7277D" w:rsidRDefault="00B35FEE">
      <w:pPr>
        <w:spacing w:after="120"/>
        <w:rPr>
          <w:rFonts w:ascii="Arial" w:eastAsia="Arial" w:hAnsi="Arial" w:cs="Arial"/>
          <w:b/>
          <w:sz w:val="22"/>
          <w:szCs w:val="22"/>
        </w:rPr>
      </w:pPr>
      <w:r>
        <w:rPr>
          <w:rFonts w:ascii="Arial" w:eastAsia="Arial" w:hAnsi="Arial" w:cs="Arial"/>
          <w:b/>
          <w:sz w:val="22"/>
          <w:szCs w:val="22"/>
        </w:rPr>
        <w:t xml:space="preserve">POR TANTO, en uso de sus atribuciones, </w:t>
      </w:r>
    </w:p>
    <w:p w:rsidR="00F7277D" w:rsidRDefault="00B35FEE">
      <w:pPr>
        <w:spacing w:after="120"/>
        <w:jc w:val="center"/>
        <w:rPr>
          <w:rFonts w:ascii="Arial" w:eastAsia="Arial" w:hAnsi="Arial" w:cs="Arial"/>
          <w:b/>
          <w:sz w:val="22"/>
          <w:szCs w:val="22"/>
        </w:rPr>
      </w:pPr>
      <w:r>
        <w:rPr>
          <w:rFonts w:ascii="Arial" w:eastAsia="Arial" w:hAnsi="Arial" w:cs="Arial"/>
          <w:b/>
          <w:sz w:val="22"/>
          <w:szCs w:val="22"/>
        </w:rPr>
        <w:t>EL DIRECTOR NACIONAL INTERINO DE LA DIRECCIÓN NACIONAL DE VIGILANCIA SANITARIA</w:t>
      </w:r>
    </w:p>
    <w:p w:rsidR="00F7277D" w:rsidRDefault="00B35FEE">
      <w:pPr>
        <w:spacing w:after="120"/>
        <w:ind w:left="992" w:hanging="992"/>
        <w:jc w:val="center"/>
        <w:rPr>
          <w:rFonts w:ascii="Arial" w:eastAsia="Arial" w:hAnsi="Arial" w:cs="Arial"/>
          <w:b/>
          <w:sz w:val="22"/>
          <w:szCs w:val="22"/>
        </w:rPr>
      </w:pPr>
      <w:r>
        <w:rPr>
          <w:rFonts w:ascii="Arial" w:eastAsia="Arial" w:hAnsi="Arial" w:cs="Arial"/>
          <w:b/>
          <w:sz w:val="22"/>
          <w:szCs w:val="22"/>
        </w:rPr>
        <w:t>RESUELVE:</w:t>
      </w:r>
    </w:p>
    <w:p w:rsidR="00F7277D" w:rsidRPr="00FD204C" w:rsidRDefault="00B35FEE" w:rsidP="003F6153">
      <w:pPr>
        <w:spacing w:after="120"/>
        <w:ind w:left="1418" w:hanging="1418"/>
        <w:jc w:val="both"/>
        <w:rPr>
          <w:rFonts w:ascii="Arial" w:eastAsia="Arial" w:hAnsi="Arial" w:cs="Arial"/>
          <w:sz w:val="22"/>
          <w:szCs w:val="22"/>
        </w:rPr>
      </w:pPr>
      <w:r>
        <w:rPr>
          <w:rFonts w:ascii="Arial" w:eastAsia="Arial" w:hAnsi="Arial" w:cs="Arial"/>
          <w:b/>
          <w:sz w:val="22"/>
          <w:szCs w:val="22"/>
        </w:rPr>
        <w:t>Artículo 1</w:t>
      </w:r>
      <w:proofErr w:type="gramStart"/>
      <w:r>
        <w:rPr>
          <w:rFonts w:ascii="Arial" w:eastAsia="Arial" w:hAnsi="Arial" w:cs="Arial"/>
          <w:b/>
          <w:sz w:val="22"/>
          <w:szCs w:val="22"/>
        </w:rPr>
        <w:t>°.-</w:t>
      </w:r>
      <w:proofErr w:type="gramEnd"/>
      <w:r>
        <w:rPr>
          <w:rFonts w:ascii="Arial" w:eastAsia="Arial" w:hAnsi="Arial" w:cs="Arial"/>
          <w:b/>
          <w:sz w:val="22"/>
          <w:szCs w:val="22"/>
        </w:rPr>
        <w:tab/>
      </w:r>
      <w:r>
        <w:rPr>
          <w:rFonts w:ascii="Arial" w:eastAsia="Arial" w:hAnsi="Arial" w:cs="Arial"/>
          <w:b/>
          <w:sz w:val="22"/>
          <w:szCs w:val="22"/>
        </w:rPr>
        <w:tab/>
      </w:r>
      <w:r w:rsidR="00EA4C11">
        <w:rPr>
          <w:rFonts w:ascii="Arial" w:eastAsia="Arial" w:hAnsi="Arial" w:cs="Arial"/>
          <w:sz w:val="22"/>
          <w:szCs w:val="22"/>
        </w:rPr>
        <w:t>Aprobar</w:t>
      </w:r>
      <w:r w:rsidR="003A0E83" w:rsidRPr="003A0E83">
        <w:rPr>
          <w:rFonts w:ascii="Arial" w:eastAsia="Arial" w:hAnsi="Arial" w:cs="Arial"/>
          <w:sz w:val="22"/>
          <w:szCs w:val="22"/>
        </w:rPr>
        <w:t xml:space="preserve"> la Guía Técnica para Medicamentos de Terapias Avanzadas, como instrumento técnico de referencia para la evaluación, autorización y control sanitario de dichos productos</w:t>
      </w:r>
      <w:r w:rsidR="000B796B">
        <w:rPr>
          <w:rFonts w:ascii="Arial" w:eastAsia="Arial" w:hAnsi="Arial" w:cs="Arial"/>
          <w:sz w:val="22"/>
          <w:szCs w:val="22"/>
        </w:rPr>
        <w:t>, conforme al Anexo que forma parte de la presente resolución</w:t>
      </w:r>
      <w:r w:rsidR="000B796B" w:rsidRPr="000B796B">
        <w:rPr>
          <w:rFonts w:ascii="Arial" w:eastAsia="Arial" w:hAnsi="Arial" w:cs="Arial"/>
          <w:sz w:val="22"/>
          <w:szCs w:val="22"/>
        </w:rPr>
        <w:t>.</w:t>
      </w:r>
    </w:p>
    <w:p w:rsidR="003A0E83" w:rsidRPr="003A0E83" w:rsidRDefault="00FD204C" w:rsidP="003A0E83">
      <w:pPr>
        <w:spacing w:after="120"/>
        <w:ind w:left="1418" w:hanging="1418"/>
        <w:jc w:val="both"/>
        <w:rPr>
          <w:rFonts w:ascii="Arial" w:eastAsia="Arial" w:hAnsi="Arial" w:cs="Arial"/>
          <w:sz w:val="22"/>
          <w:szCs w:val="22"/>
        </w:rPr>
      </w:pPr>
      <w:r>
        <w:rPr>
          <w:rFonts w:ascii="Arial" w:eastAsia="Arial" w:hAnsi="Arial" w:cs="Arial"/>
          <w:b/>
          <w:sz w:val="22"/>
          <w:szCs w:val="22"/>
        </w:rPr>
        <w:lastRenderedPageBreak/>
        <w:t>Artículo 2</w:t>
      </w:r>
      <w:proofErr w:type="gramStart"/>
      <w:r>
        <w:rPr>
          <w:rFonts w:ascii="Arial" w:eastAsia="Arial" w:hAnsi="Arial" w:cs="Arial"/>
          <w:b/>
          <w:sz w:val="22"/>
          <w:szCs w:val="22"/>
        </w:rPr>
        <w:t>°.-</w:t>
      </w:r>
      <w:proofErr w:type="gramEnd"/>
      <w:r>
        <w:rPr>
          <w:rFonts w:ascii="Arial" w:eastAsia="Arial" w:hAnsi="Arial" w:cs="Arial"/>
          <w:b/>
          <w:sz w:val="22"/>
          <w:szCs w:val="22"/>
        </w:rPr>
        <w:tab/>
      </w:r>
      <w:r w:rsidR="003A0E83" w:rsidRPr="003A0E83">
        <w:rPr>
          <w:rFonts w:ascii="Arial" w:eastAsia="Arial" w:hAnsi="Arial" w:cs="Arial"/>
          <w:sz w:val="22"/>
          <w:szCs w:val="22"/>
        </w:rPr>
        <w:t>Disponer que la Guía será aplicable a:</w:t>
      </w:r>
    </w:p>
    <w:p w:rsidR="003A0E83" w:rsidRPr="003A0E83" w:rsidRDefault="003A0E83" w:rsidP="003A0E83">
      <w:pPr>
        <w:spacing w:after="120"/>
        <w:ind w:left="1418"/>
        <w:jc w:val="both"/>
        <w:rPr>
          <w:rFonts w:ascii="Arial" w:eastAsia="Arial" w:hAnsi="Arial" w:cs="Arial"/>
          <w:sz w:val="22"/>
          <w:szCs w:val="22"/>
        </w:rPr>
      </w:pPr>
      <w:r w:rsidRPr="003A0E83">
        <w:rPr>
          <w:rFonts w:ascii="Arial" w:eastAsia="Arial" w:hAnsi="Arial" w:cs="Arial"/>
          <w:sz w:val="22"/>
          <w:szCs w:val="22"/>
        </w:rPr>
        <w:t>a) Medicamentos de terapias avanzadas en investigación;</w:t>
      </w:r>
    </w:p>
    <w:p w:rsidR="003A0E83" w:rsidRPr="003A0E83" w:rsidRDefault="003A0E83" w:rsidP="003A0E83">
      <w:pPr>
        <w:spacing w:after="120"/>
        <w:ind w:left="1418"/>
        <w:jc w:val="both"/>
        <w:rPr>
          <w:rFonts w:ascii="Arial" w:eastAsia="Arial" w:hAnsi="Arial" w:cs="Arial"/>
          <w:sz w:val="22"/>
          <w:szCs w:val="22"/>
        </w:rPr>
      </w:pPr>
      <w:r w:rsidRPr="003A0E83">
        <w:rPr>
          <w:rFonts w:ascii="Arial" w:eastAsia="Arial" w:hAnsi="Arial" w:cs="Arial"/>
          <w:sz w:val="22"/>
          <w:szCs w:val="22"/>
        </w:rPr>
        <w:t>b) Medicamentos de terapias avanzadas autorizados.</w:t>
      </w:r>
    </w:p>
    <w:p w:rsidR="003A0E83" w:rsidRDefault="003A0E83" w:rsidP="003F6153">
      <w:pPr>
        <w:spacing w:after="120"/>
        <w:ind w:left="1418" w:hanging="1418"/>
        <w:jc w:val="both"/>
        <w:rPr>
          <w:rFonts w:ascii="Arial" w:eastAsia="Arial" w:hAnsi="Arial" w:cs="Arial"/>
          <w:sz w:val="22"/>
          <w:szCs w:val="22"/>
        </w:rPr>
      </w:pPr>
      <w:r>
        <w:rPr>
          <w:rFonts w:ascii="Arial" w:eastAsia="Arial" w:hAnsi="Arial" w:cs="Arial"/>
          <w:b/>
          <w:sz w:val="22"/>
          <w:szCs w:val="22"/>
        </w:rPr>
        <w:t>Artículo 3</w:t>
      </w:r>
      <w:proofErr w:type="gramStart"/>
      <w:r>
        <w:rPr>
          <w:rFonts w:ascii="Arial" w:eastAsia="Arial" w:hAnsi="Arial" w:cs="Arial"/>
          <w:b/>
          <w:sz w:val="22"/>
          <w:szCs w:val="22"/>
        </w:rPr>
        <w:t>°.-</w:t>
      </w:r>
      <w:proofErr w:type="gramEnd"/>
      <w:r>
        <w:rPr>
          <w:rFonts w:ascii="Arial" w:eastAsia="Arial" w:hAnsi="Arial" w:cs="Arial"/>
          <w:b/>
          <w:sz w:val="22"/>
          <w:szCs w:val="22"/>
        </w:rPr>
        <w:tab/>
      </w:r>
      <w:r>
        <w:rPr>
          <w:rFonts w:ascii="Arial" w:eastAsia="Arial" w:hAnsi="Arial" w:cs="Arial"/>
          <w:sz w:val="22"/>
          <w:szCs w:val="22"/>
        </w:rPr>
        <w:t>Disponer que l</w:t>
      </w:r>
      <w:r w:rsidRPr="003A0E83">
        <w:rPr>
          <w:rFonts w:ascii="Arial" w:eastAsia="Arial" w:hAnsi="Arial" w:cs="Arial"/>
          <w:sz w:val="22"/>
          <w:szCs w:val="22"/>
        </w:rPr>
        <w:t xml:space="preserve">a </w:t>
      </w:r>
      <w:r>
        <w:rPr>
          <w:rFonts w:ascii="Arial" w:eastAsia="Arial" w:hAnsi="Arial" w:cs="Arial"/>
          <w:sz w:val="22"/>
          <w:szCs w:val="22"/>
        </w:rPr>
        <w:t>Dirección Nacional de Vigilancia Sanitaria (DINAVISA)</w:t>
      </w:r>
      <w:r w:rsidRPr="003A0E83">
        <w:rPr>
          <w:rFonts w:ascii="Arial" w:eastAsia="Arial" w:hAnsi="Arial" w:cs="Arial"/>
          <w:sz w:val="22"/>
          <w:szCs w:val="22"/>
        </w:rPr>
        <w:t xml:space="preserve"> podrá emitir disposiciones, instructivos o criterios técnicos complementarios para la implementación de la Guía.</w:t>
      </w:r>
    </w:p>
    <w:p w:rsidR="00FD204C" w:rsidRPr="000B796B" w:rsidRDefault="003A0E83" w:rsidP="003F6153">
      <w:pPr>
        <w:spacing w:after="120"/>
        <w:ind w:left="1418" w:hanging="1418"/>
        <w:jc w:val="both"/>
        <w:rPr>
          <w:rFonts w:ascii="Arial" w:eastAsia="Arial" w:hAnsi="Arial" w:cs="Arial"/>
          <w:sz w:val="22"/>
          <w:szCs w:val="22"/>
        </w:rPr>
      </w:pPr>
      <w:r>
        <w:rPr>
          <w:rFonts w:ascii="Arial" w:eastAsia="Arial" w:hAnsi="Arial" w:cs="Arial"/>
          <w:b/>
          <w:sz w:val="22"/>
          <w:szCs w:val="22"/>
        </w:rPr>
        <w:t>Artículo 4</w:t>
      </w:r>
      <w:proofErr w:type="gramStart"/>
      <w:r>
        <w:rPr>
          <w:rFonts w:ascii="Arial" w:eastAsia="Arial" w:hAnsi="Arial" w:cs="Arial"/>
          <w:b/>
          <w:sz w:val="22"/>
          <w:szCs w:val="22"/>
        </w:rPr>
        <w:t>°.-</w:t>
      </w:r>
      <w:proofErr w:type="gramEnd"/>
      <w:r>
        <w:rPr>
          <w:rFonts w:ascii="Arial" w:eastAsia="Arial" w:hAnsi="Arial" w:cs="Arial"/>
          <w:b/>
          <w:sz w:val="22"/>
          <w:szCs w:val="22"/>
        </w:rPr>
        <w:tab/>
      </w:r>
      <w:r w:rsidR="00094659">
        <w:rPr>
          <w:rFonts w:ascii="Arial" w:eastAsia="Arial" w:hAnsi="Arial" w:cs="Arial"/>
          <w:sz w:val="22"/>
          <w:szCs w:val="22"/>
        </w:rPr>
        <w:t>Establecer</w:t>
      </w:r>
      <w:r w:rsidR="000B796B" w:rsidRPr="000B796B">
        <w:rPr>
          <w:rFonts w:ascii="Arial" w:eastAsia="Arial" w:hAnsi="Arial" w:cs="Arial"/>
          <w:sz w:val="22"/>
          <w:szCs w:val="22"/>
        </w:rPr>
        <w:t xml:space="preserve"> que la presente Resolución entra</w:t>
      </w:r>
      <w:r w:rsidR="00BC513D">
        <w:rPr>
          <w:rFonts w:ascii="Arial" w:eastAsia="Arial" w:hAnsi="Arial" w:cs="Arial"/>
          <w:sz w:val="22"/>
          <w:szCs w:val="22"/>
        </w:rPr>
        <w:t>rá</w:t>
      </w:r>
      <w:r w:rsidR="000B796B" w:rsidRPr="000B796B">
        <w:rPr>
          <w:rFonts w:ascii="Arial" w:eastAsia="Arial" w:hAnsi="Arial" w:cs="Arial"/>
          <w:sz w:val="22"/>
          <w:szCs w:val="22"/>
        </w:rPr>
        <w:t xml:space="preserve"> en vigencia a la fecha de su firma.</w:t>
      </w:r>
    </w:p>
    <w:p w:rsidR="000B796B" w:rsidRDefault="000B796B" w:rsidP="003F6153">
      <w:pPr>
        <w:spacing w:after="120"/>
        <w:ind w:left="1418" w:hanging="1418"/>
        <w:jc w:val="both"/>
        <w:rPr>
          <w:rFonts w:ascii="Arial" w:eastAsia="Arial" w:hAnsi="Arial" w:cs="Arial"/>
          <w:sz w:val="22"/>
          <w:szCs w:val="22"/>
        </w:rPr>
      </w:pPr>
      <w:r>
        <w:rPr>
          <w:rFonts w:ascii="Arial" w:eastAsia="Arial" w:hAnsi="Arial" w:cs="Arial"/>
          <w:b/>
          <w:sz w:val="22"/>
          <w:szCs w:val="22"/>
        </w:rPr>
        <w:t xml:space="preserve">Artículo </w:t>
      </w:r>
      <w:r w:rsidR="003A0E83">
        <w:rPr>
          <w:rFonts w:ascii="Arial" w:eastAsia="Arial" w:hAnsi="Arial" w:cs="Arial"/>
          <w:b/>
          <w:sz w:val="22"/>
          <w:szCs w:val="22"/>
        </w:rPr>
        <w:t>5</w:t>
      </w:r>
      <w:proofErr w:type="gramStart"/>
      <w:r>
        <w:rPr>
          <w:rFonts w:ascii="Arial" w:eastAsia="Arial" w:hAnsi="Arial" w:cs="Arial"/>
          <w:b/>
          <w:sz w:val="22"/>
          <w:szCs w:val="22"/>
        </w:rPr>
        <w:t>°.-</w:t>
      </w:r>
      <w:proofErr w:type="gramEnd"/>
      <w:r>
        <w:rPr>
          <w:rFonts w:ascii="Arial" w:eastAsia="Arial" w:hAnsi="Arial" w:cs="Arial"/>
          <w:b/>
          <w:sz w:val="22"/>
          <w:szCs w:val="22"/>
        </w:rPr>
        <w:tab/>
      </w:r>
      <w:r>
        <w:rPr>
          <w:rFonts w:ascii="Arial" w:eastAsia="Arial" w:hAnsi="Arial" w:cs="Arial"/>
          <w:sz w:val="22"/>
          <w:szCs w:val="22"/>
        </w:rPr>
        <w:t xml:space="preserve">Comunicar a quienes corresponda y </w:t>
      </w:r>
      <w:r w:rsidR="00BC513D">
        <w:rPr>
          <w:rFonts w:ascii="Arial" w:eastAsia="Arial" w:hAnsi="Arial" w:cs="Arial"/>
          <w:sz w:val="22"/>
          <w:szCs w:val="22"/>
        </w:rPr>
        <w:t xml:space="preserve">cumplido, </w:t>
      </w:r>
      <w:r>
        <w:rPr>
          <w:rFonts w:ascii="Arial" w:eastAsia="Arial" w:hAnsi="Arial" w:cs="Arial"/>
          <w:sz w:val="22"/>
          <w:szCs w:val="22"/>
        </w:rPr>
        <w:t>archivar.</w:t>
      </w:r>
    </w:p>
    <w:p w:rsidR="006047DD" w:rsidRDefault="006047DD">
      <w:pPr>
        <w:rPr>
          <w:rFonts w:ascii="Arial" w:eastAsia="Arial" w:hAnsi="Arial" w:cs="Arial"/>
          <w:b/>
          <w:sz w:val="22"/>
          <w:szCs w:val="22"/>
        </w:rPr>
      </w:pPr>
      <w:r>
        <w:rPr>
          <w:rFonts w:ascii="Arial" w:eastAsia="Arial" w:hAnsi="Arial" w:cs="Arial"/>
          <w:b/>
          <w:sz w:val="22"/>
          <w:szCs w:val="22"/>
        </w:rPr>
        <w:br w:type="page"/>
      </w:r>
    </w:p>
    <w:p w:rsidR="00BC513D" w:rsidRPr="00742DFA" w:rsidRDefault="006047DD" w:rsidP="006047DD">
      <w:pPr>
        <w:spacing w:after="120"/>
        <w:ind w:left="1418" w:hanging="1418"/>
        <w:jc w:val="center"/>
        <w:rPr>
          <w:rFonts w:ascii="Arial" w:eastAsia="Arial" w:hAnsi="Arial" w:cs="Arial"/>
          <w:b/>
          <w:szCs w:val="22"/>
        </w:rPr>
      </w:pPr>
      <w:r w:rsidRPr="00742DFA">
        <w:rPr>
          <w:rFonts w:ascii="Arial" w:eastAsia="Arial" w:hAnsi="Arial" w:cs="Arial"/>
          <w:b/>
          <w:szCs w:val="22"/>
        </w:rPr>
        <w:lastRenderedPageBreak/>
        <w:t>Anexo</w:t>
      </w:r>
    </w:p>
    <w:p w:rsidR="00AA1267" w:rsidRPr="00742DFA" w:rsidRDefault="00ED3CD0" w:rsidP="00AA1267">
      <w:pPr>
        <w:spacing w:after="120"/>
        <w:jc w:val="both"/>
        <w:rPr>
          <w:rFonts w:ascii="Arial" w:eastAsia="Arial" w:hAnsi="Arial" w:cs="Arial"/>
          <w:b/>
          <w:szCs w:val="22"/>
        </w:rPr>
      </w:pPr>
      <w:r w:rsidRPr="00ED3CD0">
        <w:rPr>
          <w:rFonts w:ascii="Arial" w:eastAsia="Arial" w:hAnsi="Arial" w:cs="Arial"/>
          <w:b/>
          <w:szCs w:val="22"/>
        </w:rPr>
        <w:t>GUÍA SOBRE REQUISITOS DE CALIDAD, NO CLÍNICOS Y CLÍNICOS PARA LOS MEDICAMENTOS DE TERAPIAS AVANZADAS (ATMP)</w:t>
      </w:r>
    </w:p>
    <w:p w:rsidR="00AA1267" w:rsidRPr="000F1E4E" w:rsidRDefault="004F6588" w:rsidP="00AA1267">
      <w:pPr>
        <w:spacing w:after="120"/>
        <w:jc w:val="both"/>
        <w:rPr>
          <w:rFonts w:ascii="Arial" w:eastAsia="Arial" w:hAnsi="Arial" w:cs="Arial"/>
          <w:b/>
          <w:szCs w:val="22"/>
          <w:u w:val="single"/>
        </w:rPr>
      </w:pPr>
      <w:r w:rsidRPr="000F1E4E">
        <w:rPr>
          <w:rFonts w:ascii="Arial" w:eastAsia="Arial" w:hAnsi="Arial" w:cs="Arial"/>
          <w:b/>
          <w:szCs w:val="22"/>
          <w:u w:val="single"/>
        </w:rPr>
        <w:t xml:space="preserve">1. INTRODUCCIÓN </w:t>
      </w:r>
    </w:p>
    <w:p w:rsidR="00EB3942" w:rsidRPr="00EB3942" w:rsidRDefault="00EB3942" w:rsidP="00EB3942">
      <w:pPr>
        <w:spacing w:after="120"/>
        <w:jc w:val="both"/>
        <w:rPr>
          <w:rFonts w:ascii="Arial" w:eastAsia="Arial" w:hAnsi="Arial" w:cs="Arial"/>
          <w:szCs w:val="22"/>
        </w:rPr>
      </w:pPr>
      <w:r w:rsidRPr="00EB3942">
        <w:rPr>
          <w:rFonts w:ascii="Arial" w:eastAsia="Arial" w:hAnsi="Arial" w:cs="Arial"/>
          <w:szCs w:val="22"/>
        </w:rPr>
        <w:t>El uso de productos de terapia celular, tisular y génica para el tratamiento de enfermedades humanas o condiciones físicas ha despertado gran interés por su potencial para cubrir necesidades médicas no satisfechas. Esta clase diversa de medicamentos abarca desde productos mínimamente manipulados antes de su administración (como células autólogas no procesadas y trasplantes de tejidos) hasta aquellos sometidos a procesamiento complejo, cultivo y/o modificaciones genéticas.</w:t>
      </w:r>
    </w:p>
    <w:p w:rsidR="00EB3942" w:rsidRPr="00EB3942" w:rsidRDefault="00EB3942" w:rsidP="00EB3942">
      <w:pPr>
        <w:spacing w:after="120"/>
        <w:jc w:val="both"/>
        <w:rPr>
          <w:rFonts w:ascii="Arial" w:eastAsia="Arial" w:hAnsi="Arial" w:cs="Arial"/>
          <w:szCs w:val="22"/>
        </w:rPr>
      </w:pPr>
      <w:r>
        <w:rPr>
          <w:rFonts w:ascii="Arial" w:eastAsia="Arial" w:hAnsi="Arial" w:cs="Arial"/>
          <w:szCs w:val="22"/>
        </w:rPr>
        <w:t>Los</w:t>
      </w:r>
      <w:r w:rsidRPr="00EB3942">
        <w:rPr>
          <w:rFonts w:ascii="Arial" w:eastAsia="Arial" w:hAnsi="Arial" w:cs="Arial"/>
          <w:szCs w:val="22"/>
        </w:rPr>
        <w:t xml:space="preserve"> marcos legales y normativos </w:t>
      </w:r>
      <w:r>
        <w:rPr>
          <w:rFonts w:ascii="Arial" w:eastAsia="Arial" w:hAnsi="Arial" w:cs="Arial"/>
          <w:szCs w:val="22"/>
        </w:rPr>
        <w:t xml:space="preserve">se encuentran </w:t>
      </w:r>
      <w:r w:rsidRPr="00EB3942">
        <w:rPr>
          <w:rFonts w:ascii="Arial" w:eastAsia="Arial" w:hAnsi="Arial" w:cs="Arial"/>
          <w:szCs w:val="22"/>
        </w:rPr>
        <w:t>destinados a proteger a los donantes y garantizar resultados seguros y eficaces en los pacientes tratados. Dichos marcos reflejan la heterogeneidad y complejidad de estos productos terapéuticos, tanto en lo relativo a la seguridad como a la eficacia.</w:t>
      </w:r>
    </w:p>
    <w:p w:rsidR="00EB3942" w:rsidRPr="00EB3942" w:rsidRDefault="00EB3942" w:rsidP="00EB3942">
      <w:pPr>
        <w:spacing w:after="120"/>
        <w:jc w:val="both"/>
        <w:rPr>
          <w:rFonts w:ascii="Arial" w:eastAsia="Arial" w:hAnsi="Arial" w:cs="Arial"/>
          <w:szCs w:val="22"/>
        </w:rPr>
      </w:pPr>
      <w:r w:rsidRPr="00EB3942">
        <w:rPr>
          <w:rFonts w:ascii="Arial" w:eastAsia="Arial" w:hAnsi="Arial" w:cs="Arial"/>
          <w:szCs w:val="22"/>
        </w:rPr>
        <w:t>En este contexto, la presente guía tiene como propósito definir con precisión los medicamentos de terapia avanzada y establecer criterios técnicos que permitan delimitar su alcance regulatorio, diferenciándolos de las células y tejidos humanos destinados a uso medicinal convencional. Asimismo, ofrece un marco de referencia para su categorización, evaluación y supervisión, en concordancia con normativas internacionales, con el fin de asegurar coherencia regulatoria, protección de donantes y receptores, y eficacia terapéutica.</w:t>
      </w:r>
    </w:p>
    <w:p w:rsidR="00EB3942" w:rsidRPr="00EB3942" w:rsidRDefault="00EB3942" w:rsidP="00EB3942">
      <w:pPr>
        <w:spacing w:after="120"/>
        <w:jc w:val="both"/>
        <w:rPr>
          <w:rFonts w:ascii="Arial" w:eastAsia="Arial" w:hAnsi="Arial" w:cs="Arial"/>
          <w:szCs w:val="22"/>
        </w:rPr>
      </w:pPr>
      <w:r w:rsidRPr="00EB3942">
        <w:rPr>
          <w:rFonts w:ascii="Arial" w:eastAsia="Arial" w:hAnsi="Arial" w:cs="Arial"/>
          <w:szCs w:val="22"/>
        </w:rPr>
        <w:t xml:space="preserve">La guía adopta un enfoque multidisciplinario que incluye aspectos de desarrollo, fabricación y control de calidad, así como consideraciones no clínicas y, en cierta medida, clínicas de los </w:t>
      </w:r>
      <w:proofErr w:type="spellStart"/>
      <w:r w:rsidRPr="00EB3942">
        <w:rPr>
          <w:rFonts w:ascii="Arial" w:eastAsia="Arial" w:hAnsi="Arial" w:cs="Arial"/>
          <w:szCs w:val="22"/>
        </w:rPr>
        <w:t>ATMPs</w:t>
      </w:r>
      <w:proofErr w:type="spellEnd"/>
      <w:r w:rsidRPr="00EB3942">
        <w:rPr>
          <w:rFonts w:ascii="Arial" w:eastAsia="Arial" w:hAnsi="Arial" w:cs="Arial"/>
          <w:szCs w:val="22"/>
        </w:rPr>
        <w:t xml:space="preserve"> en investigación. El objetivo de la evaluación y autorización de los ensayos clínicos es garantizar que los derechos, la seguridad, la dignidad y el bienestar de los sujetos prevalezcan sobre cualquier otro interés, y que los estudios estén diseñados para generar datos sólidos y fiables.</w:t>
      </w:r>
    </w:p>
    <w:p w:rsidR="00EB3942" w:rsidRDefault="00EB3942" w:rsidP="00AA1267">
      <w:pPr>
        <w:spacing w:after="120"/>
        <w:jc w:val="both"/>
        <w:rPr>
          <w:rFonts w:ascii="Arial" w:eastAsia="Arial" w:hAnsi="Arial" w:cs="Arial"/>
          <w:b/>
          <w:szCs w:val="22"/>
          <w:u w:val="single"/>
        </w:rPr>
      </w:pPr>
    </w:p>
    <w:p w:rsidR="006B6259" w:rsidRPr="000F1E4E" w:rsidRDefault="004F6588" w:rsidP="006B6259">
      <w:pPr>
        <w:spacing w:after="120"/>
        <w:jc w:val="both"/>
        <w:rPr>
          <w:rFonts w:ascii="Arial" w:eastAsia="Arial" w:hAnsi="Arial" w:cs="Arial"/>
          <w:b/>
          <w:szCs w:val="22"/>
          <w:u w:val="single"/>
        </w:rPr>
      </w:pPr>
      <w:r>
        <w:rPr>
          <w:rFonts w:ascii="Arial" w:eastAsia="Arial" w:hAnsi="Arial" w:cs="Arial"/>
          <w:b/>
          <w:szCs w:val="22"/>
          <w:u w:val="single"/>
        </w:rPr>
        <w:t>2</w:t>
      </w:r>
      <w:r w:rsidR="006B6259">
        <w:rPr>
          <w:rFonts w:ascii="Arial" w:eastAsia="Arial" w:hAnsi="Arial" w:cs="Arial"/>
          <w:b/>
          <w:szCs w:val="22"/>
          <w:u w:val="single"/>
        </w:rPr>
        <w:t xml:space="preserve">. </w:t>
      </w:r>
      <w:r w:rsidR="006B6259" w:rsidRPr="000F1E4E">
        <w:rPr>
          <w:rFonts w:ascii="Arial" w:eastAsia="Arial" w:hAnsi="Arial" w:cs="Arial"/>
          <w:b/>
          <w:szCs w:val="22"/>
          <w:u w:val="single"/>
        </w:rPr>
        <w:t>GLOSARIO</w:t>
      </w:r>
      <w:r w:rsidR="006B6259">
        <w:rPr>
          <w:rFonts w:ascii="Arial" w:eastAsia="Arial" w:hAnsi="Arial" w:cs="Arial"/>
          <w:b/>
          <w:szCs w:val="22"/>
          <w:u w:val="single"/>
        </w:rPr>
        <w:t xml:space="preserve"> DE TÉRMINOS</w:t>
      </w:r>
    </w:p>
    <w:p w:rsidR="006B6259" w:rsidRPr="00A1436C" w:rsidRDefault="006B6259" w:rsidP="006B6259">
      <w:pPr>
        <w:spacing w:after="120"/>
        <w:jc w:val="both"/>
        <w:rPr>
          <w:rFonts w:ascii="Arial" w:eastAsia="Arial" w:hAnsi="Arial" w:cs="Arial"/>
          <w:szCs w:val="22"/>
        </w:rPr>
      </w:pPr>
      <w:r w:rsidRPr="00A1436C">
        <w:rPr>
          <w:rFonts w:ascii="Arial" w:eastAsia="Arial" w:hAnsi="Arial" w:cs="Arial"/>
          <w:b/>
          <w:szCs w:val="22"/>
        </w:rPr>
        <w:t>Alogénico (</w:t>
      </w:r>
      <w:proofErr w:type="spellStart"/>
      <w:r w:rsidRPr="00A1436C">
        <w:rPr>
          <w:rFonts w:ascii="Arial" w:eastAsia="Arial" w:hAnsi="Arial" w:cs="Arial"/>
          <w:b/>
          <w:szCs w:val="22"/>
        </w:rPr>
        <w:t>Allogeneic</w:t>
      </w:r>
      <w:proofErr w:type="spellEnd"/>
      <w:r w:rsidRPr="00A1436C">
        <w:rPr>
          <w:rFonts w:ascii="Arial" w:eastAsia="Arial" w:hAnsi="Arial" w:cs="Arial"/>
          <w:b/>
          <w:szCs w:val="22"/>
        </w:rPr>
        <w:t>):</w:t>
      </w:r>
      <w:r w:rsidRPr="00A1436C">
        <w:rPr>
          <w:rFonts w:ascii="Arial" w:eastAsia="Arial" w:hAnsi="Arial" w:cs="Arial"/>
          <w:szCs w:val="22"/>
        </w:rPr>
        <w:t xml:space="preserve"> se refiere a células y tejidos donados por una persona y utilizados para tratar una condición médica en otra persona.</w:t>
      </w:r>
    </w:p>
    <w:p w:rsidR="006B6259" w:rsidRPr="00A1436C" w:rsidRDefault="006B6259" w:rsidP="006B6259">
      <w:pPr>
        <w:spacing w:after="120"/>
        <w:jc w:val="both"/>
        <w:rPr>
          <w:rFonts w:ascii="Arial" w:eastAsia="Arial" w:hAnsi="Arial" w:cs="Arial"/>
          <w:szCs w:val="22"/>
        </w:rPr>
      </w:pPr>
      <w:r w:rsidRPr="00A1436C">
        <w:rPr>
          <w:rFonts w:ascii="Arial" w:eastAsia="Arial" w:hAnsi="Arial" w:cs="Arial"/>
          <w:b/>
          <w:szCs w:val="22"/>
        </w:rPr>
        <w:t>Autólogo (</w:t>
      </w:r>
      <w:proofErr w:type="spellStart"/>
      <w:r w:rsidRPr="00A1436C">
        <w:rPr>
          <w:rFonts w:ascii="Arial" w:eastAsia="Arial" w:hAnsi="Arial" w:cs="Arial"/>
          <w:b/>
          <w:szCs w:val="22"/>
        </w:rPr>
        <w:t>Autologous</w:t>
      </w:r>
      <w:proofErr w:type="spellEnd"/>
      <w:r w:rsidRPr="00A1436C">
        <w:rPr>
          <w:rFonts w:ascii="Arial" w:eastAsia="Arial" w:hAnsi="Arial" w:cs="Arial"/>
          <w:b/>
          <w:szCs w:val="22"/>
        </w:rPr>
        <w:t>):</w:t>
      </w:r>
      <w:r w:rsidRPr="00A1436C">
        <w:rPr>
          <w:rFonts w:ascii="Arial" w:eastAsia="Arial" w:hAnsi="Arial" w:cs="Arial"/>
          <w:szCs w:val="22"/>
        </w:rPr>
        <w:t xml:space="preserve"> se refiere a células y tejidos obtenidos de una persona y utilizados para tratar una condición médica en esa misma persona.</w:t>
      </w:r>
    </w:p>
    <w:p w:rsidR="006B6259" w:rsidRPr="00A1436C" w:rsidRDefault="006B6259" w:rsidP="006B6259">
      <w:pPr>
        <w:spacing w:after="120"/>
        <w:jc w:val="both"/>
        <w:rPr>
          <w:rFonts w:ascii="Arial" w:eastAsia="Arial" w:hAnsi="Arial" w:cs="Arial"/>
          <w:szCs w:val="22"/>
        </w:rPr>
      </w:pPr>
      <w:r w:rsidRPr="00A1436C">
        <w:rPr>
          <w:rFonts w:ascii="Arial" w:eastAsia="Arial" w:hAnsi="Arial" w:cs="Arial"/>
          <w:b/>
          <w:szCs w:val="22"/>
        </w:rPr>
        <w:lastRenderedPageBreak/>
        <w:t>Medicamento de terapias avanzadas (ATMP):</w:t>
      </w:r>
      <w:r w:rsidRPr="00A1436C">
        <w:rPr>
          <w:rFonts w:ascii="Arial" w:eastAsia="Arial" w:hAnsi="Arial" w:cs="Arial"/>
          <w:szCs w:val="22"/>
        </w:rPr>
        <w:t xml:space="preserve"> cualquier producto de terapia celular o génica, o producto de ingeniería tisular que haya sido sustancialmente manipulado y/o que desempeñe una función diferente en el receptor que en el donante. Los </w:t>
      </w:r>
      <w:proofErr w:type="spellStart"/>
      <w:r w:rsidRPr="00A1436C">
        <w:rPr>
          <w:rFonts w:ascii="Arial" w:eastAsia="Arial" w:hAnsi="Arial" w:cs="Arial"/>
          <w:szCs w:val="22"/>
        </w:rPr>
        <w:t>ATMPs</w:t>
      </w:r>
      <w:proofErr w:type="spellEnd"/>
      <w:r w:rsidRPr="00A1436C">
        <w:rPr>
          <w:rFonts w:ascii="Arial" w:eastAsia="Arial" w:hAnsi="Arial" w:cs="Arial"/>
          <w:szCs w:val="22"/>
        </w:rPr>
        <w:t xml:space="preserve"> suelen producirse a partir de células somáticas o tejidos modificados genéticamente y/o sustancialmente manipulados. También incluyen ácidos nucleicos, vectores virales y no virales, células bacterianas recombinantes y virus </w:t>
      </w:r>
      <w:proofErr w:type="spellStart"/>
      <w:r w:rsidRPr="00A1436C">
        <w:rPr>
          <w:rFonts w:ascii="Arial" w:eastAsia="Arial" w:hAnsi="Arial" w:cs="Arial"/>
          <w:szCs w:val="22"/>
        </w:rPr>
        <w:t>oncolíticos</w:t>
      </w:r>
      <w:proofErr w:type="spellEnd"/>
      <w:r w:rsidRPr="00A1436C">
        <w:rPr>
          <w:rFonts w:ascii="Arial" w:eastAsia="Arial" w:hAnsi="Arial" w:cs="Arial"/>
          <w:szCs w:val="22"/>
        </w:rPr>
        <w:t xml:space="preserve"> recombinantes. Las células y tejidos xenogénicos están incluidos en la definición de </w:t>
      </w:r>
      <w:proofErr w:type="spellStart"/>
      <w:r w:rsidRPr="00A1436C">
        <w:rPr>
          <w:rFonts w:ascii="Arial" w:eastAsia="Arial" w:hAnsi="Arial" w:cs="Arial"/>
          <w:szCs w:val="22"/>
        </w:rPr>
        <w:t>ATMPs</w:t>
      </w:r>
      <w:proofErr w:type="spellEnd"/>
      <w:r w:rsidRPr="00A1436C">
        <w:rPr>
          <w:rFonts w:ascii="Arial" w:eastAsia="Arial" w:hAnsi="Arial" w:cs="Arial"/>
          <w:szCs w:val="22"/>
        </w:rPr>
        <w:t>, pero no forman parte del alcance de este documento debido a la complejidad de su aplicación.</w:t>
      </w:r>
    </w:p>
    <w:p w:rsidR="006B6259" w:rsidRPr="00A1436C" w:rsidRDefault="006B6259" w:rsidP="006B6259">
      <w:pPr>
        <w:spacing w:after="120"/>
        <w:jc w:val="both"/>
        <w:rPr>
          <w:rFonts w:ascii="Arial" w:eastAsia="Arial" w:hAnsi="Arial" w:cs="Arial"/>
          <w:szCs w:val="22"/>
        </w:rPr>
      </w:pPr>
      <w:r w:rsidRPr="00A1436C">
        <w:rPr>
          <w:rFonts w:ascii="Arial" w:eastAsia="Arial" w:hAnsi="Arial" w:cs="Arial"/>
          <w:b/>
          <w:szCs w:val="22"/>
        </w:rPr>
        <w:t xml:space="preserve">Producto de terapia celular (Cell </w:t>
      </w:r>
      <w:proofErr w:type="spellStart"/>
      <w:r w:rsidRPr="00A1436C">
        <w:rPr>
          <w:rFonts w:ascii="Arial" w:eastAsia="Arial" w:hAnsi="Arial" w:cs="Arial"/>
          <w:b/>
          <w:szCs w:val="22"/>
        </w:rPr>
        <w:t>therapy</w:t>
      </w:r>
      <w:proofErr w:type="spellEnd"/>
      <w:r w:rsidRPr="00A1436C">
        <w:rPr>
          <w:rFonts w:ascii="Arial" w:eastAsia="Arial" w:hAnsi="Arial" w:cs="Arial"/>
          <w:b/>
          <w:szCs w:val="22"/>
        </w:rPr>
        <w:t xml:space="preserve"> </w:t>
      </w:r>
      <w:proofErr w:type="spellStart"/>
      <w:r w:rsidRPr="00A1436C">
        <w:rPr>
          <w:rFonts w:ascii="Arial" w:eastAsia="Arial" w:hAnsi="Arial" w:cs="Arial"/>
          <w:b/>
          <w:szCs w:val="22"/>
        </w:rPr>
        <w:t>product</w:t>
      </w:r>
      <w:proofErr w:type="spellEnd"/>
      <w:r w:rsidRPr="00A1436C">
        <w:rPr>
          <w:rFonts w:ascii="Arial" w:eastAsia="Arial" w:hAnsi="Arial" w:cs="Arial"/>
          <w:b/>
          <w:szCs w:val="22"/>
        </w:rPr>
        <w:t>):</w:t>
      </w:r>
      <w:r w:rsidRPr="00A1436C">
        <w:rPr>
          <w:rFonts w:ascii="Arial" w:eastAsia="Arial" w:hAnsi="Arial" w:cs="Arial"/>
          <w:szCs w:val="22"/>
        </w:rPr>
        <w:t xml:space="preserve"> producto compuesto por células humanas nucleadas destinado a reemplazo o reconstitución, y/o al tratamiento o prevención de enfermedades humanas o condiciones fisiológicas, a través de la acción farmacológica, inmunológica o metabólica de sus células o tejidos.</w:t>
      </w:r>
    </w:p>
    <w:p w:rsidR="006B6259" w:rsidRPr="00A1436C" w:rsidRDefault="006B6259" w:rsidP="006B6259">
      <w:pPr>
        <w:spacing w:after="120"/>
        <w:jc w:val="both"/>
        <w:rPr>
          <w:rFonts w:ascii="Arial" w:eastAsia="Arial" w:hAnsi="Arial" w:cs="Arial"/>
          <w:szCs w:val="22"/>
        </w:rPr>
      </w:pPr>
      <w:proofErr w:type="spellStart"/>
      <w:r w:rsidRPr="00DF3761">
        <w:rPr>
          <w:rFonts w:ascii="Arial" w:eastAsia="Arial" w:hAnsi="Arial" w:cs="Arial"/>
          <w:b/>
          <w:szCs w:val="22"/>
        </w:rPr>
        <w:t>ATMPs</w:t>
      </w:r>
      <w:proofErr w:type="spellEnd"/>
      <w:r w:rsidRPr="00DF3761">
        <w:rPr>
          <w:rFonts w:ascii="Arial" w:eastAsia="Arial" w:hAnsi="Arial" w:cs="Arial"/>
          <w:b/>
          <w:szCs w:val="22"/>
        </w:rPr>
        <w:t xml:space="preserve"> combinados (</w:t>
      </w:r>
      <w:proofErr w:type="spellStart"/>
      <w:r w:rsidRPr="00DF3761">
        <w:rPr>
          <w:rFonts w:ascii="Arial" w:eastAsia="Arial" w:hAnsi="Arial" w:cs="Arial"/>
          <w:b/>
          <w:szCs w:val="22"/>
        </w:rPr>
        <w:t>Combined</w:t>
      </w:r>
      <w:proofErr w:type="spellEnd"/>
      <w:r w:rsidRPr="00DF3761">
        <w:rPr>
          <w:rFonts w:ascii="Arial" w:eastAsia="Arial" w:hAnsi="Arial" w:cs="Arial"/>
          <w:b/>
          <w:szCs w:val="22"/>
        </w:rPr>
        <w:t xml:space="preserve"> </w:t>
      </w:r>
      <w:proofErr w:type="spellStart"/>
      <w:r w:rsidRPr="00DF3761">
        <w:rPr>
          <w:rFonts w:ascii="Arial" w:eastAsia="Arial" w:hAnsi="Arial" w:cs="Arial"/>
          <w:b/>
          <w:szCs w:val="22"/>
        </w:rPr>
        <w:t>ATMPs</w:t>
      </w:r>
      <w:proofErr w:type="spellEnd"/>
      <w:r w:rsidRPr="00DF3761">
        <w:rPr>
          <w:rFonts w:ascii="Arial" w:eastAsia="Arial" w:hAnsi="Arial" w:cs="Arial"/>
          <w:b/>
          <w:szCs w:val="22"/>
        </w:rPr>
        <w:t>):</w:t>
      </w:r>
      <w:r w:rsidRPr="00A1436C">
        <w:rPr>
          <w:rFonts w:ascii="Arial" w:eastAsia="Arial" w:hAnsi="Arial" w:cs="Arial"/>
          <w:szCs w:val="22"/>
        </w:rPr>
        <w:t xml:space="preserve"> </w:t>
      </w:r>
      <w:proofErr w:type="spellStart"/>
      <w:r w:rsidRPr="00A1436C">
        <w:rPr>
          <w:rFonts w:ascii="Arial" w:eastAsia="Arial" w:hAnsi="Arial" w:cs="Arial"/>
          <w:szCs w:val="22"/>
        </w:rPr>
        <w:t>ATMPs</w:t>
      </w:r>
      <w:proofErr w:type="spellEnd"/>
      <w:r w:rsidRPr="00A1436C">
        <w:rPr>
          <w:rFonts w:ascii="Arial" w:eastAsia="Arial" w:hAnsi="Arial" w:cs="Arial"/>
          <w:szCs w:val="22"/>
        </w:rPr>
        <w:t xml:space="preserve"> que incluyen uno o más dispositivos médicos, </w:t>
      </w:r>
      <w:r w:rsidR="001C2AC9">
        <w:rPr>
          <w:rFonts w:ascii="Arial" w:eastAsia="Arial" w:hAnsi="Arial" w:cs="Arial"/>
          <w:szCs w:val="22"/>
        </w:rPr>
        <w:t>estructuras de soporte</w:t>
      </w:r>
      <w:r w:rsidR="00CA1D9F">
        <w:rPr>
          <w:rFonts w:ascii="Arial" w:eastAsia="Arial" w:hAnsi="Arial" w:cs="Arial"/>
          <w:szCs w:val="22"/>
        </w:rPr>
        <w:t xml:space="preserve"> (</w:t>
      </w:r>
      <w:proofErr w:type="spellStart"/>
      <w:r w:rsidR="00CA1D9F">
        <w:rPr>
          <w:rFonts w:ascii="Arial" w:eastAsia="Arial" w:hAnsi="Arial" w:cs="Arial"/>
          <w:szCs w:val="22"/>
        </w:rPr>
        <w:t>scaffolds</w:t>
      </w:r>
      <w:proofErr w:type="spellEnd"/>
      <w:r w:rsidR="00CA1D9F">
        <w:rPr>
          <w:rFonts w:ascii="Arial" w:eastAsia="Arial" w:hAnsi="Arial" w:cs="Arial"/>
          <w:szCs w:val="22"/>
        </w:rPr>
        <w:t>)</w:t>
      </w:r>
      <w:r w:rsidRPr="00A1436C">
        <w:rPr>
          <w:rFonts w:ascii="Arial" w:eastAsia="Arial" w:hAnsi="Arial" w:cs="Arial"/>
          <w:szCs w:val="22"/>
        </w:rPr>
        <w:t xml:space="preserve"> o matrices como parte integral del producto, y donde el dispositivo o estructura de soporte adicional tiene un rol/función en el efecto global del producto y no está destinado a ser removido ni utilizado únicamente con fines de administración.</w:t>
      </w:r>
    </w:p>
    <w:p w:rsidR="006B6259" w:rsidRPr="00A1436C" w:rsidRDefault="006B6259" w:rsidP="006B6259">
      <w:pPr>
        <w:spacing w:after="120"/>
        <w:jc w:val="both"/>
        <w:rPr>
          <w:rFonts w:ascii="Arial" w:eastAsia="Arial" w:hAnsi="Arial" w:cs="Arial"/>
          <w:szCs w:val="22"/>
        </w:rPr>
      </w:pPr>
      <w:r w:rsidRPr="00DF3761">
        <w:rPr>
          <w:rFonts w:ascii="Arial" w:eastAsia="Arial" w:hAnsi="Arial" w:cs="Arial"/>
          <w:b/>
          <w:szCs w:val="22"/>
        </w:rPr>
        <w:t xml:space="preserve">Atributo crítico de calidad (CQA – </w:t>
      </w:r>
      <w:proofErr w:type="spellStart"/>
      <w:r w:rsidRPr="00DF3761">
        <w:rPr>
          <w:rFonts w:ascii="Arial" w:eastAsia="Arial" w:hAnsi="Arial" w:cs="Arial"/>
          <w:b/>
          <w:szCs w:val="22"/>
        </w:rPr>
        <w:t>Critical</w:t>
      </w:r>
      <w:proofErr w:type="spellEnd"/>
      <w:r w:rsidRPr="00DF3761">
        <w:rPr>
          <w:rFonts w:ascii="Arial" w:eastAsia="Arial" w:hAnsi="Arial" w:cs="Arial"/>
          <w:b/>
          <w:szCs w:val="22"/>
        </w:rPr>
        <w:t xml:space="preserve"> </w:t>
      </w:r>
      <w:proofErr w:type="spellStart"/>
      <w:r w:rsidRPr="00DF3761">
        <w:rPr>
          <w:rFonts w:ascii="Arial" w:eastAsia="Arial" w:hAnsi="Arial" w:cs="Arial"/>
          <w:b/>
          <w:szCs w:val="22"/>
        </w:rPr>
        <w:t>Quality</w:t>
      </w:r>
      <w:proofErr w:type="spellEnd"/>
      <w:r w:rsidRPr="00DF3761">
        <w:rPr>
          <w:rFonts w:ascii="Arial" w:eastAsia="Arial" w:hAnsi="Arial" w:cs="Arial"/>
          <w:b/>
          <w:szCs w:val="22"/>
        </w:rPr>
        <w:t xml:space="preserve"> </w:t>
      </w:r>
      <w:proofErr w:type="spellStart"/>
      <w:r w:rsidRPr="00DF3761">
        <w:rPr>
          <w:rFonts w:ascii="Arial" w:eastAsia="Arial" w:hAnsi="Arial" w:cs="Arial"/>
          <w:b/>
          <w:szCs w:val="22"/>
        </w:rPr>
        <w:t>Attribute</w:t>
      </w:r>
      <w:proofErr w:type="spellEnd"/>
      <w:r w:rsidRPr="00DF3761">
        <w:rPr>
          <w:rFonts w:ascii="Arial" w:eastAsia="Arial" w:hAnsi="Arial" w:cs="Arial"/>
          <w:b/>
          <w:szCs w:val="22"/>
        </w:rPr>
        <w:t>):</w:t>
      </w:r>
      <w:r w:rsidRPr="00A1436C">
        <w:rPr>
          <w:rFonts w:ascii="Arial" w:eastAsia="Arial" w:hAnsi="Arial" w:cs="Arial"/>
          <w:szCs w:val="22"/>
        </w:rPr>
        <w:t xml:space="preserve"> cualquier propiedad física, química, biológica y/o microbiológica y/o característica de un medicamento que debe encontrarse dentro de un límite, rango o distribución apropiados para garantizar la calidad deseada del producto.</w:t>
      </w:r>
    </w:p>
    <w:p w:rsidR="006B6259" w:rsidRPr="00A1436C" w:rsidRDefault="006B6259" w:rsidP="006B6259">
      <w:pPr>
        <w:spacing w:after="120"/>
        <w:jc w:val="both"/>
        <w:rPr>
          <w:rFonts w:ascii="Arial" w:eastAsia="Arial" w:hAnsi="Arial" w:cs="Arial"/>
          <w:szCs w:val="22"/>
        </w:rPr>
      </w:pPr>
      <w:r w:rsidRPr="00DF3761">
        <w:rPr>
          <w:rFonts w:ascii="Arial" w:eastAsia="Arial" w:hAnsi="Arial" w:cs="Arial"/>
          <w:b/>
          <w:szCs w:val="22"/>
        </w:rPr>
        <w:t xml:space="preserve">Edición génica (Gene </w:t>
      </w:r>
      <w:proofErr w:type="spellStart"/>
      <w:r w:rsidRPr="00DF3761">
        <w:rPr>
          <w:rFonts w:ascii="Arial" w:eastAsia="Arial" w:hAnsi="Arial" w:cs="Arial"/>
          <w:b/>
          <w:szCs w:val="22"/>
        </w:rPr>
        <w:t>editing</w:t>
      </w:r>
      <w:proofErr w:type="spellEnd"/>
      <w:r w:rsidRPr="00DF3761">
        <w:rPr>
          <w:rFonts w:ascii="Arial" w:eastAsia="Arial" w:hAnsi="Arial" w:cs="Arial"/>
          <w:b/>
          <w:szCs w:val="22"/>
        </w:rPr>
        <w:t>):</w:t>
      </w:r>
      <w:r w:rsidRPr="00A1436C">
        <w:rPr>
          <w:rFonts w:ascii="Arial" w:eastAsia="Arial" w:hAnsi="Arial" w:cs="Arial"/>
          <w:szCs w:val="22"/>
        </w:rPr>
        <w:t xml:space="preserve"> método que permite añadir, eliminar o alterar material genético de manera específica en el genoma. Actualmente, los enfoques más utilizados se basan en nucleasas de dedos de zinc (ZFN), nucleasas efectoras activadoras de la transcripción (TALEN) o repeticiones </w:t>
      </w:r>
      <w:proofErr w:type="spellStart"/>
      <w:r w:rsidRPr="00A1436C">
        <w:rPr>
          <w:rFonts w:ascii="Arial" w:eastAsia="Arial" w:hAnsi="Arial" w:cs="Arial"/>
          <w:szCs w:val="22"/>
        </w:rPr>
        <w:t>palindrómicas</w:t>
      </w:r>
      <w:proofErr w:type="spellEnd"/>
      <w:r w:rsidRPr="00A1436C">
        <w:rPr>
          <w:rFonts w:ascii="Arial" w:eastAsia="Arial" w:hAnsi="Arial" w:cs="Arial"/>
          <w:szCs w:val="22"/>
        </w:rPr>
        <w:t xml:space="preserve"> cortas agrupadas y (CRISPR) junto con la endonucleasa Cas9 (CRISPR-Cas9).</w:t>
      </w:r>
    </w:p>
    <w:p w:rsidR="006B6259" w:rsidRDefault="006B6259" w:rsidP="006B6259">
      <w:pPr>
        <w:spacing w:after="120"/>
        <w:jc w:val="both"/>
        <w:rPr>
          <w:rFonts w:ascii="Arial" w:eastAsia="Arial" w:hAnsi="Arial" w:cs="Arial"/>
          <w:szCs w:val="22"/>
        </w:rPr>
      </w:pPr>
      <w:r w:rsidRPr="00DF3761">
        <w:rPr>
          <w:rFonts w:ascii="Arial" w:eastAsia="Arial" w:hAnsi="Arial" w:cs="Arial"/>
          <w:b/>
          <w:szCs w:val="22"/>
        </w:rPr>
        <w:t xml:space="preserve">Producto de terapia génica (Gene </w:t>
      </w:r>
      <w:proofErr w:type="spellStart"/>
      <w:r w:rsidRPr="00DF3761">
        <w:rPr>
          <w:rFonts w:ascii="Arial" w:eastAsia="Arial" w:hAnsi="Arial" w:cs="Arial"/>
          <w:b/>
          <w:szCs w:val="22"/>
        </w:rPr>
        <w:t>therapy</w:t>
      </w:r>
      <w:proofErr w:type="spellEnd"/>
      <w:r w:rsidRPr="00DF3761">
        <w:rPr>
          <w:rFonts w:ascii="Arial" w:eastAsia="Arial" w:hAnsi="Arial" w:cs="Arial"/>
          <w:b/>
          <w:szCs w:val="22"/>
        </w:rPr>
        <w:t xml:space="preserve"> </w:t>
      </w:r>
      <w:proofErr w:type="spellStart"/>
      <w:r w:rsidRPr="00DF3761">
        <w:rPr>
          <w:rFonts w:ascii="Arial" w:eastAsia="Arial" w:hAnsi="Arial" w:cs="Arial"/>
          <w:b/>
          <w:szCs w:val="22"/>
        </w:rPr>
        <w:t>product</w:t>
      </w:r>
      <w:proofErr w:type="spellEnd"/>
      <w:r w:rsidRPr="00DF3761">
        <w:rPr>
          <w:rFonts w:ascii="Arial" w:eastAsia="Arial" w:hAnsi="Arial" w:cs="Arial"/>
          <w:b/>
          <w:szCs w:val="22"/>
        </w:rPr>
        <w:t>):</w:t>
      </w:r>
      <w:r w:rsidRPr="00A1436C">
        <w:rPr>
          <w:rFonts w:ascii="Arial" w:eastAsia="Arial" w:hAnsi="Arial" w:cs="Arial"/>
          <w:szCs w:val="22"/>
        </w:rPr>
        <w:t xml:space="preserve"> medicamento que contiene ácidos nucleicos (por ejemplo, plásmidos, ARN mensajero (ARNm) o ADN) destinados a regular, reparar, reemplazar, añadir o eliminar una secuencia genética. El efecto terapéutico previsto depende del gen codificado utilizado. Los productos de terapia génica incluyen aquellos que contienen vectores no virales (por ejemplo, nanopartículas lipídicas) o vectores virales que se utilizan </w:t>
      </w:r>
      <w:r w:rsidRPr="00EE54AF">
        <w:rPr>
          <w:rFonts w:ascii="Arial" w:eastAsia="Arial" w:hAnsi="Arial" w:cs="Arial"/>
          <w:i/>
          <w:szCs w:val="22"/>
        </w:rPr>
        <w:t>in vivo</w:t>
      </w:r>
      <w:r w:rsidRPr="00A1436C">
        <w:rPr>
          <w:rFonts w:ascii="Arial" w:eastAsia="Arial" w:hAnsi="Arial" w:cs="Arial"/>
          <w:szCs w:val="22"/>
        </w:rPr>
        <w:t xml:space="preserve">, así como células que han sido modificadas por estos tipos de vectores </w:t>
      </w:r>
      <w:r w:rsidRPr="00EE54AF">
        <w:rPr>
          <w:rFonts w:ascii="Arial" w:eastAsia="Arial" w:hAnsi="Arial" w:cs="Arial"/>
          <w:i/>
          <w:szCs w:val="22"/>
        </w:rPr>
        <w:t>ex vivo</w:t>
      </w:r>
      <w:r w:rsidRPr="00A1436C">
        <w:rPr>
          <w:rFonts w:ascii="Arial" w:eastAsia="Arial" w:hAnsi="Arial" w:cs="Arial"/>
          <w:szCs w:val="22"/>
        </w:rPr>
        <w:t xml:space="preserve">. Pueden contener plásmidos, ARNm o ADN, y también pueden incluir virus </w:t>
      </w:r>
      <w:proofErr w:type="spellStart"/>
      <w:r w:rsidRPr="00A1436C">
        <w:rPr>
          <w:rFonts w:ascii="Arial" w:eastAsia="Arial" w:hAnsi="Arial" w:cs="Arial"/>
          <w:szCs w:val="22"/>
        </w:rPr>
        <w:lastRenderedPageBreak/>
        <w:t>oncolíticos</w:t>
      </w:r>
      <w:proofErr w:type="spellEnd"/>
      <w:r w:rsidRPr="00A1436C">
        <w:rPr>
          <w:rFonts w:ascii="Arial" w:eastAsia="Arial" w:hAnsi="Arial" w:cs="Arial"/>
          <w:szCs w:val="22"/>
        </w:rPr>
        <w:t xml:space="preserve"> que no han sido modificados genéticamente para expresar un transgén.</w:t>
      </w:r>
    </w:p>
    <w:p w:rsidR="006B6259" w:rsidRDefault="006B6259" w:rsidP="006B6259">
      <w:pPr>
        <w:spacing w:after="120"/>
        <w:jc w:val="both"/>
        <w:rPr>
          <w:rFonts w:ascii="Arial" w:eastAsia="Arial" w:hAnsi="Arial" w:cs="Arial"/>
          <w:szCs w:val="22"/>
        </w:rPr>
      </w:pPr>
      <w:r w:rsidRPr="00DF3761">
        <w:rPr>
          <w:rFonts w:ascii="Arial" w:eastAsia="Arial" w:hAnsi="Arial" w:cs="Arial"/>
          <w:szCs w:val="22"/>
        </w:rPr>
        <w:t xml:space="preserve">Dentro de esta definición, los productos </w:t>
      </w:r>
      <w:r>
        <w:rPr>
          <w:rFonts w:ascii="Arial" w:eastAsia="Arial" w:hAnsi="Arial" w:cs="Arial"/>
          <w:szCs w:val="22"/>
        </w:rPr>
        <w:t>editados</w:t>
      </w:r>
      <w:r w:rsidRPr="00DF3761">
        <w:rPr>
          <w:rFonts w:ascii="Arial" w:eastAsia="Arial" w:hAnsi="Arial" w:cs="Arial"/>
          <w:szCs w:val="22"/>
        </w:rPr>
        <w:t xml:space="preserve"> genéticamente se consideran productos de terapia génica. Sin embargo, las vacunas destinadas a inducir una respuesta inmune para prevenir enfermedades infecciosas (por ejemplo, vacunas de ARNm, ADN plasmídico o vectores virales) están excluidas de esta definición y no se consideran productos de terapia génica dentro de la definición de un ATMP. Cabe señalar que el alcance de lo que constituye un producto de terapia génica puede variar entre autoridades regulatorias y, en algunas jurisdicciones, podría incluir vacunas profilácticas contra enfermedades infecciosas.</w:t>
      </w:r>
    </w:p>
    <w:p w:rsidR="006B6259" w:rsidRPr="00A45E1B" w:rsidRDefault="006B6259" w:rsidP="006B6259">
      <w:pPr>
        <w:spacing w:after="120"/>
        <w:jc w:val="both"/>
        <w:rPr>
          <w:rFonts w:ascii="Arial" w:eastAsia="Arial" w:hAnsi="Arial" w:cs="Arial"/>
          <w:szCs w:val="22"/>
        </w:rPr>
      </w:pPr>
      <w:r w:rsidRPr="007415C9">
        <w:rPr>
          <w:rFonts w:ascii="Arial" w:eastAsia="Arial" w:hAnsi="Arial" w:cs="Arial"/>
          <w:b/>
          <w:szCs w:val="22"/>
        </w:rPr>
        <w:t>Uso homólogo (</w:t>
      </w:r>
      <w:proofErr w:type="spellStart"/>
      <w:r w:rsidRPr="007415C9">
        <w:rPr>
          <w:rFonts w:ascii="Arial" w:eastAsia="Arial" w:hAnsi="Arial" w:cs="Arial"/>
          <w:b/>
          <w:szCs w:val="22"/>
        </w:rPr>
        <w:t>Homologous</w:t>
      </w:r>
      <w:proofErr w:type="spellEnd"/>
      <w:r w:rsidRPr="007415C9">
        <w:rPr>
          <w:rFonts w:ascii="Arial" w:eastAsia="Arial" w:hAnsi="Arial" w:cs="Arial"/>
          <w:b/>
          <w:szCs w:val="22"/>
        </w:rPr>
        <w:t xml:space="preserve"> use):</w:t>
      </w:r>
      <w:r w:rsidRPr="00A45E1B">
        <w:rPr>
          <w:rFonts w:ascii="Arial" w:eastAsia="Arial" w:hAnsi="Arial" w:cs="Arial"/>
          <w:szCs w:val="22"/>
        </w:rPr>
        <w:t xml:space="preserve"> concepto según el cual las funciones esenciales de las células o tejidos en el receptor son las mismas, o muy similares, a sus funciones en el donante. Ejemplo: la infusión de células de médula ósea para la reconstitución hematopoyética se considera uso homólogo, mientras que el uso de células mononucleadas derivadas de médula ósea para tratar lesión medular, insuficiencia cardíaca u osteoartritis se considera uso no homólogo.</w:t>
      </w:r>
    </w:p>
    <w:p w:rsidR="006B6259" w:rsidRPr="00A45E1B" w:rsidRDefault="006B6259" w:rsidP="006B6259">
      <w:pPr>
        <w:spacing w:after="120"/>
        <w:jc w:val="both"/>
        <w:rPr>
          <w:rFonts w:ascii="Arial" w:eastAsia="Arial" w:hAnsi="Arial" w:cs="Arial"/>
          <w:szCs w:val="22"/>
        </w:rPr>
      </w:pPr>
      <w:r w:rsidRPr="007415C9">
        <w:rPr>
          <w:rFonts w:ascii="Arial" w:eastAsia="Arial" w:hAnsi="Arial" w:cs="Arial"/>
          <w:b/>
          <w:szCs w:val="22"/>
        </w:rPr>
        <w:t>Células y tejidos humanos para uso medicinal (</w:t>
      </w:r>
      <w:proofErr w:type="spellStart"/>
      <w:r w:rsidRPr="007415C9">
        <w:rPr>
          <w:rFonts w:ascii="Arial" w:eastAsia="Arial" w:hAnsi="Arial" w:cs="Arial"/>
          <w:b/>
          <w:szCs w:val="22"/>
        </w:rPr>
        <w:t>HCTs</w:t>
      </w:r>
      <w:proofErr w:type="spellEnd"/>
      <w:r w:rsidRPr="007415C9">
        <w:rPr>
          <w:rFonts w:ascii="Arial" w:eastAsia="Arial" w:hAnsi="Arial" w:cs="Arial"/>
          <w:b/>
          <w:szCs w:val="22"/>
        </w:rPr>
        <w:t>):</w:t>
      </w:r>
      <w:r w:rsidRPr="00A45E1B">
        <w:rPr>
          <w:rFonts w:ascii="Arial" w:eastAsia="Arial" w:hAnsi="Arial" w:cs="Arial"/>
          <w:szCs w:val="22"/>
        </w:rPr>
        <w:t xml:space="preserve"> células y tejidos humanos que han sido sometidos a una manipulación mínima y que pueden utilizarse para proporcionar las mismas funciones esenciales en el receptor que en el donante.</w:t>
      </w:r>
    </w:p>
    <w:p w:rsidR="006B6259" w:rsidRPr="00A45E1B" w:rsidRDefault="006B6259" w:rsidP="006B6259">
      <w:pPr>
        <w:spacing w:after="120"/>
        <w:jc w:val="both"/>
        <w:rPr>
          <w:rFonts w:ascii="Arial" w:eastAsia="Arial" w:hAnsi="Arial" w:cs="Arial"/>
          <w:szCs w:val="22"/>
        </w:rPr>
      </w:pPr>
      <w:r w:rsidRPr="007415C9">
        <w:rPr>
          <w:rFonts w:ascii="Arial" w:eastAsia="Arial" w:hAnsi="Arial" w:cs="Arial"/>
          <w:b/>
          <w:szCs w:val="22"/>
        </w:rPr>
        <w:t xml:space="preserve">Producto de terapia génica </w:t>
      </w:r>
      <w:r w:rsidRPr="008926DE">
        <w:rPr>
          <w:rFonts w:ascii="Arial" w:eastAsia="Arial" w:hAnsi="Arial" w:cs="Arial"/>
          <w:b/>
          <w:i/>
          <w:szCs w:val="22"/>
        </w:rPr>
        <w:t>in vivo</w:t>
      </w:r>
      <w:r w:rsidRPr="007415C9">
        <w:rPr>
          <w:rFonts w:ascii="Arial" w:eastAsia="Arial" w:hAnsi="Arial" w:cs="Arial"/>
          <w:b/>
          <w:szCs w:val="22"/>
        </w:rPr>
        <w:t xml:space="preserve"> (</w:t>
      </w:r>
      <w:r w:rsidRPr="008926DE">
        <w:rPr>
          <w:rFonts w:ascii="Arial" w:eastAsia="Arial" w:hAnsi="Arial" w:cs="Arial"/>
          <w:b/>
          <w:i/>
          <w:szCs w:val="22"/>
        </w:rPr>
        <w:t>In vivo</w:t>
      </w:r>
      <w:r w:rsidRPr="007415C9">
        <w:rPr>
          <w:rFonts w:ascii="Arial" w:eastAsia="Arial" w:hAnsi="Arial" w:cs="Arial"/>
          <w:b/>
          <w:szCs w:val="22"/>
        </w:rPr>
        <w:t xml:space="preserve"> gene </w:t>
      </w:r>
      <w:proofErr w:type="spellStart"/>
      <w:r w:rsidRPr="007415C9">
        <w:rPr>
          <w:rFonts w:ascii="Arial" w:eastAsia="Arial" w:hAnsi="Arial" w:cs="Arial"/>
          <w:b/>
          <w:szCs w:val="22"/>
        </w:rPr>
        <w:t>therapy</w:t>
      </w:r>
      <w:proofErr w:type="spellEnd"/>
      <w:r w:rsidRPr="007415C9">
        <w:rPr>
          <w:rFonts w:ascii="Arial" w:eastAsia="Arial" w:hAnsi="Arial" w:cs="Arial"/>
          <w:b/>
          <w:szCs w:val="22"/>
        </w:rPr>
        <w:t xml:space="preserve"> </w:t>
      </w:r>
      <w:proofErr w:type="spellStart"/>
      <w:r w:rsidRPr="007415C9">
        <w:rPr>
          <w:rFonts w:ascii="Arial" w:eastAsia="Arial" w:hAnsi="Arial" w:cs="Arial"/>
          <w:b/>
          <w:szCs w:val="22"/>
        </w:rPr>
        <w:t>product</w:t>
      </w:r>
      <w:proofErr w:type="spellEnd"/>
      <w:r w:rsidRPr="007415C9">
        <w:rPr>
          <w:rFonts w:ascii="Arial" w:eastAsia="Arial" w:hAnsi="Arial" w:cs="Arial"/>
          <w:b/>
          <w:szCs w:val="22"/>
        </w:rPr>
        <w:t>):</w:t>
      </w:r>
      <w:r w:rsidRPr="00A45E1B">
        <w:rPr>
          <w:rFonts w:ascii="Arial" w:eastAsia="Arial" w:hAnsi="Arial" w:cs="Arial"/>
          <w:szCs w:val="22"/>
        </w:rPr>
        <w:t xml:space="preserve"> producto de terapia génica administrado directamente al receptor.</w:t>
      </w:r>
    </w:p>
    <w:p w:rsidR="006B6259" w:rsidRPr="00A45E1B" w:rsidRDefault="006B6259" w:rsidP="006B6259">
      <w:pPr>
        <w:spacing w:after="120"/>
        <w:jc w:val="both"/>
        <w:rPr>
          <w:rFonts w:ascii="Arial" w:eastAsia="Arial" w:hAnsi="Arial" w:cs="Arial"/>
          <w:szCs w:val="22"/>
        </w:rPr>
      </w:pPr>
      <w:r w:rsidRPr="007415C9">
        <w:rPr>
          <w:rFonts w:ascii="Arial" w:eastAsia="Arial" w:hAnsi="Arial" w:cs="Arial"/>
          <w:b/>
          <w:szCs w:val="22"/>
        </w:rPr>
        <w:t>Manipulación mínima (</w:t>
      </w:r>
      <w:proofErr w:type="spellStart"/>
      <w:r w:rsidRPr="007415C9">
        <w:rPr>
          <w:rFonts w:ascii="Arial" w:eastAsia="Arial" w:hAnsi="Arial" w:cs="Arial"/>
          <w:b/>
          <w:szCs w:val="22"/>
        </w:rPr>
        <w:t>Minimal</w:t>
      </w:r>
      <w:proofErr w:type="spellEnd"/>
      <w:r w:rsidRPr="007415C9">
        <w:rPr>
          <w:rFonts w:ascii="Arial" w:eastAsia="Arial" w:hAnsi="Arial" w:cs="Arial"/>
          <w:b/>
          <w:szCs w:val="22"/>
        </w:rPr>
        <w:t xml:space="preserve"> </w:t>
      </w:r>
      <w:proofErr w:type="spellStart"/>
      <w:r w:rsidRPr="007415C9">
        <w:rPr>
          <w:rFonts w:ascii="Arial" w:eastAsia="Arial" w:hAnsi="Arial" w:cs="Arial"/>
          <w:b/>
          <w:szCs w:val="22"/>
        </w:rPr>
        <w:t>manipulation</w:t>
      </w:r>
      <w:proofErr w:type="spellEnd"/>
      <w:r w:rsidRPr="007415C9">
        <w:rPr>
          <w:rFonts w:ascii="Arial" w:eastAsia="Arial" w:hAnsi="Arial" w:cs="Arial"/>
          <w:b/>
          <w:szCs w:val="22"/>
        </w:rPr>
        <w:t>):</w:t>
      </w:r>
      <w:r w:rsidRPr="00A45E1B">
        <w:rPr>
          <w:rFonts w:ascii="Arial" w:eastAsia="Arial" w:hAnsi="Arial" w:cs="Arial"/>
          <w:szCs w:val="22"/>
        </w:rPr>
        <w:t xml:space="preserve"> concepto según el cual las células o tejidos no se someten a pasos de procesamiento que puedan alterar sustancialmente su perfil de riesgo (incluyendo propiedades estructurales y funcionalidad), o que puedan inducir su diferenciación, activación, potencial de proliferación o actividad metabólica. Las células y tejidos mínimamente manipulados no deben tener un efecto sistémico y deben depender de su propia actividad metabólica para su función principal. Ejemplos de pasos considerados mínimos: dimensionamiento, enjuague y lavado con soluciones como solución salina. Según el marco legal local, la definición de manipulación mínima puede incluir otros pasos como corte, molienda, centrifugación, liofilización, tratamiento con antibióticos, lavado, esterilización/irradiación, separación o eliminación celular, suspensión celular, concentración, filtrado y/o </w:t>
      </w:r>
      <w:proofErr w:type="spellStart"/>
      <w:r w:rsidRPr="00A45E1B">
        <w:rPr>
          <w:rFonts w:ascii="Arial" w:eastAsia="Arial" w:hAnsi="Arial" w:cs="Arial"/>
          <w:szCs w:val="22"/>
        </w:rPr>
        <w:t>criopreservación</w:t>
      </w:r>
      <w:proofErr w:type="spellEnd"/>
      <w:r w:rsidRPr="00A45E1B">
        <w:rPr>
          <w:rFonts w:ascii="Arial" w:eastAsia="Arial" w:hAnsi="Arial" w:cs="Arial"/>
          <w:szCs w:val="22"/>
        </w:rPr>
        <w:t>.</w:t>
      </w:r>
    </w:p>
    <w:p w:rsidR="006B6259" w:rsidRPr="00A45E1B" w:rsidRDefault="006B6259" w:rsidP="006B6259">
      <w:pPr>
        <w:spacing w:after="120"/>
        <w:jc w:val="both"/>
        <w:rPr>
          <w:rFonts w:ascii="Arial" w:eastAsia="Arial" w:hAnsi="Arial" w:cs="Arial"/>
          <w:szCs w:val="22"/>
        </w:rPr>
      </w:pPr>
      <w:r w:rsidRPr="007415C9">
        <w:rPr>
          <w:rFonts w:ascii="Arial" w:eastAsia="Arial" w:hAnsi="Arial" w:cs="Arial"/>
          <w:b/>
          <w:szCs w:val="22"/>
        </w:rPr>
        <w:t>Producto de ingeniería tisular (</w:t>
      </w:r>
      <w:proofErr w:type="spellStart"/>
      <w:r w:rsidRPr="007415C9">
        <w:rPr>
          <w:rFonts w:ascii="Arial" w:eastAsia="Arial" w:hAnsi="Arial" w:cs="Arial"/>
          <w:b/>
          <w:szCs w:val="22"/>
        </w:rPr>
        <w:t>Tissue</w:t>
      </w:r>
      <w:proofErr w:type="spellEnd"/>
      <w:r w:rsidRPr="007415C9">
        <w:rPr>
          <w:rFonts w:ascii="Arial" w:eastAsia="Arial" w:hAnsi="Arial" w:cs="Arial"/>
          <w:b/>
          <w:szCs w:val="22"/>
        </w:rPr>
        <w:t xml:space="preserve"> </w:t>
      </w:r>
      <w:proofErr w:type="spellStart"/>
      <w:r w:rsidRPr="007415C9">
        <w:rPr>
          <w:rFonts w:ascii="Arial" w:eastAsia="Arial" w:hAnsi="Arial" w:cs="Arial"/>
          <w:b/>
          <w:szCs w:val="22"/>
        </w:rPr>
        <w:t>engineered</w:t>
      </w:r>
      <w:proofErr w:type="spellEnd"/>
      <w:r w:rsidRPr="007415C9">
        <w:rPr>
          <w:rFonts w:ascii="Arial" w:eastAsia="Arial" w:hAnsi="Arial" w:cs="Arial"/>
          <w:b/>
          <w:szCs w:val="22"/>
        </w:rPr>
        <w:t xml:space="preserve"> </w:t>
      </w:r>
      <w:proofErr w:type="spellStart"/>
      <w:r w:rsidRPr="007415C9">
        <w:rPr>
          <w:rFonts w:ascii="Arial" w:eastAsia="Arial" w:hAnsi="Arial" w:cs="Arial"/>
          <w:b/>
          <w:szCs w:val="22"/>
        </w:rPr>
        <w:t>product</w:t>
      </w:r>
      <w:proofErr w:type="spellEnd"/>
      <w:r w:rsidRPr="007415C9">
        <w:rPr>
          <w:rFonts w:ascii="Arial" w:eastAsia="Arial" w:hAnsi="Arial" w:cs="Arial"/>
          <w:b/>
          <w:szCs w:val="22"/>
        </w:rPr>
        <w:t>):</w:t>
      </w:r>
      <w:r w:rsidRPr="00A45E1B">
        <w:rPr>
          <w:rFonts w:ascii="Arial" w:eastAsia="Arial" w:hAnsi="Arial" w:cs="Arial"/>
          <w:szCs w:val="22"/>
        </w:rPr>
        <w:t xml:space="preserve"> medicamento compuesto por células humanas nucleadas que han sido sustancialmente </w:t>
      </w:r>
      <w:r w:rsidRPr="00A45E1B">
        <w:rPr>
          <w:rFonts w:ascii="Arial" w:eastAsia="Arial" w:hAnsi="Arial" w:cs="Arial"/>
          <w:szCs w:val="22"/>
        </w:rPr>
        <w:lastRenderedPageBreak/>
        <w:t>manipuladas y/o utilizadas de manera no homóloga, destinado a la reparación, reemplazo, reconstitución o regeneración de tejidos. Algunos productos de ingeniería tisular pueden incorporar dispositivos médicos y/o andamios naturales o artificiales, como proteínas de matriz extracelular.</w:t>
      </w:r>
    </w:p>
    <w:p w:rsidR="006B6259" w:rsidRDefault="006B6259" w:rsidP="006B6259">
      <w:pPr>
        <w:spacing w:after="120"/>
        <w:jc w:val="both"/>
        <w:rPr>
          <w:rFonts w:ascii="Arial" w:eastAsia="Arial" w:hAnsi="Arial" w:cs="Arial"/>
          <w:szCs w:val="22"/>
        </w:rPr>
      </w:pPr>
      <w:r w:rsidRPr="007415C9">
        <w:rPr>
          <w:rFonts w:ascii="Arial" w:eastAsia="Arial" w:hAnsi="Arial" w:cs="Arial"/>
          <w:b/>
          <w:szCs w:val="22"/>
        </w:rPr>
        <w:t>Xenogénico (</w:t>
      </w:r>
      <w:proofErr w:type="spellStart"/>
      <w:r w:rsidRPr="007415C9">
        <w:rPr>
          <w:rFonts w:ascii="Arial" w:eastAsia="Arial" w:hAnsi="Arial" w:cs="Arial"/>
          <w:b/>
          <w:szCs w:val="22"/>
        </w:rPr>
        <w:t>Xenogeneic</w:t>
      </w:r>
      <w:proofErr w:type="spellEnd"/>
      <w:r w:rsidRPr="007415C9">
        <w:rPr>
          <w:rFonts w:ascii="Arial" w:eastAsia="Arial" w:hAnsi="Arial" w:cs="Arial"/>
          <w:b/>
          <w:szCs w:val="22"/>
        </w:rPr>
        <w:t>):</w:t>
      </w:r>
      <w:r w:rsidRPr="00A45E1B">
        <w:rPr>
          <w:rFonts w:ascii="Arial" w:eastAsia="Arial" w:hAnsi="Arial" w:cs="Arial"/>
          <w:szCs w:val="22"/>
        </w:rPr>
        <w:t xml:space="preserve"> se refiere a células, tejidos u órganos que se originan en una especie y se administran a un individuo de otra especie.</w:t>
      </w:r>
    </w:p>
    <w:p w:rsidR="006B6259" w:rsidRDefault="006B6259" w:rsidP="006047DD">
      <w:pPr>
        <w:spacing w:after="120"/>
        <w:jc w:val="both"/>
        <w:rPr>
          <w:rFonts w:ascii="Arial" w:eastAsia="Arial" w:hAnsi="Arial" w:cs="Arial"/>
          <w:b/>
          <w:szCs w:val="22"/>
          <w:u w:val="single"/>
        </w:rPr>
      </w:pPr>
    </w:p>
    <w:p w:rsidR="00ED3CD0" w:rsidRPr="00155C92" w:rsidRDefault="004F6588" w:rsidP="006047DD">
      <w:pPr>
        <w:spacing w:after="120"/>
        <w:jc w:val="both"/>
        <w:rPr>
          <w:rFonts w:ascii="Arial" w:eastAsia="Arial" w:hAnsi="Arial" w:cs="Arial"/>
          <w:b/>
          <w:szCs w:val="22"/>
          <w:u w:val="single"/>
        </w:rPr>
      </w:pPr>
      <w:r>
        <w:rPr>
          <w:rFonts w:ascii="Arial" w:eastAsia="Arial" w:hAnsi="Arial" w:cs="Arial"/>
          <w:b/>
          <w:szCs w:val="22"/>
          <w:u w:val="single"/>
        </w:rPr>
        <w:t>3</w:t>
      </w:r>
      <w:r w:rsidR="00A161A3">
        <w:rPr>
          <w:rFonts w:ascii="Arial" w:eastAsia="Arial" w:hAnsi="Arial" w:cs="Arial"/>
          <w:b/>
          <w:szCs w:val="22"/>
          <w:u w:val="single"/>
        </w:rPr>
        <w:t>.</w:t>
      </w:r>
      <w:r w:rsidR="006B6259">
        <w:rPr>
          <w:rFonts w:ascii="Arial" w:eastAsia="Arial" w:hAnsi="Arial" w:cs="Arial"/>
          <w:b/>
          <w:szCs w:val="22"/>
          <w:u w:val="single"/>
        </w:rPr>
        <w:t xml:space="preserve"> </w:t>
      </w:r>
      <w:r w:rsidR="00DB1C65" w:rsidRPr="00155C92">
        <w:rPr>
          <w:rFonts w:ascii="Arial" w:eastAsia="Arial" w:hAnsi="Arial" w:cs="Arial"/>
          <w:b/>
          <w:szCs w:val="22"/>
          <w:u w:val="single"/>
        </w:rPr>
        <w:t>PRINCIPIOS CIENTÍFICOS Y REGULATORIOS GENERALES</w:t>
      </w:r>
    </w:p>
    <w:p w:rsidR="00B80519" w:rsidRPr="00B80519" w:rsidRDefault="004F6588" w:rsidP="00B80519">
      <w:pPr>
        <w:spacing w:after="120"/>
        <w:jc w:val="both"/>
        <w:rPr>
          <w:rFonts w:ascii="Arial" w:eastAsia="Arial" w:hAnsi="Arial" w:cs="Arial"/>
          <w:b/>
          <w:szCs w:val="22"/>
        </w:rPr>
      </w:pPr>
      <w:r>
        <w:rPr>
          <w:rFonts w:ascii="Arial" w:eastAsia="Arial" w:hAnsi="Arial" w:cs="Arial"/>
          <w:b/>
          <w:szCs w:val="22"/>
        </w:rPr>
        <w:t>3.</w:t>
      </w:r>
      <w:r w:rsidR="00B80519" w:rsidRPr="00B80519">
        <w:rPr>
          <w:rFonts w:ascii="Arial" w:eastAsia="Arial" w:hAnsi="Arial" w:cs="Arial"/>
          <w:b/>
          <w:szCs w:val="22"/>
        </w:rPr>
        <w:t xml:space="preserve">1. Principios generales </w:t>
      </w:r>
    </w:p>
    <w:p w:rsidR="00B80519" w:rsidRPr="00B80519" w:rsidRDefault="00B80519" w:rsidP="00B80519">
      <w:pPr>
        <w:spacing w:after="120"/>
        <w:jc w:val="both"/>
        <w:rPr>
          <w:rFonts w:ascii="Arial" w:eastAsia="Arial" w:hAnsi="Arial" w:cs="Arial"/>
          <w:szCs w:val="22"/>
        </w:rPr>
      </w:pPr>
      <w:r w:rsidRPr="00B80519">
        <w:rPr>
          <w:rFonts w:ascii="Arial" w:eastAsia="Arial" w:hAnsi="Arial" w:cs="Arial"/>
          <w:szCs w:val="22"/>
        </w:rPr>
        <w:t>Los medicamentos de terapias avanzadas presentan características específicas que deben tenerse en cuenta durante su desarrollo, evaluación y control. Dichas características incluyen, entre otras, la naturaleza biológica de los materiales de partida, la variabilidad inherente a los productos basados en células o tejidos, la complejidad de los procesos de modificación genética y la posible persistencia del producto o de sus efectos en el organismo.</w:t>
      </w:r>
      <w:r>
        <w:rPr>
          <w:rFonts w:ascii="Arial" w:eastAsia="Arial" w:hAnsi="Arial" w:cs="Arial"/>
          <w:szCs w:val="22"/>
        </w:rPr>
        <w:t xml:space="preserve"> </w:t>
      </w:r>
      <w:r w:rsidRPr="00B80519">
        <w:rPr>
          <w:rFonts w:ascii="Arial" w:eastAsia="Arial" w:hAnsi="Arial" w:cs="Arial"/>
          <w:szCs w:val="22"/>
        </w:rPr>
        <w:t>Estos aspectos deben considerarse a lo largo de todo el ciclo de vida del producto, tanto durante la fase de investigación como una vez autorizado.</w:t>
      </w:r>
    </w:p>
    <w:p w:rsidR="00B80519" w:rsidRPr="00B80519" w:rsidRDefault="00B80519" w:rsidP="00B80519">
      <w:pPr>
        <w:spacing w:after="120"/>
        <w:jc w:val="both"/>
        <w:rPr>
          <w:rFonts w:ascii="Arial" w:eastAsia="Arial" w:hAnsi="Arial" w:cs="Arial"/>
          <w:szCs w:val="22"/>
        </w:rPr>
      </w:pPr>
      <w:r w:rsidRPr="00B80519">
        <w:rPr>
          <w:rFonts w:ascii="Arial" w:eastAsia="Arial" w:hAnsi="Arial" w:cs="Arial"/>
          <w:szCs w:val="22"/>
        </w:rPr>
        <w:t xml:space="preserve">La amplia gama de medicamentos con perfiles de riesgo variables que constituyen los </w:t>
      </w:r>
      <w:proofErr w:type="spellStart"/>
      <w:r w:rsidRPr="00B80519">
        <w:rPr>
          <w:rFonts w:ascii="Arial" w:eastAsia="Arial" w:hAnsi="Arial" w:cs="Arial"/>
          <w:szCs w:val="22"/>
        </w:rPr>
        <w:t>ATMPs</w:t>
      </w:r>
      <w:proofErr w:type="spellEnd"/>
      <w:r w:rsidRPr="00B80519">
        <w:rPr>
          <w:rFonts w:ascii="Arial" w:eastAsia="Arial" w:hAnsi="Arial" w:cs="Arial"/>
          <w:szCs w:val="22"/>
        </w:rPr>
        <w:t xml:space="preserve"> requiere considerarlos como una clase de producto en su conjunto. Debido a la manipulación sustancial necesaria para producir la mayoría de los </w:t>
      </w:r>
      <w:proofErr w:type="spellStart"/>
      <w:r w:rsidRPr="00B80519">
        <w:rPr>
          <w:rFonts w:ascii="Arial" w:eastAsia="Arial" w:hAnsi="Arial" w:cs="Arial"/>
          <w:szCs w:val="22"/>
        </w:rPr>
        <w:t>ATMPs</w:t>
      </w:r>
      <w:proofErr w:type="spellEnd"/>
      <w:r w:rsidRPr="00B80519">
        <w:rPr>
          <w:rFonts w:ascii="Arial" w:eastAsia="Arial" w:hAnsi="Arial" w:cs="Arial"/>
          <w:szCs w:val="22"/>
        </w:rPr>
        <w:t>, se requieren procesos de fabricación controlados para garantizar la consistencia de la producción y niveles aceptables de variación entre lotes. Esto incluye asegurar la identidad del producto, su pureza, actividad biológica y ausencia de agentes adventicios (por ejemplo, virus y priones).</w:t>
      </w:r>
    </w:p>
    <w:p w:rsidR="00B80519" w:rsidRPr="00B80519" w:rsidRDefault="00B80519" w:rsidP="00B80519">
      <w:pPr>
        <w:spacing w:after="120"/>
        <w:jc w:val="both"/>
        <w:rPr>
          <w:rFonts w:ascii="Arial" w:eastAsia="Arial" w:hAnsi="Arial" w:cs="Arial"/>
          <w:szCs w:val="22"/>
        </w:rPr>
      </w:pPr>
      <w:r w:rsidRPr="00B80519">
        <w:rPr>
          <w:rFonts w:ascii="Arial" w:eastAsia="Arial" w:hAnsi="Arial" w:cs="Arial"/>
          <w:szCs w:val="22"/>
        </w:rPr>
        <w:t xml:space="preserve">Un aspecto importante en el desarrollo de </w:t>
      </w:r>
      <w:proofErr w:type="spellStart"/>
      <w:r w:rsidRPr="00B80519">
        <w:rPr>
          <w:rFonts w:ascii="Arial" w:eastAsia="Arial" w:hAnsi="Arial" w:cs="Arial"/>
          <w:szCs w:val="22"/>
        </w:rPr>
        <w:t>ATMPs</w:t>
      </w:r>
      <w:proofErr w:type="spellEnd"/>
      <w:r w:rsidRPr="00B80519">
        <w:rPr>
          <w:rFonts w:ascii="Arial" w:eastAsia="Arial" w:hAnsi="Arial" w:cs="Arial"/>
          <w:szCs w:val="22"/>
        </w:rPr>
        <w:t xml:space="preserve"> es la identificación de atributos críticos de calidad (</w:t>
      </w:r>
      <w:proofErr w:type="spellStart"/>
      <w:r w:rsidRPr="00B80519">
        <w:rPr>
          <w:rFonts w:ascii="Arial" w:eastAsia="Arial" w:hAnsi="Arial" w:cs="Arial"/>
          <w:szCs w:val="22"/>
        </w:rPr>
        <w:t>CQAs</w:t>
      </w:r>
      <w:proofErr w:type="spellEnd"/>
      <w:r w:rsidRPr="00B80519">
        <w:rPr>
          <w:rFonts w:ascii="Arial" w:eastAsia="Arial" w:hAnsi="Arial" w:cs="Arial"/>
          <w:szCs w:val="22"/>
        </w:rPr>
        <w:t xml:space="preserve">) para cada producto. Ejemplos de </w:t>
      </w:r>
      <w:proofErr w:type="spellStart"/>
      <w:r w:rsidRPr="00B80519">
        <w:rPr>
          <w:rFonts w:ascii="Arial" w:eastAsia="Arial" w:hAnsi="Arial" w:cs="Arial"/>
          <w:szCs w:val="22"/>
        </w:rPr>
        <w:t>CQAs</w:t>
      </w:r>
      <w:proofErr w:type="spellEnd"/>
      <w:r w:rsidRPr="00B80519">
        <w:rPr>
          <w:rFonts w:ascii="Arial" w:eastAsia="Arial" w:hAnsi="Arial" w:cs="Arial"/>
          <w:szCs w:val="22"/>
        </w:rPr>
        <w:t xml:space="preserve"> incluyen: porcentaje mínimo de un tipo celular determinado por marcadores de superficie, viabilidad celular, potencia </w:t>
      </w:r>
      <w:r w:rsidRPr="00B80519">
        <w:rPr>
          <w:rFonts w:ascii="Arial" w:eastAsia="Arial" w:hAnsi="Arial" w:cs="Arial"/>
          <w:i/>
          <w:szCs w:val="22"/>
        </w:rPr>
        <w:t>in vitro</w:t>
      </w:r>
      <w:r w:rsidRPr="00B80519">
        <w:rPr>
          <w:rFonts w:ascii="Arial" w:eastAsia="Arial" w:hAnsi="Arial" w:cs="Arial"/>
          <w:szCs w:val="22"/>
        </w:rPr>
        <w:t xml:space="preserve"> o </w:t>
      </w:r>
      <w:r w:rsidRPr="00B80519">
        <w:rPr>
          <w:rFonts w:ascii="Arial" w:eastAsia="Arial" w:hAnsi="Arial" w:cs="Arial"/>
          <w:i/>
          <w:szCs w:val="22"/>
        </w:rPr>
        <w:t>in vivo</w:t>
      </w:r>
      <w:r w:rsidRPr="00B80519">
        <w:rPr>
          <w:rFonts w:ascii="Arial" w:eastAsia="Arial" w:hAnsi="Arial" w:cs="Arial"/>
          <w:szCs w:val="22"/>
        </w:rPr>
        <w:t>, relación entre cápsides virales completas y vacías, y secuencia genómica correcta.</w:t>
      </w:r>
    </w:p>
    <w:p w:rsidR="00B80519" w:rsidRPr="00B80519" w:rsidRDefault="004F6588" w:rsidP="00B80519">
      <w:pPr>
        <w:spacing w:after="120"/>
        <w:jc w:val="both"/>
        <w:rPr>
          <w:rFonts w:ascii="Arial" w:eastAsia="Arial" w:hAnsi="Arial" w:cs="Arial"/>
          <w:b/>
          <w:szCs w:val="22"/>
        </w:rPr>
      </w:pPr>
      <w:r>
        <w:rPr>
          <w:rFonts w:ascii="Arial" w:eastAsia="Arial" w:hAnsi="Arial" w:cs="Arial"/>
          <w:b/>
          <w:szCs w:val="22"/>
        </w:rPr>
        <w:t>3.</w:t>
      </w:r>
      <w:r w:rsidR="00B80519" w:rsidRPr="00B80519">
        <w:rPr>
          <w:rFonts w:ascii="Arial" w:eastAsia="Arial" w:hAnsi="Arial" w:cs="Arial"/>
          <w:b/>
          <w:szCs w:val="22"/>
        </w:rPr>
        <w:t xml:space="preserve">2. Enfoque basado en el riesgo </w:t>
      </w:r>
    </w:p>
    <w:p w:rsidR="00B80519" w:rsidRPr="00440646" w:rsidRDefault="00B80519" w:rsidP="00B80519">
      <w:pPr>
        <w:spacing w:after="120"/>
        <w:jc w:val="both"/>
        <w:rPr>
          <w:rFonts w:ascii="Arial" w:eastAsia="Arial" w:hAnsi="Arial" w:cs="Arial"/>
          <w:szCs w:val="22"/>
        </w:rPr>
      </w:pPr>
      <w:r w:rsidRPr="00440646">
        <w:rPr>
          <w:rFonts w:ascii="Arial" w:eastAsia="Arial" w:hAnsi="Arial" w:cs="Arial"/>
          <w:szCs w:val="22"/>
        </w:rPr>
        <w:t>Durante el desarrollo de un medicamento de terapia avanzada puede aplicarse un enfoque basado en el riesgo con el fin de adaptar la extensión y el nivel de detalle de los datos de calidad, no clínicos y clínicos generados.</w:t>
      </w:r>
      <w:r w:rsidR="00440646">
        <w:rPr>
          <w:rFonts w:ascii="Arial" w:eastAsia="Arial" w:hAnsi="Arial" w:cs="Arial"/>
          <w:szCs w:val="22"/>
        </w:rPr>
        <w:t xml:space="preserve"> </w:t>
      </w:r>
      <w:r w:rsidRPr="00440646">
        <w:rPr>
          <w:rFonts w:ascii="Arial" w:eastAsia="Arial" w:hAnsi="Arial" w:cs="Arial"/>
          <w:szCs w:val="22"/>
        </w:rPr>
        <w:t xml:space="preserve">Este enfoque debería apoyarse en un análisis de riesgos que tenga en cuenta, entre otros factores, el origen de las células o tejidos, el tipo de vector o método utilizado para la </w:t>
      </w:r>
      <w:r w:rsidRPr="00440646">
        <w:rPr>
          <w:rFonts w:ascii="Arial" w:eastAsia="Arial" w:hAnsi="Arial" w:cs="Arial"/>
          <w:szCs w:val="22"/>
        </w:rPr>
        <w:lastRenderedPageBreak/>
        <w:t>modificación genética, el proceso de fabricación, los componentes no celulares del producto y el uso clínico previsto.</w:t>
      </w:r>
    </w:p>
    <w:p w:rsidR="00B80519" w:rsidRPr="00440646" w:rsidRDefault="00B80519" w:rsidP="00B80519">
      <w:pPr>
        <w:spacing w:after="120"/>
        <w:jc w:val="both"/>
        <w:rPr>
          <w:rFonts w:ascii="Arial" w:eastAsia="Arial" w:hAnsi="Arial" w:cs="Arial"/>
          <w:szCs w:val="22"/>
        </w:rPr>
      </w:pPr>
      <w:r w:rsidRPr="00440646">
        <w:rPr>
          <w:rFonts w:ascii="Arial" w:eastAsia="Arial" w:hAnsi="Arial" w:cs="Arial"/>
          <w:szCs w:val="22"/>
        </w:rPr>
        <w:t>El análisis de riesgos debería revisarse y actualizarse a lo largo del desarrollo del producto a medida que se disponga de nueva información.</w:t>
      </w:r>
    </w:p>
    <w:p w:rsidR="00B80519" w:rsidRPr="00440646" w:rsidRDefault="00B80519" w:rsidP="00B80519">
      <w:pPr>
        <w:spacing w:after="120"/>
        <w:jc w:val="both"/>
        <w:rPr>
          <w:rFonts w:ascii="Arial" w:eastAsia="Arial" w:hAnsi="Arial" w:cs="Arial"/>
          <w:szCs w:val="22"/>
        </w:rPr>
      </w:pPr>
      <w:r w:rsidRPr="00440646">
        <w:rPr>
          <w:rFonts w:ascii="Arial" w:eastAsia="Arial" w:hAnsi="Arial" w:cs="Arial"/>
          <w:szCs w:val="22"/>
        </w:rPr>
        <w:t xml:space="preserve">El seguimiento a largo plazo de la seguridad y eficacia de los individuos tratados con </w:t>
      </w:r>
      <w:proofErr w:type="spellStart"/>
      <w:r w:rsidRPr="00440646">
        <w:rPr>
          <w:rFonts w:ascii="Arial" w:eastAsia="Arial" w:hAnsi="Arial" w:cs="Arial"/>
          <w:szCs w:val="22"/>
        </w:rPr>
        <w:t>ATMPs</w:t>
      </w:r>
      <w:proofErr w:type="spellEnd"/>
      <w:r w:rsidRPr="00440646">
        <w:rPr>
          <w:rFonts w:ascii="Arial" w:eastAsia="Arial" w:hAnsi="Arial" w:cs="Arial"/>
          <w:szCs w:val="22"/>
        </w:rPr>
        <w:t xml:space="preserve"> puede presentar desafíos, ya que estos productos pueden ejercer efectos prolongados incluso tras una única administración. Por ejemplo, las células CD34+ transducidas con vectores </w:t>
      </w:r>
      <w:proofErr w:type="spellStart"/>
      <w:r w:rsidRPr="00440646">
        <w:rPr>
          <w:rFonts w:ascii="Arial" w:eastAsia="Arial" w:hAnsi="Arial" w:cs="Arial"/>
          <w:szCs w:val="22"/>
        </w:rPr>
        <w:t>lentivirales</w:t>
      </w:r>
      <w:proofErr w:type="spellEnd"/>
      <w:r w:rsidRPr="00440646">
        <w:rPr>
          <w:rFonts w:ascii="Arial" w:eastAsia="Arial" w:hAnsi="Arial" w:cs="Arial"/>
          <w:szCs w:val="22"/>
        </w:rPr>
        <w:t xml:space="preserve"> pueden mantener su efecto durante años debido a la integración del vector en las células. Por ello, el riesgo de mutagénesis por inserción debe abordarse en estudios no clínicos y clínicos, y deben establecerse sistemas de vigilancia de seguridad que permitan un seguimiento prolongado de todos los pacientes tratados.</w:t>
      </w:r>
    </w:p>
    <w:p w:rsidR="00B80519" w:rsidRPr="00B80519" w:rsidRDefault="004F6588" w:rsidP="00B80519">
      <w:pPr>
        <w:spacing w:after="120"/>
        <w:jc w:val="both"/>
        <w:rPr>
          <w:rFonts w:ascii="Arial" w:eastAsia="Arial" w:hAnsi="Arial" w:cs="Arial"/>
          <w:b/>
          <w:szCs w:val="22"/>
        </w:rPr>
      </w:pPr>
      <w:r>
        <w:rPr>
          <w:rFonts w:ascii="Arial" w:eastAsia="Arial" w:hAnsi="Arial" w:cs="Arial"/>
          <w:b/>
          <w:szCs w:val="22"/>
        </w:rPr>
        <w:t>3.</w:t>
      </w:r>
      <w:r w:rsidR="00B80519" w:rsidRPr="00B80519">
        <w:rPr>
          <w:rFonts w:ascii="Arial" w:eastAsia="Arial" w:hAnsi="Arial" w:cs="Arial"/>
          <w:b/>
          <w:szCs w:val="22"/>
        </w:rPr>
        <w:t>3. Proporcionalidad de los requisitos</w:t>
      </w:r>
    </w:p>
    <w:p w:rsidR="00B80519" w:rsidRPr="00440646" w:rsidRDefault="00B80519" w:rsidP="00B80519">
      <w:pPr>
        <w:spacing w:after="120"/>
        <w:jc w:val="both"/>
        <w:rPr>
          <w:rFonts w:ascii="Arial" w:eastAsia="Arial" w:hAnsi="Arial" w:cs="Arial"/>
          <w:szCs w:val="22"/>
        </w:rPr>
      </w:pPr>
      <w:r w:rsidRPr="00440646">
        <w:rPr>
          <w:rFonts w:ascii="Arial" w:eastAsia="Arial" w:hAnsi="Arial" w:cs="Arial"/>
          <w:szCs w:val="22"/>
        </w:rPr>
        <w:t xml:space="preserve">La cantidad y el alcance de los datos de calidad, no clínicos y clínicos que se generen deberían ser </w:t>
      </w:r>
      <w:proofErr w:type="gramStart"/>
      <w:r w:rsidRPr="00440646">
        <w:rPr>
          <w:rFonts w:ascii="Arial" w:eastAsia="Arial" w:hAnsi="Arial" w:cs="Arial"/>
          <w:szCs w:val="22"/>
        </w:rPr>
        <w:t>proporcionales</w:t>
      </w:r>
      <w:proofErr w:type="gramEnd"/>
      <w:r w:rsidRPr="00440646">
        <w:rPr>
          <w:rFonts w:ascii="Arial" w:eastAsia="Arial" w:hAnsi="Arial" w:cs="Arial"/>
          <w:szCs w:val="22"/>
        </w:rPr>
        <w:t xml:space="preserve"> al nivel de riesgo identificado, asegurando en todo momento la protección de los sujetos incluidos en los ensayos clínicos o de los pacientes tratados, así como la fiabilidad y relevancia de los datos obtenidos.</w:t>
      </w:r>
    </w:p>
    <w:p w:rsidR="00B80519" w:rsidRPr="00440646" w:rsidRDefault="00B80519" w:rsidP="00B80519">
      <w:pPr>
        <w:spacing w:after="120"/>
        <w:jc w:val="both"/>
        <w:rPr>
          <w:rFonts w:ascii="Arial" w:eastAsia="Arial" w:hAnsi="Arial" w:cs="Arial"/>
          <w:szCs w:val="22"/>
        </w:rPr>
      </w:pPr>
      <w:r w:rsidRPr="00440646">
        <w:rPr>
          <w:rFonts w:ascii="Arial" w:eastAsia="Arial" w:hAnsi="Arial" w:cs="Arial"/>
          <w:szCs w:val="22"/>
        </w:rPr>
        <w:t>La aplicación de un enfoque basado en el riesgo no elimina la necesidad de demostrar que el producto es de calidad ni sustituye la obligación de respaldar su seguridad en relación con el uso previsto.</w:t>
      </w:r>
    </w:p>
    <w:p w:rsidR="00B80519" w:rsidRPr="00440646" w:rsidRDefault="00B80519" w:rsidP="00B80519">
      <w:pPr>
        <w:spacing w:after="120"/>
        <w:jc w:val="both"/>
        <w:rPr>
          <w:rFonts w:ascii="Arial" w:eastAsia="Arial" w:hAnsi="Arial" w:cs="Arial"/>
          <w:szCs w:val="22"/>
        </w:rPr>
      </w:pPr>
      <w:r w:rsidRPr="00440646">
        <w:rPr>
          <w:rFonts w:ascii="Arial" w:eastAsia="Arial" w:hAnsi="Arial" w:cs="Arial"/>
          <w:szCs w:val="22"/>
        </w:rPr>
        <w:t>Dependiendo del producto y la enfermedad, los estudios clínicos pueden requerir un diseño innovador “</w:t>
      </w:r>
      <w:proofErr w:type="spellStart"/>
      <w:r w:rsidRPr="00440646">
        <w:rPr>
          <w:rFonts w:ascii="Arial" w:eastAsia="Arial" w:hAnsi="Arial" w:cs="Arial"/>
          <w:szCs w:val="22"/>
        </w:rPr>
        <w:t>fit</w:t>
      </w:r>
      <w:proofErr w:type="spellEnd"/>
      <w:r w:rsidRPr="00440646">
        <w:rPr>
          <w:rFonts w:ascii="Arial" w:eastAsia="Arial" w:hAnsi="Arial" w:cs="Arial"/>
          <w:szCs w:val="22"/>
        </w:rPr>
        <w:t xml:space="preserve"> </w:t>
      </w:r>
      <w:proofErr w:type="spellStart"/>
      <w:r w:rsidRPr="00440646">
        <w:rPr>
          <w:rFonts w:ascii="Arial" w:eastAsia="Arial" w:hAnsi="Arial" w:cs="Arial"/>
          <w:szCs w:val="22"/>
        </w:rPr>
        <w:t>for</w:t>
      </w:r>
      <w:proofErr w:type="spellEnd"/>
      <w:r w:rsidRPr="00440646">
        <w:rPr>
          <w:rFonts w:ascii="Arial" w:eastAsia="Arial" w:hAnsi="Arial" w:cs="Arial"/>
          <w:szCs w:val="22"/>
        </w:rPr>
        <w:t xml:space="preserve"> </w:t>
      </w:r>
      <w:proofErr w:type="spellStart"/>
      <w:r w:rsidRPr="00440646">
        <w:rPr>
          <w:rFonts w:ascii="Arial" w:eastAsia="Arial" w:hAnsi="Arial" w:cs="Arial"/>
          <w:szCs w:val="22"/>
        </w:rPr>
        <w:t>purpose</w:t>
      </w:r>
      <w:proofErr w:type="spellEnd"/>
      <w:r w:rsidRPr="00440646">
        <w:rPr>
          <w:rFonts w:ascii="Arial" w:eastAsia="Arial" w:hAnsi="Arial" w:cs="Arial"/>
          <w:szCs w:val="22"/>
        </w:rPr>
        <w:t>” que considere la complejidad tanto del ATMP como del tratamiento.</w:t>
      </w:r>
    </w:p>
    <w:p w:rsidR="00B80519" w:rsidRPr="00B80519" w:rsidRDefault="004F6588" w:rsidP="00B80519">
      <w:pPr>
        <w:spacing w:after="120"/>
        <w:jc w:val="both"/>
        <w:rPr>
          <w:rFonts w:ascii="Arial" w:eastAsia="Arial" w:hAnsi="Arial" w:cs="Arial"/>
          <w:b/>
          <w:szCs w:val="22"/>
        </w:rPr>
      </w:pPr>
      <w:r>
        <w:rPr>
          <w:rFonts w:ascii="Arial" w:eastAsia="Arial" w:hAnsi="Arial" w:cs="Arial"/>
          <w:b/>
          <w:szCs w:val="22"/>
        </w:rPr>
        <w:t>3.</w:t>
      </w:r>
      <w:r w:rsidR="00B80519" w:rsidRPr="00B80519">
        <w:rPr>
          <w:rFonts w:ascii="Arial" w:eastAsia="Arial" w:hAnsi="Arial" w:cs="Arial"/>
          <w:b/>
          <w:szCs w:val="22"/>
        </w:rPr>
        <w:t xml:space="preserve">4. Seguridad de los sujetos y de los pacientes </w:t>
      </w:r>
    </w:p>
    <w:p w:rsidR="00B80519" w:rsidRPr="00440646" w:rsidRDefault="00B80519" w:rsidP="00B80519">
      <w:pPr>
        <w:spacing w:after="120"/>
        <w:jc w:val="both"/>
        <w:rPr>
          <w:rFonts w:ascii="Arial" w:eastAsia="Arial" w:hAnsi="Arial" w:cs="Arial"/>
          <w:szCs w:val="22"/>
        </w:rPr>
      </w:pPr>
      <w:r w:rsidRPr="00440646">
        <w:rPr>
          <w:rFonts w:ascii="Arial" w:eastAsia="Arial" w:hAnsi="Arial" w:cs="Arial"/>
          <w:szCs w:val="22"/>
        </w:rPr>
        <w:t>Al seleccionar las medidas destinadas a identificar y mitigar los riesgos asociados a un medicamento de terapia avanzada, la seguridad de los sujetos y de los pacientes debería considerarse prioritaria.</w:t>
      </w:r>
    </w:p>
    <w:p w:rsidR="00B80519" w:rsidRPr="00440646" w:rsidRDefault="00B80519" w:rsidP="00B80519">
      <w:pPr>
        <w:spacing w:after="120"/>
        <w:jc w:val="both"/>
        <w:rPr>
          <w:rFonts w:ascii="Arial" w:eastAsia="Arial" w:hAnsi="Arial" w:cs="Arial"/>
          <w:szCs w:val="22"/>
        </w:rPr>
      </w:pPr>
      <w:r w:rsidRPr="00440646">
        <w:rPr>
          <w:rFonts w:ascii="Arial" w:eastAsia="Arial" w:hAnsi="Arial" w:cs="Arial"/>
          <w:szCs w:val="22"/>
        </w:rPr>
        <w:t>Los principios generales aplicables a los ensayos en humanos por primera vez pueden resultar útiles para el diseño de estudios iniciales con medicamentos de terapias avanzadas, teniendo en cuenta sus particularidades.</w:t>
      </w:r>
    </w:p>
    <w:p w:rsidR="00B80519" w:rsidRPr="00B80519" w:rsidRDefault="00B80519" w:rsidP="00B80519">
      <w:pPr>
        <w:spacing w:after="120"/>
        <w:jc w:val="both"/>
        <w:rPr>
          <w:rFonts w:ascii="Arial" w:eastAsia="Arial" w:hAnsi="Arial" w:cs="Arial"/>
          <w:b/>
          <w:szCs w:val="22"/>
        </w:rPr>
      </w:pPr>
      <w:r w:rsidRPr="00440646">
        <w:rPr>
          <w:rFonts w:ascii="Arial" w:eastAsia="Arial" w:hAnsi="Arial" w:cs="Arial"/>
          <w:szCs w:val="22"/>
        </w:rPr>
        <w:t>En el caso de l</w:t>
      </w:r>
      <w:r w:rsidR="00A161A3">
        <w:rPr>
          <w:rFonts w:ascii="Arial" w:eastAsia="Arial" w:hAnsi="Arial" w:cs="Arial"/>
          <w:szCs w:val="22"/>
        </w:rPr>
        <w:t>a</w:t>
      </w:r>
      <w:r w:rsidRPr="00440646">
        <w:rPr>
          <w:rFonts w:ascii="Arial" w:eastAsia="Arial" w:hAnsi="Arial" w:cs="Arial"/>
          <w:szCs w:val="22"/>
        </w:rPr>
        <w:t xml:space="preserve">s </w:t>
      </w:r>
      <w:r w:rsidR="00A161A3">
        <w:rPr>
          <w:rFonts w:ascii="Arial" w:eastAsia="Arial" w:hAnsi="Arial" w:cs="Arial"/>
          <w:szCs w:val="22"/>
        </w:rPr>
        <w:t>c</w:t>
      </w:r>
      <w:r w:rsidR="00A161A3" w:rsidRPr="00A161A3">
        <w:rPr>
          <w:rFonts w:ascii="Arial" w:eastAsia="Arial" w:hAnsi="Arial" w:cs="Arial"/>
          <w:szCs w:val="22"/>
        </w:rPr>
        <w:t>élulas y tejidos humanos para uso medicinal</w:t>
      </w:r>
      <w:r w:rsidRPr="00440646">
        <w:rPr>
          <w:rFonts w:ascii="Arial" w:eastAsia="Arial" w:hAnsi="Arial" w:cs="Arial"/>
          <w:szCs w:val="22"/>
        </w:rPr>
        <w:t>, los requisitos regulatorios se centran principalmente en garantizar la calidad y seguridad de las células y tejidos, así como en la protección de donantes y receptores mediante el cumplimiento de los principios éticos relevantes de los marcos de trasplante.</w:t>
      </w:r>
    </w:p>
    <w:p w:rsidR="00B80519" w:rsidRPr="00B80519" w:rsidRDefault="004F6588" w:rsidP="00B80519">
      <w:pPr>
        <w:spacing w:after="120"/>
        <w:jc w:val="both"/>
        <w:rPr>
          <w:rFonts w:ascii="Arial" w:eastAsia="Arial" w:hAnsi="Arial" w:cs="Arial"/>
          <w:b/>
          <w:szCs w:val="22"/>
        </w:rPr>
      </w:pPr>
      <w:r>
        <w:rPr>
          <w:rFonts w:ascii="Arial" w:eastAsia="Arial" w:hAnsi="Arial" w:cs="Arial"/>
          <w:b/>
          <w:szCs w:val="22"/>
        </w:rPr>
        <w:lastRenderedPageBreak/>
        <w:t>3.</w:t>
      </w:r>
      <w:r w:rsidR="00B80519" w:rsidRPr="00B80519">
        <w:rPr>
          <w:rFonts w:ascii="Arial" w:eastAsia="Arial" w:hAnsi="Arial" w:cs="Arial"/>
          <w:b/>
          <w:szCs w:val="22"/>
        </w:rPr>
        <w:t>5. Desarrollo escalonado</w:t>
      </w:r>
    </w:p>
    <w:p w:rsidR="00B80519" w:rsidRPr="00440646" w:rsidRDefault="00B80519" w:rsidP="00B80519">
      <w:pPr>
        <w:spacing w:after="120"/>
        <w:jc w:val="both"/>
        <w:rPr>
          <w:rFonts w:ascii="Arial" w:eastAsia="Arial" w:hAnsi="Arial" w:cs="Arial"/>
          <w:szCs w:val="22"/>
        </w:rPr>
      </w:pPr>
      <w:r w:rsidRPr="00440646">
        <w:rPr>
          <w:rFonts w:ascii="Arial" w:eastAsia="Arial" w:hAnsi="Arial" w:cs="Arial"/>
          <w:szCs w:val="22"/>
        </w:rPr>
        <w:t>El desarrollo de los medicamentos de terapias avanzadas suele seguir un enfoque escalonado, en el que los conocimientos generados en etapas tempranas se utilizan para orientar las decisiones en fases posteriores.</w:t>
      </w:r>
      <w:r w:rsidR="00440646">
        <w:rPr>
          <w:rFonts w:ascii="Arial" w:eastAsia="Arial" w:hAnsi="Arial" w:cs="Arial"/>
          <w:szCs w:val="22"/>
        </w:rPr>
        <w:t xml:space="preserve"> </w:t>
      </w:r>
      <w:r w:rsidRPr="00440646">
        <w:rPr>
          <w:rFonts w:ascii="Arial" w:eastAsia="Arial" w:hAnsi="Arial" w:cs="Arial"/>
          <w:szCs w:val="22"/>
        </w:rPr>
        <w:t>Este enfoque incluye la progresiva consolidación de la caracterización del producto, el control del proceso de fabricación, la comprensión del mecanismo de acción y la evaluación de la seguridad y la eficacia.</w:t>
      </w:r>
    </w:p>
    <w:p w:rsidR="00B80519" w:rsidRPr="00440646" w:rsidRDefault="00B80519" w:rsidP="00B80519">
      <w:pPr>
        <w:spacing w:after="120"/>
        <w:jc w:val="both"/>
        <w:rPr>
          <w:rFonts w:ascii="Arial" w:eastAsia="Arial" w:hAnsi="Arial" w:cs="Arial"/>
          <w:szCs w:val="22"/>
        </w:rPr>
      </w:pPr>
      <w:r w:rsidRPr="00440646">
        <w:rPr>
          <w:rFonts w:ascii="Arial" w:eastAsia="Arial" w:hAnsi="Arial" w:cs="Arial"/>
          <w:szCs w:val="22"/>
        </w:rPr>
        <w:t xml:space="preserve">La seguridad y eficacia de los </w:t>
      </w:r>
      <w:proofErr w:type="spellStart"/>
      <w:r w:rsidRPr="00440646">
        <w:rPr>
          <w:rFonts w:ascii="Arial" w:eastAsia="Arial" w:hAnsi="Arial" w:cs="Arial"/>
          <w:szCs w:val="22"/>
        </w:rPr>
        <w:t>ATMPs</w:t>
      </w:r>
      <w:proofErr w:type="spellEnd"/>
      <w:r w:rsidRPr="00440646">
        <w:rPr>
          <w:rFonts w:ascii="Arial" w:eastAsia="Arial" w:hAnsi="Arial" w:cs="Arial"/>
          <w:szCs w:val="22"/>
        </w:rPr>
        <w:t xml:space="preserve"> no pueden predecirse sin estudios clínicos bien controlados, debido a la complejidad biológica de las células y tejidos y a que su estructura y/o función pueden verse modificadas por los procesos de manipulación y producción.</w:t>
      </w:r>
    </w:p>
    <w:p w:rsidR="00B80519" w:rsidRPr="00B80519" w:rsidRDefault="004F6588" w:rsidP="00B80519">
      <w:pPr>
        <w:spacing w:after="120"/>
        <w:jc w:val="both"/>
        <w:rPr>
          <w:rFonts w:ascii="Arial" w:eastAsia="Arial" w:hAnsi="Arial" w:cs="Arial"/>
          <w:b/>
          <w:szCs w:val="22"/>
        </w:rPr>
      </w:pPr>
      <w:r>
        <w:rPr>
          <w:rFonts w:ascii="Arial" w:eastAsia="Arial" w:hAnsi="Arial" w:cs="Arial"/>
          <w:b/>
          <w:szCs w:val="22"/>
        </w:rPr>
        <w:t>3.</w:t>
      </w:r>
      <w:r w:rsidR="00B80519" w:rsidRPr="00B80519">
        <w:rPr>
          <w:rFonts w:ascii="Arial" w:eastAsia="Arial" w:hAnsi="Arial" w:cs="Arial"/>
          <w:b/>
          <w:szCs w:val="22"/>
        </w:rPr>
        <w:t xml:space="preserve">6. Desarrollo farmacéutico y sistema de calidad </w:t>
      </w:r>
    </w:p>
    <w:p w:rsidR="00B80519" w:rsidRPr="00440646" w:rsidRDefault="00B80519" w:rsidP="00B80519">
      <w:pPr>
        <w:spacing w:after="120"/>
        <w:jc w:val="both"/>
        <w:rPr>
          <w:rFonts w:ascii="Arial" w:eastAsia="Arial" w:hAnsi="Arial" w:cs="Arial"/>
          <w:szCs w:val="22"/>
        </w:rPr>
      </w:pPr>
      <w:r w:rsidRPr="00440646">
        <w:rPr>
          <w:rFonts w:ascii="Arial" w:eastAsia="Arial" w:hAnsi="Arial" w:cs="Arial"/>
          <w:szCs w:val="22"/>
        </w:rPr>
        <w:t>Un desarrollo farmacéutico insuficientemente maduro puede limitar la utilidad de los datos generados durante los ensayos clínicos, especialmente cuando el producto utilizado no ha sido adecuadamente caracterizado.</w:t>
      </w:r>
    </w:p>
    <w:p w:rsidR="00B80519" w:rsidRPr="00440646" w:rsidRDefault="00B80519" w:rsidP="00B80519">
      <w:pPr>
        <w:spacing w:after="120"/>
        <w:jc w:val="both"/>
        <w:rPr>
          <w:rFonts w:ascii="Arial" w:eastAsia="Arial" w:hAnsi="Arial" w:cs="Arial"/>
          <w:szCs w:val="22"/>
        </w:rPr>
      </w:pPr>
      <w:r w:rsidRPr="00440646">
        <w:rPr>
          <w:rFonts w:ascii="Arial" w:eastAsia="Arial" w:hAnsi="Arial" w:cs="Arial"/>
          <w:szCs w:val="22"/>
        </w:rPr>
        <w:t>Del mismo modo, deficiencias relevantes en el sistema de calidad farmacéutica pueden afectar la aceptación de una solicitud regulatoria si representan un riesgo para la seguridad de los sujetos o comprometen la solidez de los datos.</w:t>
      </w:r>
    </w:p>
    <w:p w:rsidR="00B80519" w:rsidRDefault="00B80519" w:rsidP="00B80519">
      <w:pPr>
        <w:spacing w:after="120"/>
        <w:jc w:val="both"/>
        <w:rPr>
          <w:rFonts w:ascii="Arial" w:eastAsia="Arial" w:hAnsi="Arial" w:cs="Arial"/>
          <w:szCs w:val="22"/>
        </w:rPr>
      </w:pPr>
      <w:r w:rsidRPr="00440646">
        <w:rPr>
          <w:rFonts w:ascii="Arial" w:eastAsia="Arial" w:hAnsi="Arial" w:cs="Arial"/>
          <w:szCs w:val="22"/>
        </w:rPr>
        <w:t xml:space="preserve">Los elementos de calidad y seguridad de la regulación de los </w:t>
      </w:r>
      <w:proofErr w:type="spellStart"/>
      <w:r w:rsidRPr="00440646">
        <w:rPr>
          <w:rFonts w:ascii="Arial" w:eastAsia="Arial" w:hAnsi="Arial" w:cs="Arial"/>
          <w:szCs w:val="22"/>
        </w:rPr>
        <w:t>HCTs</w:t>
      </w:r>
      <w:proofErr w:type="spellEnd"/>
      <w:r w:rsidRPr="00440646">
        <w:rPr>
          <w:rFonts w:ascii="Arial" w:eastAsia="Arial" w:hAnsi="Arial" w:cs="Arial"/>
          <w:szCs w:val="22"/>
        </w:rPr>
        <w:t xml:space="preserve"> tienen como objetivo principal prevenir la posible transmisión de enfermedades y mitigar riesgos asociados a su origen, o que puedan surgir durante la obtención y/o procesamiento de células o tejidos.</w:t>
      </w:r>
    </w:p>
    <w:p w:rsidR="00F379F5" w:rsidRPr="00F379F5" w:rsidRDefault="00F379F5" w:rsidP="00F379F5">
      <w:pPr>
        <w:spacing w:after="120"/>
        <w:jc w:val="both"/>
        <w:rPr>
          <w:rFonts w:ascii="Arial" w:eastAsia="Arial" w:hAnsi="Arial" w:cs="Arial"/>
          <w:szCs w:val="22"/>
        </w:rPr>
      </w:pPr>
      <w:r w:rsidRPr="00F379F5">
        <w:rPr>
          <w:rFonts w:ascii="Arial" w:eastAsia="Arial" w:hAnsi="Arial" w:cs="Arial"/>
          <w:szCs w:val="22"/>
        </w:rPr>
        <w:t xml:space="preserve">Los </w:t>
      </w:r>
      <w:proofErr w:type="spellStart"/>
      <w:r w:rsidRPr="00F379F5">
        <w:rPr>
          <w:rFonts w:ascii="Arial" w:eastAsia="Arial" w:hAnsi="Arial" w:cs="Arial"/>
          <w:szCs w:val="22"/>
        </w:rPr>
        <w:t>ATMPs</w:t>
      </w:r>
      <w:proofErr w:type="spellEnd"/>
      <w:r w:rsidRPr="00F379F5">
        <w:rPr>
          <w:rFonts w:ascii="Arial" w:eastAsia="Arial" w:hAnsi="Arial" w:cs="Arial"/>
          <w:szCs w:val="22"/>
        </w:rPr>
        <w:t xml:space="preserve"> requieren el mismo enfoque basado en el riesgo que los </w:t>
      </w:r>
      <w:proofErr w:type="spellStart"/>
      <w:r w:rsidRPr="00F379F5">
        <w:rPr>
          <w:rFonts w:ascii="Arial" w:eastAsia="Arial" w:hAnsi="Arial" w:cs="Arial"/>
          <w:szCs w:val="22"/>
        </w:rPr>
        <w:t>HCTs</w:t>
      </w:r>
      <w:proofErr w:type="spellEnd"/>
      <w:r w:rsidRPr="00F379F5">
        <w:rPr>
          <w:rFonts w:ascii="Arial" w:eastAsia="Arial" w:hAnsi="Arial" w:cs="Arial"/>
          <w:szCs w:val="22"/>
        </w:rPr>
        <w:t xml:space="preserve"> para prevenir la transmisión de enfermedades infecciosas y mitigar otros riesgos inherentes al producto. Además, deben cumplir con prácticas regulatorias clave:</w:t>
      </w:r>
    </w:p>
    <w:p w:rsidR="00F379F5" w:rsidRPr="00F379F5" w:rsidRDefault="00F379F5" w:rsidP="00F379F5">
      <w:pPr>
        <w:spacing w:after="120"/>
        <w:jc w:val="both"/>
        <w:rPr>
          <w:rFonts w:ascii="Arial" w:eastAsia="Arial" w:hAnsi="Arial" w:cs="Arial"/>
          <w:szCs w:val="22"/>
        </w:rPr>
      </w:pPr>
      <w:r>
        <w:rPr>
          <w:rFonts w:ascii="Arial" w:eastAsia="Arial" w:hAnsi="Arial" w:cs="Arial"/>
          <w:szCs w:val="22"/>
        </w:rPr>
        <w:t>-</w:t>
      </w:r>
      <w:r w:rsidRPr="00F379F5">
        <w:rPr>
          <w:rFonts w:ascii="Arial" w:eastAsia="Arial" w:hAnsi="Arial" w:cs="Arial"/>
          <w:szCs w:val="22"/>
        </w:rPr>
        <w:t>GMP</w:t>
      </w:r>
      <w:r w:rsidR="00813C1A">
        <w:rPr>
          <w:rFonts w:ascii="Arial" w:eastAsia="Arial" w:hAnsi="Arial" w:cs="Arial"/>
          <w:szCs w:val="22"/>
        </w:rPr>
        <w:t xml:space="preserve"> (del inglés, buenas prácticas de manufactura)</w:t>
      </w:r>
      <w:r w:rsidRPr="00F379F5">
        <w:rPr>
          <w:rFonts w:ascii="Arial" w:eastAsia="Arial" w:hAnsi="Arial" w:cs="Arial"/>
          <w:szCs w:val="22"/>
        </w:rPr>
        <w:t xml:space="preserve">: asegurar que los </w:t>
      </w:r>
      <w:proofErr w:type="spellStart"/>
      <w:r w:rsidRPr="00F379F5">
        <w:rPr>
          <w:rFonts w:ascii="Arial" w:eastAsia="Arial" w:hAnsi="Arial" w:cs="Arial"/>
          <w:szCs w:val="22"/>
        </w:rPr>
        <w:t>ATMPs</w:t>
      </w:r>
      <w:proofErr w:type="spellEnd"/>
      <w:r w:rsidRPr="00F379F5">
        <w:rPr>
          <w:rFonts w:ascii="Arial" w:eastAsia="Arial" w:hAnsi="Arial" w:cs="Arial"/>
          <w:szCs w:val="22"/>
        </w:rPr>
        <w:t xml:space="preserve"> para ensayos clínicos y uso clínico se fabriquen bajo un sistema de gestión de calidad, con controles apropiados y procedimientos para gestionar cambios de proceso.</w:t>
      </w:r>
    </w:p>
    <w:p w:rsidR="00F379F5" w:rsidRPr="00F379F5" w:rsidRDefault="00F379F5" w:rsidP="00F379F5">
      <w:pPr>
        <w:spacing w:after="120"/>
        <w:jc w:val="both"/>
        <w:rPr>
          <w:rFonts w:ascii="Arial" w:eastAsia="Arial" w:hAnsi="Arial" w:cs="Arial"/>
          <w:szCs w:val="22"/>
        </w:rPr>
      </w:pPr>
      <w:r>
        <w:rPr>
          <w:rFonts w:ascii="Arial" w:eastAsia="Arial" w:hAnsi="Arial" w:cs="Arial"/>
          <w:szCs w:val="22"/>
        </w:rPr>
        <w:t>-</w:t>
      </w:r>
      <w:r w:rsidRPr="00F379F5">
        <w:rPr>
          <w:rFonts w:ascii="Arial" w:eastAsia="Arial" w:hAnsi="Arial" w:cs="Arial"/>
          <w:szCs w:val="22"/>
        </w:rPr>
        <w:t>GLP</w:t>
      </w:r>
      <w:r w:rsidR="00813C1A">
        <w:rPr>
          <w:rFonts w:ascii="Arial" w:eastAsia="Arial" w:hAnsi="Arial" w:cs="Arial"/>
          <w:szCs w:val="22"/>
        </w:rPr>
        <w:t xml:space="preserve"> (del inglés, buenas prácticas de laboratorio)</w:t>
      </w:r>
      <w:r w:rsidRPr="00F379F5">
        <w:rPr>
          <w:rFonts w:ascii="Arial" w:eastAsia="Arial" w:hAnsi="Arial" w:cs="Arial"/>
          <w:szCs w:val="22"/>
        </w:rPr>
        <w:t>: aplicadas, cuando sea factible, en estudios no clínicos para obtener datos de seguridad, garantizando que los riesgos se comprendan y mitiguen antes de su uso en humanos.</w:t>
      </w:r>
    </w:p>
    <w:p w:rsidR="00F379F5" w:rsidRPr="00F379F5" w:rsidRDefault="00F379F5" w:rsidP="00F379F5">
      <w:pPr>
        <w:spacing w:after="120"/>
        <w:jc w:val="both"/>
        <w:rPr>
          <w:rFonts w:ascii="Arial" w:eastAsia="Arial" w:hAnsi="Arial" w:cs="Arial"/>
          <w:szCs w:val="22"/>
        </w:rPr>
      </w:pPr>
      <w:r>
        <w:rPr>
          <w:rFonts w:ascii="Arial" w:eastAsia="Arial" w:hAnsi="Arial" w:cs="Arial"/>
          <w:szCs w:val="22"/>
        </w:rPr>
        <w:t>-</w:t>
      </w:r>
      <w:r w:rsidRPr="00F379F5">
        <w:rPr>
          <w:rFonts w:ascii="Arial" w:eastAsia="Arial" w:hAnsi="Arial" w:cs="Arial"/>
          <w:szCs w:val="22"/>
        </w:rPr>
        <w:t>GCP</w:t>
      </w:r>
      <w:r w:rsidR="00813C1A">
        <w:rPr>
          <w:rFonts w:ascii="Arial" w:eastAsia="Arial" w:hAnsi="Arial" w:cs="Arial"/>
          <w:szCs w:val="22"/>
        </w:rPr>
        <w:t xml:space="preserve"> (del inglés, buenas prácticas clínicas)</w:t>
      </w:r>
      <w:r w:rsidRPr="00F379F5">
        <w:rPr>
          <w:rFonts w:ascii="Arial" w:eastAsia="Arial" w:hAnsi="Arial" w:cs="Arial"/>
          <w:szCs w:val="22"/>
        </w:rPr>
        <w:t xml:space="preserve">: aplicadas a todos los estudios clínicos sobre </w:t>
      </w:r>
      <w:proofErr w:type="spellStart"/>
      <w:r w:rsidRPr="00F379F5">
        <w:rPr>
          <w:rFonts w:ascii="Arial" w:eastAsia="Arial" w:hAnsi="Arial" w:cs="Arial"/>
          <w:szCs w:val="22"/>
        </w:rPr>
        <w:t>ATMPs</w:t>
      </w:r>
      <w:proofErr w:type="spellEnd"/>
      <w:r w:rsidRPr="00F379F5">
        <w:rPr>
          <w:rFonts w:ascii="Arial" w:eastAsia="Arial" w:hAnsi="Arial" w:cs="Arial"/>
          <w:szCs w:val="22"/>
        </w:rPr>
        <w:t xml:space="preserve">, con diseño y control adecuados para recopilar datos </w:t>
      </w:r>
      <w:r w:rsidRPr="00F379F5">
        <w:rPr>
          <w:rFonts w:ascii="Arial" w:eastAsia="Arial" w:hAnsi="Arial" w:cs="Arial"/>
          <w:szCs w:val="22"/>
        </w:rPr>
        <w:lastRenderedPageBreak/>
        <w:t>sólidos de seguridad y eficacia, y asegurar un seguimiento a largo plazo de los pacientes.</w:t>
      </w:r>
    </w:p>
    <w:p w:rsidR="00F379F5" w:rsidRPr="00F379F5" w:rsidRDefault="00F379F5" w:rsidP="00F379F5">
      <w:pPr>
        <w:spacing w:after="120"/>
        <w:jc w:val="both"/>
        <w:rPr>
          <w:rFonts w:ascii="Arial" w:eastAsia="Arial" w:hAnsi="Arial" w:cs="Arial"/>
          <w:szCs w:val="22"/>
        </w:rPr>
      </w:pPr>
      <w:r w:rsidRPr="00F379F5">
        <w:rPr>
          <w:rFonts w:ascii="Arial" w:eastAsia="Arial" w:hAnsi="Arial" w:cs="Arial"/>
          <w:szCs w:val="22"/>
        </w:rPr>
        <w:t xml:space="preserve">Estos aspectos requieren que la autoridad regulatoria tenga la capacidad y experiencia para evaluar y autorizar tanto ensayos clínicos como solicitudes de comercialización, y para supervisar la vigilancia </w:t>
      </w:r>
      <w:proofErr w:type="spellStart"/>
      <w:r w:rsidRPr="00F379F5">
        <w:rPr>
          <w:rFonts w:ascii="Arial" w:eastAsia="Arial" w:hAnsi="Arial" w:cs="Arial"/>
          <w:szCs w:val="22"/>
        </w:rPr>
        <w:t>post-comercialización</w:t>
      </w:r>
      <w:proofErr w:type="spellEnd"/>
      <w:r w:rsidRPr="00F379F5">
        <w:rPr>
          <w:rFonts w:ascii="Arial" w:eastAsia="Arial" w:hAnsi="Arial" w:cs="Arial"/>
          <w:szCs w:val="22"/>
        </w:rPr>
        <w:t>. Asimismo, garantizar el cumplimiento de GMP, GLP y GCP exige que la autoridad regulatoria y/o su cuerpo de inspección dispongan de las capacidades necesarias para realizar las inspecciones correspondientes.</w:t>
      </w:r>
    </w:p>
    <w:p w:rsidR="00F379F5" w:rsidRPr="00440646" w:rsidRDefault="00F379F5" w:rsidP="00F379F5">
      <w:pPr>
        <w:spacing w:after="120"/>
        <w:jc w:val="both"/>
        <w:rPr>
          <w:rFonts w:ascii="Arial" w:eastAsia="Arial" w:hAnsi="Arial" w:cs="Arial"/>
          <w:szCs w:val="22"/>
        </w:rPr>
      </w:pPr>
      <w:r w:rsidRPr="00F379F5">
        <w:rPr>
          <w:rFonts w:ascii="Arial" w:eastAsia="Arial" w:hAnsi="Arial" w:cs="Arial"/>
          <w:szCs w:val="22"/>
        </w:rPr>
        <w:t xml:space="preserve">Es esencial que la seguridad de todos los </w:t>
      </w:r>
      <w:proofErr w:type="spellStart"/>
      <w:r w:rsidRPr="00F379F5">
        <w:rPr>
          <w:rFonts w:ascii="Arial" w:eastAsia="Arial" w:hAnsi="Arial" w:cs="Arial"/>
          <w:szCs w:val="22"/>
        </w:rPr>
        <w:t>ATMPs</w:t>
      </w:r>
      <w:proofErr w:type="spellEnd"/>
      <w:r w:rsidRPr="00F379F5">
        <w:rPr>
          <w:rFonts w:ascii="Arial" w:eastAsia="Arial" w:hAnsi="Arial" w:cs="Arial"/>
          <w:szCs w:val="22"/>
        </w:rPr>
        <w:t xml:space="preserve"> autorizados sea monitorizada de manera continua mientras se utilizan en la práctica médica. Esto incluye la implementación de un sistema de farmacovigilancia, en el cual todos los titulares de autorización deben participar. Dichos titulares deben contar con un sistema para recopilar, procesar y evaluar información sobre sospechas de reacciones adversas, y comunicarla a la autoridad regulatoria. Esto permitirá la detección temprana de riesgos, su mitigación eficaz y el diseño de estudios </w:t>
      </w:r>
      <w:proofErr w:type="spellStart"/>
      <w:r w:rsidRPr="00F379F5">
        <w:rPr>
          <w:rFonts w:ascii="Arial" w:eastAsia="Arial" w:hAnsi="Arial" w:cs="Arial"/>
          <w:szCs w:val="22"/>
        </w:rPr>
        <w:t>post-autorización</w:t>
      </w:r>
      <w:proofErr w:type="spellEnd"/>
      <w:r w:rsidRPr="00F379F5">
        <w:rPr>
          <w:rFonts w:ascii="Arial" w:eastAsia="Arial" w:hAnsi="Arial" w:cs="Arial"/>
          <w:szCs w:val="22"/>
        </w:rPr>
        <w:t xml:space="preserve"> adecuados para monitorizar la seguridad y eficacia del producto.</w:t>
      </w:r>
    </w:p>
    <w:p w:rsidR="00B80519" w:rsidRPr="00B80519" w:rsidRDefault="004F6588" w:rsidP="00B80519">
      <w:pPr>
        <w:spacing w:after="120"/>
        <w:jc w:val="both"/>
        <w:rPr>
          <w:rFonts w:ascii="Arial" w:eastAsia="Arial" w:hAnsi="Arial" w:cs="Arial"/>
          <w:b/>
          <w:szCs w:val="22"/>
        </w:rPr>
      </w:pPr>
      <w:r>
        <w:rPr>
          <w:rFonts w:ascii="Arial" w:eastAsia="Arial" w:hAnsi="Arial" w:cs="Arial"/>
          <w:b/>
          <w:szCs w:val="22"/>
        </w:rPr>
        <w:t>3.</w:t>
      </w:r>
      <w:r w:rsidR="00B80519" w:rsidRPr="00B80519">
        <w:rPr>
          <w:rFonts w:ascii="Arial" w:eastAsia="Arial" w:hAnsi="Arial" w:cs="Arial"/>
          <w:b/>
          <w:szCs w:val="22"/>
        </w:rPr>
        <w:t>7. Documentación y justificación científica</w:t>
      </w:r>
    </w:p>
    <w:p w:rsidR="00B80519" w:rsidRPr="007E249E" w:rsidRDefault="00B80519" w:rsidP="00B80519">
      <w:pPr>
        <w:spacing w:after="120"/>
        <w:jc w:val="both"/>
        <w:rPr>
          <w:rFonts w:ascii="Arial" w:eastAsia="Arial" w:hAnsi="Arial" w:cs="Arial"/>
          <w:szCs w:val="22"/>
        </w:rPr>
      </w:pPr>
      <w:r w:rsidRPr="007E249E">
        <w:rPr>
          <w:rFonts w:ascii="Arial" w:eastAsia="Arial" w:hAnsi="Arial" w:cs="Arial"/>
          <w:szCs w:val="22"/>
        </w:rPr>
        <w:t>Las decisiones adoptadas durante el desarrollo del producto, incluidas aquellas basadas en el enfoque de riesgo, deberían estar debidamente documentadas y sustentadas desde el punto de vista científico.</w:t>
      </w:r>
    </w:p>
    <w:p w:rsidR="00B80519" w:rsidRPr="007E249E" w:rsidRDefault="00B80519" w:rsidP="00B80519">
      <w:pPr>
        <w:spacing w:after="120"/>
        <w:jc w:val="both"/>
        <w:rPr>
          <w:rFonts w:ascii="Arial" w:eastAsia="Arial" w:hAnsi="Arial" w:cs="Arial"/>
          <w:szCs w:val="22"/>
        </w:rPr>
      </w:pPr>
      <w:r w:rsidRPr="007E249E">
        <w:rPr>
          <w:rFonts w:ascii="Arial" w:eastAsia="Arial" w:hAnsi="Arial" w:cs="Arial"/>
          <w:szCs w:val="22"/>
        </w:rPr>
        <w:t>Los elementos clave que permitan comprender el enfoque de desarrollo elegido deberían presentarse de forma clara y coherente en la documentación regulatoria correspondiente.</w:t>
      </w:r>
    </w:p>
    <w:p w:rsidR="00B80519" w:rsidRPr="007E249E" w:rsidRDefault="00B80519" w:rsidP="00B80519">
      <w:pPr>
        <w:spacing w:after="120"/>
        <w:jc w:val="both"/>
        <w:rPr>
          <w:rFonts w:ascii="Arial" w:eastAsia="Arial" w:hAnsi="Arial" w:cs="Arial"/>
          <w:szCs w:val="22"/>
        </w:rPr>
      </w:pPr>
      <w:r w:rsidRPr="007E249E">
        <w:rPr>
          <w:rFonts w:ascii="Arial" w:eastAsia="Arial" w:hAnsi="Arial" w:cs="Arial"/>
          <w:szCs w:val="22"/>
        </w:rPr>
        <w:t xml:space="preserve">Cualquier cambio posterior a la aprobación en el procesamiento de </w:t>
      </w:r>
      <w:proofErr w:type="spellStart"/>
      <w:r w:rsidRPr="007E249E">
        <w:rPr>
          <w:rFonts w:ascii="Arial" w:eastAsia="Arial" w:hAnsi="Arial" w:cs="Arial"/>
          <w:szCs w:val="22"/>
        </w:rPr>
        <w:t>HCTs</w:t>
      </w:r>
      <w:proofErr w:type="spellEnd"/>
      <w:r w:rsidRPr="007E249E">
        <w:rPr>
          <w:rFonts w:ascii="Arial" w:eastAsia="Arial" w:hAnsi="Arial" w:cs="Arial"/>
          <w:szCs w:val="22"/>
        </w:rPr>
        <w:t xml:space="preserve"> puede requerir una evaluación de los riesgos asociados, junto con una valoración del impacto de dichos cambios en las especificaciones del producto y en los criterios de liberación.</w:t>
      </w:r>
    </w:p>
    <w:p w:rsidR="00B80519" w:rsidRPr="00B80519" w:rsidRDefault="004F6588" w:rsidP="00B80519">
      <w:pPr>
        <w:spacing w:after="120"/>
        <w:jc w:val="both"/>
        <w:rPr>
          <w:rFonts w:ascii="Arial" w:eastAsia="Arial" w:hAnsi="Arial" w:cs="Arial"/>
          <w:b/>
          <w:szCs w:val="22"/>
        </w:rPr>
      </w:pPr>
      <w:r>
        <w:rPr>
          <w:rFonts w:ascii="Arial" w:eastAsia="Arial" w:hAnsi="Arial" w:cs="Arial"/>
          <w:b/>
          <w:szCs w:val="22"/>
        </w:rPr>
        <w:t>3.</w:t>
      </w:r>
      <w:r w:rsidR="00B80519" w:rsidRPr="00B80519">
        <w:rPr>
          <w:rFonts w:ascii="Arial" w:eastAsia="Arial" w:hAnsi="Arial" w:cs="Arial"/>
          <w:b/>
          <w:szCs w:val="22"/>
        </w:rPr>
        <w:t xml:space="preserve">8. Aplicabilidad a lo largo del ciclo de vida </w:t>
      </w:r>
    </w:p>
    <w:p w:rsidR="00B80519" w:rsidRPr="00672044" w:rsidRDefault="00B80519" w:rsidP="00B80519">
      <w:pPr>
        <w:spacing w:after="120"/>
        <w:jc w:val="both"/>
        <w:rPr>
          <w:rFonts w:ascii="Arial" w:eastAsia="Arial" w:hAnsi="Arial" w:cs="Arial"/>
          <w:szCs w:val="22"/>
        </w:rPr>
      </w:pPr>
      <w:r w:rsidRPr="00672044">
        <w:rPr>
          <w:rFonts w:ascii="Arial" w:eastAsia="Arial" w:hAnsi="Arial" w:cs="Arial"/>
          <w:szCs w:val="22"/>
        </w:rPr>
        <w:t>Los principios descritos aquí son aplicables tanto a los medicamentos de terapias avanzadas en investigación como a aquellos autorizados, sin perjuicio de los requisitos específicos que se describen en las secciones correspondientes de la presente guía.</w:t>
      </w:r>
    </w:p>
    <w:p w:rsidR="0052445C" w:rsidRDefault="00B80519" w:rsidP="00B80519">
      <w:pPr>
        <w:spacing w:after="120"/>
        <w:jc w:val="both"/>
        <w:rPr>
          <w:rFonts w:ascii="Arial" w:eastAsia="Arial" w:hAnsi="Arial" w:cs="Arial"/>
          <w:szCs w:val="22"/>
        </w:rPr>
      </w:pPr>
      <w:r w:rsidRPr="00672044">
        <w:rPr>
          <w:rFonts w:ascii="Arial" w:eastAsia="Arial" w:hAnsi="Arial" w:cs="Arial"/>
          <w:szCs w:val="22"/>
        </w:rPr>
        <w:t xml:space="preserve">Los </w:t>
      </w:r>
      <w:proofErr w:type="spellStart"/>
      <w:r w:rsidRPr="00672044">
        <w:rPr>
          <w:rFonts w:ascii="Arial" w:eastAsia="Arial" w:hAnsi="Arial" w:cs="Arial"/>
          <w:szCs w:val="22"/>
        </w:rPr>
        <w:t>ATMPs</w:t>
      </w:r>
      <w:proofErr w:type="spellEnd"/>
      <w:r w:rsidRPr="00672044">
        <w:rPr>
          <w:rFonts w:ascii="Arial" w:eastAsia="Arial" w:hAnsi="Arial" w:cs="Arial"/>
          <w:szCs w:val="22"/>
        </w:rPr>
        <w:t xml:space="preserve"> requieren una regulación integral y la demostración de seguridad y eficacia, con datos sólidos que evidencien alta calidad del producto, actividad </w:t>
      </w:r>
      <w:r w:rsidRPr="00672044">
        <w:rPr>
          <w:rFonts w:ascii="Arial" w:eastAsia="Arial" w:hAnsi="Arial" w:cs="Arial"/>
          <w:szCs w:val="22"/>
        </w:rPr>
        <w:lastRenderedPageBreak/>
        <w:t>biológica y consistencia en la fabricación, tanto antes de la autorización de comercialización como tras cualquier cambio en el proceso de producción.</w:t>
      </w:r>
    </w:p>
    <w:p w:rsidR="004241D8" w:rsidRPr="004241D8" w:rsidRDefault="004F6588" w:rsidP="004241D8">
      <w:pPr>
        <w:spacing w:after="120"/>
        <w:jc w:val="both"/>
        <w:rPr>
          <w:rFonts w:ascii="Arial" w:eastAsia="Arial" w:hAnsi="Arial" w:cs="Arial"/>
          <w:b/>
          <w:szCs w:val="22"/>
        </w:rPr>
      </w:pPr>
      <w:r>
        <w:rPr>
          <w:rFonts w:ascii="Arial" w:eastAsia="Arial" w:hAnsi="Arial" w:cs="Arial"/>
          <w:b/>
          <w:szCs w:val="22"/>
        </w:rPr>
        <w:t>3.</w:t>
      </w:r>
      <w:r w:rsidR="004241D8" w:rsidRPr="004241D8">
        <w:rPr>
          <w:rFonts w:ascii="Arial" w:eastAsia="Arial" w:hAnsi="Arial" w:cs="Arial"/>
          <w:b/>
          <w:szCs w:val="22"/>
        </w:rPr>
        <w:t>9. Marco regulatorio</w:t>
      </w:r>
    </w:p>
    <w:p w:rsidR="004241D8" w:rsidRPr="004241D8" w:rsidRDefault="004241D8" w:rsidP="004241D8">
      <w:pPr>
        <w:spacing w:after="120"/>
        <w:jc w:val="both"/>
        <w:rPr>
          <w:rFonts w:ascii="Arial" w:eastAsia="Arial" w:hAnsi="Arial" w:cs="Arial"/>
          <w:szCs w:val="22"/>
        </w:rPr>
      </w:pPr>
      <w:r w:rsidRPr="004241D8">
        <w:rPr>
          <w:rFonts w:ascii="Arial" w:eastAsia="Arial" w:hAnsi="Arial" w:cs="Arial"/>
          <w:szCs w:val="22"/>
        </w:rPr>
        <w:t>El marco regulatorio aplicable a los productos de células y tejidos humanos (</w:t>
      </w:r>
      <w:proofErr w:type="spellStart"/>
      <w:r w:rsidRPr="004241D8">
        <w:rPr>
          <w:rFonts w:ascii="Arial" w:eastAsia="Arial" w:hAnsi="Arial" w:cs="Arial"/>
          <w:szCs w:val="22"/>
        </w:rPr>
        <w:t>HCTs</w:t>
      </w:r>
      <w:proofErr w:type="spellEnd"/>
      <w:r w:rsidRPr="004241D8">
        <w:rPr>
          <w:rFonts w:ascii="Arial" w:eastAsia="Arial" w:hAnsi="Arial" w:cs="Arial"/>
          <w:szCs w:val="22"/>
        </w:rPr>
        <w:t>) y a los medicamentos de terapias avanzadas (</w:t>
      </w:r>
      <w:proofErr w:type="spellStart"/>
      <w:r w:rsidRPr="004241D8">
        <w:rPr>
          <w:rFonts w:ascii="Arial" w:eastAsia="Arial" w:hAnsi="Arial" w:cs="Arial"/>
          <w:szCs w:val="22"/>
        </w:rPr>
        <w:t>ATMPs</w:t>
      </w:r>
      <w:proofErr w:type="spellEnd"/>
      <w:r w:rsidRPr="004241D8">
        <w:rPr>
          <w:rFonts w:ascii="Arial" w:eastAsia="Arial" w:hAnsi="Arial" w:cs="Arial"/>
          <w:szCs w:val="22"/>
        </w:rPr>
        <w:t xml:space="preserve">) debe garantizar la seguridad de donantes y receptores, la calidad y trazabilidad de los productos, y el respeto de los principios éticos y de </w:t>
      </w:r>
      <w:r w:rsidR="00C05451">
        <w:rPr>
          <w:rFonts w:ascii="Arial" w:eastAsia="Arial" w:hAnsi="Arial" w:cs="Arial"/>
          <w:szCs w:val="22"/>
        </w:rPr>
        <w:t>seguridad</w:t>
      </w:r>
      <w:r w:rsidRPr="004241D8">
        <w:rPr>
          <w:rFonts w:ascii="Arial" w:eastAsia="Arial" w:hAnsi="Arial" w:cs="Arial"/>
          <w:szCs w:val="22"/>
        </w:rPr>
        <w:t>.</w:t>
      </w:r>
    </w:p>
    <w:p w:rsidR="004241D8" w:rsidRPr="004241D8" w:rsidRDefault="004241D8" w:rsidP="004241D8">
      <w:pPr>
        <w:spacing w:after="120"/>
        <w:jc w:val="both"/>
        <w:rPr>
          <w:rFonts w:ascii="Arial" w:eastAsia="Arial" w:hAnsi="Arial" w:cs="Arial"/>
          <w:szCs w:val="22"/>
        </w:rPr>
      </w:pPr>
      <w:proofErr w:type="spellStart"/>
      <w:r w:rsidRPr="004241D8">
        <w:rPr>
          <w:rFonts w:ascii="Arial" w:eastAsia="Arial" w:hAnsi="Arial" w:cs="Arial"/>
          <w:szCs w:val="22"/>
        </w:rPr>
        <w:t>HCTs</w:t>
      </w:r>
      <w:proofErr w:type="spellEnd"/>
      <w:r>
        <w:rPr>
          <w:rFonts w:ascii="Arial" w:eastAsia="Arial" w:hAnsi="Arial" w:cs="Arial"/>
          <w:szCs w:val="22"/>
        </w:rPr>
        <w:t xml:space="preserve">: </w:t>
      </w:r>
      <w:r w:rsidRPr="004241D8">
        <w:rPr>
          <w:rFonts w:ascii="Arial" w:eastAsia="Arial" w:hAnsi="Arial" w:cs="Arial"/>
          <w:szCs w:val="22"/>
        </w:rPr>
        <w:t>No requieren autorización de comercialización, pero sí autorización para su donación, procesamiento y trasplante.</w:t>
      </w:r>
    </w:p>
    <w:p w:rsidR="004241D8" w:rsidRPr="004241D8" w:rsidRDefault="004241D8" w:rsidP="004241D8">
      <w:pPr>
        <w:spacing w:after="120"/>
        <w:jc w:val="both"/>
        <w:rPr>
          <w:rFonts w:ascii="Arial" w:eastAsia="Arial" w:hAnsi="Arial" w:cs="Arial"/>
          <w:szCs w:val="22"/>
        </w:rPr>
      </w:pPr>
      <w:r w:rsidRPr="004241D8">
        <w:rPr>
          <w:rFonts w:ascii="Arial" w:eastAsia="Arial" w:hAnsi="Arial" w:cs="Arial"/>
          <w:szCs w:val="22"/>
        </w:rPr>
        <w:t xml:space="preserve">Los establecimientos que recuperen, procesen, almacenen y/o distribuyan </w:t>
      </w:r>
      <w:proofErr w:type="spellStart"/>
      <w:r w:rsidRPr="004241D8">
        <w:rPr>
          <w:rFonts w:ascii="Arial" w:eastAsia="Arial" w:hAnsi="Arial" w:cs="Arial"/>
          <w:szCs w:val="22"/>
        </w:rPr>
        <w:t>HCTs</w:t>
      </w:r>
      <w:proofErr w:type="spellEnd"/>
      <w:r w:rsidRPr="004241D8">
        <w:rPr>
          <w:rFonts w:ascii="Arial" w:eastAsia="Arial" w:hAnsi="Arial" w:cs="Arial"/>
          <w:szCs w:val="22"/>
        </w:rPr>
        <w:t xml:space="preserve"> deberán estar registrados ante la autoridad competente, incluyendo información sobre ubicación y tipos de células o tejidos ofrecidos.</w:t>
      </w:r>
    </w:p>
    <w:p w:rsidR="004241D8" w:rsidRPr="004241D8" w:rsidRDefault="00214671" w:rsidP="004241D8">
      <w:pPr>
        <w:spacing w:after="120"/>
        <w:jc w:val="both"/>
        <w:rPr>
          <w:rFonts w:ascii="Arial" w:eastAsia="Arial" w:hAnsi="Arial" w:cs="Arial"/>
          <w:szCs w:val="22"/>
        </w:rPr>
      </w:pPr>
      <w:r>
        <w:rPr>
          <w:rFonts w:ascii="Arial" w:eastAsia="Arial" w:hAnsi="Arial" w:cs="Arial"/>
          <w:szCs w:val="22"/>
        </w:rPr>
        <w:t>La</w:t>
      </w:r>
      <w:r w:rsidR="004241D8" w:rsidRPr="004241D8">
        <w:rPr>
          <w:rFonts w:ascii="Arial" w:eastAsia="Arial" w:hAnsi="Arial" w:cs="Arial"/>
          <w:szCs w:val="22"/>
        </w:rPr>
        <w:t xml:space="preserve"> trazabilidad completa entre donante y receptor</w:t>
      </w:r>
      <w:r>
        <w:rPr>
          <w:rFonts w:ascii="Arial" w:eastAsia="Arial" w:hAnsi="Arial" w:cs="Arial"/>
          <w:szCs w:val="22"/>
        </w:rPr>
        <w:t xml:space="preserve"> debe garantizarse</w:t>
      </w:r>
      <w:r w:rsidR="004241D8" w:rsidRPr="004241D8">
        <w:rPr>
          <w:rFonts w:ascii="Arial" w:eastAsia="Arial" w:hAnsi="Arial" w:cs="Arial"/>
          <w:szCs w:val="22"/>
        </w:rPr>
        <w:t>, con capacidad de retiro inmediato de lotes en caso de detectar riesgos de contaminación.</w:t>
      </w:r>
    </w:p>
    <w:p w:rsidR="004241D8" w:rsidRPr="004241D8" w:rsidRDefault="004241D8" w:rsidP="004241D8">
      <w:pPr>
        <w:spacing w:after="120"/>
        <w:jc w:val="both"/>
        <w:rPr>
          <w:rFonts w:ascii="Arial" w:eastAsia="Arial" w:hAnsi="Arial" w:cs="Arial"/>
          <w:szCs w:val="22"/>
        </w:rPr>
      </w:pPr>
      <w:r w:rsidRPr="004241D8">
        <w:rPr>
          <w:rFonts w:ascii="Arial" w:eastAsia="Arial" w:hAnsi="Arial" w:cs="Arial"/>
          <w:szCs w:val="22"/>
        </w:rPr>
        <w:t>La supervisión ética y las inspecciones periódicas serán obligatorias para asegurar que los procesos no introduzcan riesgos adicionales.</w:t>
      </w:r>
    </w:p>
    <w:p w:rsidR="004241D8" w:rsidRPr="004241D8" w:rsidRDefault="004241D8" w:rsidP="004241D8">
      <w:pPr>
        <w:spacing w:after="120"/>
        <w:jc w:val="both"/>
        <w:rPr>
          <w:rFonts w:ascii="Arial" w:eastAsia="Arial" w:hAnsi="Arial" w:cs="Arial"/>
          <w:szCs w:val="22"/>
        </w:rPr>
      </w:pPr>
      <w:proofErr w:type="spellStart"/>
      <w:r w:rsidRPr="004241D8">
        <w:rPr>
          <w:rFonts w:ascii="Arial" w:eastAsia="Arial" w:hAnsi="Arial" w:cs="Arial"/>
          <w:szCs w:val="22"/>
        </w:rPr>
        <w:t>ATMPs</w:t>
      </w:r>
      <w:proofErr w:type="spellEnd"/>
      <w:r>
        <w:rPr>
          <w:rFonts w:ascii="Arial" w:eastAsia="Arial" w:hAnsi="Arial" w:cs="Arial"/>
          <w:szCs w:val="22"/>
        </w:rPr>
        <w:t xml:space="preserve">: </w:t>
      </w:r>
      <w:r w:rsidRPr="004241D8">
        <w:rPr>
          <w:rFonts w:ascii="Arial" w:eastAsia="Arial" w:hAnsi="Arial" w:cs="Arial"/>
          <w:szCs w:val="22"/>
        </w:rPr>
        <w:t>Requieren autorización de comercialización otorgada por una autoridad regulatoria competente, basada en la evaluación de calidad, seguridad y eficacia.</w:t>
      </w:r>
    </w:p>
    <w:p w:rsidR="004241D8" w:rsidRPr="004241D8" w:rsidRDefault="004241D8" w:rsidP="004241D8">
      <w:pPr>
        <w:spacing w:after="120"/>
        <w:jc w:val="both"/>
        <w:rPr>
          <w:rFonts w:ascii="Arial" w:eastAsia="Arial" w:hAnsi="Arial" w:cs="Arial"/>
          <w:szCs w:val="22"/>
        </w:rPr>
      </w:pPr>
      <w:r w:rsidRPr="004241D8">
        <w:rPr>
          <w:rFonts w:ascii="Arial" w:eastAsia="Arial" w:hAnsi="Arial" w:cs="Arial"/>
          <w:szCs w:val="22"/>
        </w:rPr>
        <w:t xml:space="preserve">La autorización </w:t>
      </w:r>
      <w:r w:rsidR="0094654C">
        <w:rPr>
          <w:rFonts w:ascii="Arial" w:eastAsia="Arial" w:hAnsi="Arial" w:cs="Arial"/>
          <w:szCs w:val="22"/>
        </w:rPr>
        <w:t>debe estar</w:t>
      </w:r>
      <w:r w:rsidRPr="004241D8">
        <w:rPr>
          <w:rFonts w:ascii="Arial" w:eastAsia="Arial" w:hAnsi="Arial" w:cs="Arial"/>
          <w:szCs w:val="22"/>
        </w:rPr>
        <w:t xml:space="preserve"> condicionada a la demostración de seguridad y eficacia en ensayos clínicos controlados.</w:t>
      </w:r>
    </w:p>
    <w:p w:rsidR="004241D8" w:rsidRPr="004241D8" w:rsidRDefault="004241D8" w:rsidP="004241D8">
      <w:pPr>
        <w:spacing w:after="120"/>
        <w:jc w:val="both"/>
        <w:rPr>
          <w:rFonts w:ascii="Arial" w:eastAsia="Arial" w:hAnsi="Arial" w:cs="Arial"/>
          <w:szCs w:val="22"/>
        </w:rPr>
      </w:pPr>
      <w:r w:rsidRPr="004241D8">
        <w:rPr>
          <w:rFonts w:ascii="Arial" w:eastAsia="Arial" w:hAnsi="Arial" w:cs="Arial"/>
          <w:szCs w:val="22"/>
        </w:rPr>
        <w:t xml:space="preserve">El cumplimiento de GMP, GLP y GCP </w:t>
      </w:r>
      <w:r w:rsidR="0094654C">
        <w:rPr>
          <w:rFonts w:ascii="Arial" w:eastAsia="Arial" w:hAnsi="Arial" w:cs="Arial"/>
          <w:szCs w:val="22"/>
        </w:rPr>
        <w:t>es</w:t>
      </w:r>
      <w:r w:rsidRPr="004241D8">
        <w:rPr>
          <w:rFonts w:ascii="Arial" w:eastAsia="Arial" w:hAnsi="Arial" w:cs="Arial"/>
          <w:szCs w:val="22"/>
        </w:rPr>
        <w:t xml:space="preserve"> obligatorio:</w:t>
      </w:r>
    </w:p>
    <w:p w:rsidR="004241D8" w:rsidRPr="004241D8" w:rsidRDefault="004241D8" w:rsidP="004241D8">
      <w:pPr>
        <w:spacing w:after="120"/>
        <w:jc w:val="both"/>
        <w:rPr>
          <w:rFonts w:ascii="Arial" w:eastAsia="Arial" w:hAnsi="Arial" w:cs="Arial"/>
          <w:szCs w:val="22"/>
        </w:rPr>
      </w:pPr>
      <w:r w:rsidRPr="004241D8">
        <w:rPr>
          <w:rFonts w:ascii="Arial" w:eastAsia="Arial" w:hAnsi="Arial" w:cs="Arial"/>
          <w:szCs w:val="22"/>
        </w:rPr>
        <w:t>GMP para asegurar fabricación bajo sistemas de gestión de calidad y control de cambios.</w:t>
      </w:r>
    </w:p>
    <w:p w:rsidR="004241D8" w:rsidRPr="004241D8" w:rsidRDefault="004241D8" w:rsidP="004241D8">
      <w:pPr>
        <w:spacing w:after="120"/>
        <w:jc w:val="both"/>
        <w:rPr>
          <w:rFonts w:ascii="Arial" w:eastAsia="Arial" w:hAnsi="Arial" w:cs="Arial"/>
          <w:szCs w:val="22"/>
        </w:rPr>
      </w:pPr>
      <w:r w:rsidRPr="004241D8">
        <w:rPr>
          <w:rFonts w:ascii="Arial" w:eastAsia="Arial" w:hAnsi="Arial" w:cs="Arial"/>
          <w:szCs w:val="22"/>
        </w:rPr>
        <w:t>GLP en estudios no clínicos, cuando sea factible, para garantizar comprensión y mitigación de riesgos antes del uso en humanos.</w:t>
      </w:r>
    </w:p>
    <w:p w:rsidR="004241D8" w:rsidRPr="004241D8" w:rsidRDefault="004241D8" w:rsidP="004241D8">
      <w:pPr>
        <w:spacing w:after="120"/>
        <w:jc w:val="both"/>
        <w:rPr>
          <w:rFonts w:ascii="Arial" w:eastAsia="Arial" w:hAnsi="Arial" w:cs="Arial"/>
          <w:szCs w:val="22"/>
        </w:rPr>
      </w:pPr>
      <w:r w:rsidRPr="004241D8">
        <w:rPr>
          <w:rFonts w:ascii="Arial" w:eastAsia="Arial" w:hAnsi="Arial" w:cs="Arial"/>
          <w:szCs w:val="22"/>
        </w:rPr>
        <w:t>GCP en todos los estudios clínicos, con diseño y control adecuados, y seguimiento prolongado de los pacientes.</w:t>
      </w:r>
    </w:p>
    <w:p w:rsidR="004241D8" w:rsidRPr="004241D8" w:rsidRDefault="004241D8" w:rsidP="004241D8">
      <w:pPr>
        <w:spacing w:after="120"/>
        <w:jc w:val="both"/>
        <w:rPr>
          <w:rFonts w:ascii="Arial" w:eastAsia="Arial" w:hAnsi="Arial" w:cs="Arial"/>
          <w:szCs w:val="22"/>
        </w:rPr>
      </w:pPr>
      <w:r w:rsidRPr="004241D8">
        <w:rPr>
          <w:rFonts w:ascii="Arial" w:eastAsia="Arial" w:hAnsi="Arial" w:cs="Arial"/>
          <w:szCs w:val="22"/>
        </w:rPr>
        <w:t xml:space="preserve">Se </w:t>
      </w:r>
      <w:r w:rsidR="0094654C">
        <w:rPr>
          <w:rFonts w:ascii="Arial" w:eastAsia="Arial" w:hAnsi="Arial" w:cs="Arial"/>
          <w:szCs w:val="22"/>
        </w:rPr>
        <w:t>debe implementar</w:t>
      </w:r>
      <w:r w:rsidRPr="004241D8">
        <w:rPr>
          <w:rFonts w:ascii="Arial" w:eastAsia="Arial" w:hAnsi="Arial" w:cs="Arial"/>
          <w:szCs w:val="22"/>
        </w:rPr>
        <w:t xml:space="preserve"> un sistema de farmacovigilancia específico para </w:t>
      </w:r>
      <w:proofErr w:type="spellStart"/>
      <w:r w:rsidRPr="004241D8">
        <w:rPr>
          <w:rFonts w:ascii="Arial" w:eastAsia="Arial" w:hAnsi="Arial" w:cs="Arial"/>
          <w:szCs w:val="22"/>
        </w:rPr>
        <w:t>ATMPs</w:t>
      </w:r>
      <w:proofErr w:type="spellEnd"/>
      <w:r w:rsidRPr="004241D8">
        <w:rPr>
          <w:rFonts w:ascii="Arial" w:eastAsia="Arial" w:hAnsi="Arial" w:cs="Arial"/>
          <w:szCs w:val="22"/>
        </w:rPr>
        <w:t>, en el cual todos los titulares de autorización debe</w:t>
      </w:r>
      <w:r w:rsidR="0094654C">
        <w:rPr>
          <w:rFonts w:ascii="Arial" w:eastAsia="Arial" w:hAnsi="Arial" w:cs="Arial"/>
          <w:szCs w:val="22"/>
        </w:rPr>
        <w:t>n</w:t>
      </w:r>
      <w:r w:rsidRPr="004241D8">
        <w:rPr>
          <w:rFonts w:ascii="Arial" w:eastAsia="Arial" w:hAnsi="Arial" w:cs="Arial"/>
          <w:szCs w:val="22"/>
        </w:rPr>
        <w:t xml:space="preserve"> participar, incluyendo la recopilación y comunicación de sospechas de reacciones adversas y la realización de estudios </w:t>
      </w:r>
      <w:proofErr w:type="spellStart"/>
      <w:r w:rsidRPr="004241D8">
        <w:rPr>
          <w:rFonts w:ascii="Arial" w:eastAsia="Arial" w:hAnsi="Arial" w:cs="Arial"/>
          <w:szCs w:val="22"/>
        </w:rPr>
        <w:t>post-autorización</w:t>
      </w:r>
      <w:proofErr w:type="spellEnd"/>
      <w:r w:rsidRPr="004241D8">
        <w:rPr>
          <w:rFonts w:ascii="Arial" w:eastAsia="Arial" w:hAnsi="Arial" w:cs="Arial"/>
          <w:szCs w:val="22"/>
        </w:rPr>
        <w:t>.</w:t>
      </w:r>
    </w:p>
    <w:p w:rsidR="00672044" w:rsidRDefault="004241D8" w:rsidP="004241D8">
      <w:pPr>
        <w:spacing w:after="120"/>
        <w:jc w:val="both"/>
        <w:rPr>
          <w:rFonts w:ascii="Arial" w:eastAsia="Arial" w:hAnsi="Arial" w:cs="Arial"/>
          <w:szCs w:val="22"/>
        </w:rPr>
      </w:pPr>
      <w:r w:rsidRPr="004241D8">
        <w:rPr>
          <w:rFonts w:ascii="Arial" w:eastAsia="Arial" w:hAnsi="Arial" w:cs="Arial"/>
          <w:szCs w:val="22"/>
        </w:rPr>
        <w:lastRenderedPageBreak/>
        <w:t>Este marco regulatorio busca minimizar el riesgo de introducir terapias no probadas, asegurar la protección de los pacientes y garantizar que solo se autoricen productos respaldados por evidencia científica suficiente.</w:t>
      </w:r>
    </w:p>
    <w:p w:rsidR="004241D8" w:rsidRPr="00672044" w:rsidRDefault="004241D8" w:rsidP="004241D8">
      <w:pPr>
        <w:spacing w:after="120"/>
        <w:jc w:val="both"/>
        <w:rPr>
          <w:rFonts w:ascii="Arial" w:eastAsia="Arial" w:hAnsi="Arial" w:cs="Arial"/>
          <w:szCs w:val="22"/>
        </w:rPr>
      </w:pPr>
    </w:p>
    <w:p w:rsidR="00ED3CD0" w:rsidRDefault="00D253EA" w:rsidP="006047DD">
      <w:pPr>
        <w:spacing w:after="120"/>
        <w:jc w:val="both"/>
        <w:rPr>
          <w:rFonts w:ascii="Arial" w:eastAsia="Arial" w:hAnsi="Arial" w:cs="Arial"/>
          <w:b/>
          <w:szCs w:val="22"/>
          <w:u w:val="single"/>
        </w:rPr>
      </w:pPr>
      <w:r>
        <w:rPr>
          <w:rFonts w:ascii="Arial" w:eastAsia="Arial" w:hAnsi="Arial" w:cs="Arial"/>
          <w:b/>
          <w:szCs w:val="22"/>
          <w:u w:val="single"/>
        </w:rPr>
        <w:t>4</w:t>
      </w:r>
      <w:r w:rsidR="00F16F89">
        <w:rPr>
          <w:rFonts w:ascii="Arial" w:eastAsia="Arial" w:hAnsi="Arial" w:cs="Arial"/>
          <w:b/>
          <w:szCs w:val="22"/>
          <w:u w:val="single"/>
        </w:rPr>
        <w:t>.</w:t>
      </w:r>
      <w:r w:rsidR="00250023" w:rsidRPr="006B6259">
        <w:rPr>
          <w:rFonts w:ascii="Arial" w:eastAsia="Arial" w:hAnsi="Arial" w:cs="Arial"/>
          <w:b/>
          <w:szCs w:val="22"/>
          <w:u w:val="single"/>
        </w:rPr>
        <w:t xml:space="preserve"> CLASIFICACIÓN REGULATORIA</w:t>
      </w:r>
    </w:p>
    <w:p w:rsidR="00B80519" w:rsidRPr="00672044" w:rsidRDefault="00D253EA" w:rsidP="00CC05E3">
      <w:pPr>
        <w:spacing w:after="120"/>
        <w:jc w:val="both"/>
        <w:rPr>
          <w:rFonts w:ascii="Arial" w:eastAsia="Arial" w:hAnsi="Arial" w:cs="Arial"/>
          <w:b/>
          <w:szCs w:val="22"/>
        </w:rPr>
      </w:pPr>
      <w:r w:rsidRPr="00D253EA">
        <w:rPr>
          <w:rFonts w:ascii="Arial" w:eastAsia="Arial" w:hAnsi="Arial" w:cs="Arial"/>
          <w:b/>
          <w:szCs w:val="22"/>
        </w:rPr>
        <w:t>4.</w:t>
      </w:r>
      <w:r w:rsidR="00CC05E3" w:rsidRPr="00D253EA">
        <w:rPr>
          <w:rFonts w:ascii="Arial" w:eastAsia="Arial" w:hAnsi="Arial" w:cs="Arial"/>
          <w:b/>
          <w:szCs w:val="22"/>
        </w:rPr>
        <w:t>1</w:t>
      </w:r>
      <w:r w:rsidR="00CC05E3" w:rsidRPr="00672044">
        <w:rPr>
          <w:rFonts w:ascii="Arial" w:eastAsia="Arial" w:hAnsi="Arial" w:cs="Arial"/>
          <w:b/>
          <w:szCs w:val="22"/>
        </w:rPr>
        <w:t>. Consideraciones generales sobre la clasificación</w:t>
      </w:r>
    </w:p>
    <w:p w:rsidR="00672044" w:rsidRPr="00672044" w:rsidRDefault="00672044" w:rsidP="00672044">
      <w:pPr>
        <w:spacing w:after="120"/>
        <w:jc w:val="both"/>
        <w:rPr>
          <w:rFonts w:ascii="Arial" w:eastAsia="Arial" w:hAnsi="Arial" w:cs="Arial"/>
          <w:szCs w:val="22"/>
        </w:rPr>
      </w:pPr>
      <w:r w:rsidRPr="00672044">
        <w:rPr>
          <w:rFonts w:ascii="Arial" w:eastAsia="Arial" w:hAnsi="Arial" w:cs="Arial"/>
          <w:szCs w:val="22"/>
        </w:rPr>
        <w:t>La correcta clasificación de un medicamento de terapias avanzadas constituye un elemento clave para determinar el marco regulatorio aplicable y los requisitos de calidad, no clínicos y clínicos correspondientes.</w:t>
      </w:r>
    </w:p>
    <w:p w:rsidR="00672044" w:rsidRPr="00672044" w:rsidRDefault="00672044" w:rsidP="00672044">
      <w:pPr>
        <w:spacing w:after="120"/>
        <w:jc w:val="both"/>
        <w:rPr>
          <w:rFonts w:ascii="Arial" w:eastAsia="Arial" w:hAnsi="Arial" w:cs="Arial"/>
          <w:szCs w:val="22"/>
        </w:rPr>
      </w:pPr>
      <w:r w:rsidRPr="00672044">
        <w:rPr>
          <w:rFonts w:ascii="Arial" w:eastAsia="Arial" w:hAnsi="Arial" w:cs="Arial"/>
          <w:szCs w:val="22"/>
        </w:rPr>
        <w:t>La clasificación debería basarse en una evaluación científica integral del producto, teniendo en cuenta su composición, su mecanismo de acción principal, el grado de manipulación celular o genética y su uso clínico previsto.</w:t>
      </w:r>
    </w:p>
    <w:p w:rsidR="00CC05E3" w:rsidRPr="00672044" w:rsidRDefault="00672044" w:rsidP="00672044">
      <w:pPr>
        <w:spacing w:after="120"/>
        <w:jc w:val="both"/>
        <w:rPr>
          <w:rFonts w:ascii="Arial" w:eastAsia="Arial" w:hAnsi="Arial" w:cs="Arial"/>
          <w:szCs w:val="22"/>
        </w:rPr>
      </w:pPr>
      <w:r w:rsidRPr="00672044">
        <w:rPr>
          <w:rFonts w:ascii="Arial" w:eastAsia="Arial" w:hAnsi="Arial" w:cs="Arial"/>
          <w:szCs w:val="22"/>
        </w:rPr>
        <w:t xml:space="preserve">La manipulación mínima y el uso homólogo son conceptos adoptados por numerosas autoridades regulatorias cuando se distingue entre </w:t>
      </w:r>
      <w:proofErr w:type="spellStart"/>
      <w:r w:rsidRPr="00672044">
        <w:rPr>
          <w:rFonts w:ascii="Arial" w:eastAsia="Arial" w:hAnsi="Arial" w:cs="Arial"/>
          <w:szCs w:val="22"/>
        </w:rPr>
        <w:t>HCTs</w:t>
      </w:r>
      <w:proofErr w:type="spellEnd"/>
      <w:r w:rsidRPr="00672044">
        <w:rPr>
          <w:rFonts w:ascii="Arial" w:eastAsia="Arial" w:hAnsi="Arial" w:cs="Arial"/>
          <w:szCs w:val="22"/>
        </w:rPr>
        <w:t xml:space="preserve"> y </w:t>
      </w:r>
      <w:proofErr w:type="spellStart"/>
      <w:r w:rsidRPr="00672044">
        <w:rPr>
          <w:rFonts w:ascii="Arial" w:eastAsia="Arial" w:hAnsi="Arial" w:cs="Arial"/>
          <w:szCs w:val="22"/>
        </w:rPr>
        <w:t>ATMPs</w:t>
      </w:r>
      <w:proofErr w:type="spellEnd"/>
      <w:r w:rsidRPr="00672044">
        <w:rPr>
          <w:rFonts w:ascii="Arial" w:eastAsia="Arial" w:hAnsi="Arial" w:cs="Arial"/>
          <w:szCs w:val="22"/>
        </w:rPr>
        <w:t xml:space="preserve">. Se consideran </w:t>
      </w:r>
      <w:proofErr w:type="spellStart"/>
      <w:r w:rsidRPr="00672044">
        <w:rPr>
          <w:rFonts w:ascii="Arial" w:eastAsia="Arial" w:hAnsi="Arial" w:cs="Arial"/>
          <w:szCs w:val="22"/>
        </w:rPr>
        <w:t>HCTs</w:t>
      </w:r>
      <w:proofErr w:type="spellEnd"/>
      <w:r w:rsidRPr="00672044">
        <w:rPr>
          <w:rFonts w:ascii="Arial" w:eastAsia="Arial" w:hAnsi="Arial" w:cs="Arial"/>
          <w:szCs w:val="22"/>
        </w:rPr>
        <w:t xml:space="preserve"> aquellas células y tejidos que se recuperan y que únicamente se someten a manipulación mínima (procesamientos simples como lavado o fraccionamiento) y que se utilizan para cumplir la misma función esencial en el receptor que desempeñan en el donante (uso homólogo).</w:t>
      </w:r>
    </w:p>
    <w:p w:rsidR="00CC05E3" w:rsidRPr="008C2910" w:rsidRDefault="00B03D22" w:rsidP="00CC05E3">
      <w:pPr>
        <w:spacing w:after="120"/>
        <w:jc w:val="both"/>
        <w:rPr>
          <w:rFonts w:ascii="Arial" w:eastAsia="Arial" w:hAnsi="Arial" w:cs="Arial"/>
          <w:b/>
          <w:szCs w:val="22"/>
        </w:rPr>
      </w:pPr>
      <w:r>
        <w:rPr>
          <w:rFonts w:ascii="Arial" w:eastAsia="Arial" w:hAnsi="Arial" w:cs="Arial"/>
          <w:b/>
          <w:szCs w:val="22"/>
        </w:rPr>
        <w:t>4.</w:t>
      </w:r>
      <w:r w:rsidR="00CC05E3" w:rsidRPr="008C2910">
        <w:rPr>
          <w:rFonts w:ascii="Arial" w:eastAsia="Arial" w:hAnsi="Arial" w:cs="Arial"/>
          <w:b/>
          <w:szCs w:val="22"/>
        </w:rPr>
        <w:t xml:space="preserve">2. Clasificación como medicamento de terapia avanzada </w:t>
      </w:r>
    </w:p>
    <w:p w:rsidR="00672044" w:rsidRPr="008C2910" w:rsidRDefault="00672044" w:rsidP="00672044">
      <w:pPr>
        <w:spacing w:after="120"/>
        <w:jc w:val="both"/>
        <w:rPr>
          <w:rFonts w:ascii="Arial" w:eastAsia="Arial" w:hAnsi="Arial" w:cs="Arial"/>
          <w:szCs w:val="22"/>
        </w:rPr>
      </w:pPr>
      <w:r w:rsidRPr="008C2910">
        <w:rPr>
          <w:rFonts w:ascii="Arial" w:eastAsia="Arial" w:hAnsi="Arial" w:cs="Arial"/>
          <w:szCs w:val="22"/>
        </w:rPr>
        <w:t>Un producto debería considerarse como medicamento de terapia avanzada cuando cumpla con las definiciones establecidas en el glosario de la presente guía.</w:t>
      </w:r>
    </w:p>
    <w:p w:rsidR="00672044" w:rsidRPr="008C2910" w:rsidRDefault="00672044" w:rsidP="00672044">
      <w:pPr>
        <w:spacing w:after="120"/>
        <w:jc w:val="both"/>
        <w:rPr>
          <w:rFonts w:ascii="Arial" w:eastAsia="Arial" w:hAnsi="Arial" w:cs="Arial"/>
          <w:szCs w:val="22"/>
        </w:rPr>
      </w:pPr>
      <w:r w:rsidRPr="008C2910">
        <w:rPr>
          <w:rFonts w:ascii="Arial" w:eastAsia="Arial" w:hAnsi="Arial" w:cs="Arial"/>
          <w:szCs w:val="22"/>
        </w:rPr>
        <w:t>En aquellos casos en los que un producto pueda situarse en el límite entre distintas categorías regulatorias (por ejemplo, entre medicamentos biológicos convencionales, dispositivos médicos o productos de terapias avanzadas), la clasificación debería basarse en el mecanismo de acción principal y en la contribución relativa de cada componente a la actividad terapéutica.</w:t>
      </w:r>
    </w:p>
    <w:p w:rsidR="00672044" w:rsidRPr="008C2910" w:rsidRDefault="00672044" w:rsidP="00672044">
      <w:pPr>
        <w:spacing w:after="120"/>
        <w:jc w:val="both"/>
        <w:rPr>
          <w:rFonts w:ascii="Arial" w:eastAsia="Arial" w:hAnsi="Arial" w:cs="Arial"/>
          <w:szCs w:val="22"/>
        </w:rPr>
      </w:pPr>
      <w:r w:rsidRPr="008C2910">
        <w:rPr>
          <w:rFonts w:ascii="Arial" w:eastAsia="Arial" w:hAnsi="Arial" w:cs="Arial"/>
          <w:szCs w:val="22"/>
        </w:rPr>
        <w:t>Resulta útil considerar los productos de terapia celular, tisular y génica como pertenecientes a dos grandes categorías:</w:t>
      </w:r>
    </w:p>
    <w:p w:rsidR="00672044" w:rsidRPr="008C2910" w:rsidRDefault="00672044" w:rsidP="00672044">
      <w:pPr>
        <w:spacing w:after="120"/>
        <w:jc w:val="both"/>
        <w:rPr>
          <w:rFonts w:ascii="Arial" w:eastAsia="Arial" w:hAnsi="Arial" w:cs="Arial"/>
          <w:szCs w:val="22"/>
        </w:rPr>
      </w:pPr>
      <w:proofErr w:type="spellStart"/>
      <w:r w:rsidRPr="008C2910">
        <w:rPr>
          <w:rFonts w:ascii="Arial" w:eastAsia="Arial" w:hAnsi="Arial" w:cs="Arial"/>
          <w:szCs w:val="22"/>
        </w:rPr>
        <w:t>HCTs</w:t>
      </w:r>
      <w:proofErr w:type="spellEnd"/>
      <w:r w:rsidRPr="008C2910">
        <w:rPr>
          <w:rFonts w:ascii="Arial" w:eastAsia="Arial" w:hAnsi="Arial" w:cs="Arial"/>
          <w:szCs w:val="22"/>
        </w:rPr>
        <w:t xml:space="preserve"> – donde el procesamiento mínimo y el uso homólogo introducen menos incertidumbres en el perfil de riesgo.</w:t>
      </w:r>
    </w:p>
    <w:p w:rsidR="00672044" w:rsidRPr="008C2910" w:rsidRDefault="00672044" w:rsidP="00672044">
      <w:pPr>
        <w:spacing w:after="120"/>
        <w:jc w:val="both"/>
        <w:rPr>
          <w:rFonts w:ascii="Arial" w:eastAsia="Arial" w:hAnsi="Arial" w:cs="Arial"/>
          <w:szCs w:val="22"/>
        </w:rPr>
      </w:pPr>
      <w:proofErr w:type="spellStart"/>
      <w:r w:rsidRPr="008C2910">
        <w:rPr>
          <w:rFonts w:ascii="Arial" w:eastAsia="Arial" w:hAnsi="Arial" w:cs="Arial"/>
          <w:szCs w:val="22"/>
        </w:rPr>
        <w:t>ATMPs</w:t>
      </w:r>
      <w:proofErr w:type="spellEnd"/>
      <w:r w:rsidRPr="008C2910">
        <w:rPr>
          <w:rFonts w:ascii="Arial" w:eastAsia="Arial" w:hAnsi="Arial" w:cs="Arial"/>
          <w:szCs w:val="22"/>
        </w:rPr>
        <w:t xml:space="preserve"> – que requieren procesos de fabricación complejos o que utilizan células para funciones distintas a las esenciales, introduciendo mayor incertidumbre en el perfil de riesgo.</w:t>
      </w:r>
    </w:p>
    <w:p w:rsidR="00672044" w:rsidRPr="008C2910" w:rsidRDefault="00672044" w:rsidP="00672044">
      <w:pPr>
        <w:spacing w:after="120"/>
        <w:jc w:val="both"/>
        <w:rPr>
          <w:rFonts w:ascii="Arial" w:eastAsia="Arial" w:hAnsi="Arial" w:cs="Arial"/>
          <w:szCs w:val="22"/>
        </w:rPr>
      </w:pPr>
      <w:r w:rsidRPr="008C2910">
        <w:rPr>
          <w:rFonts w:ascii="Arial" w:eastAsia="Arial" w:hAnsi="Arial" w:cs="Arial"/>
          <w:szCs w:val="22"/>
        </w:rPr>
        <w:lastRenderedPageBreak/>
        <w:t>Además, la OMS propone un conjunto de preguntas fundamentales para determinar la categoría:</w:t>
      </w:r>
    </w:p>
    <w:p w:rsidR="00672044" w:rsidRPr="008C2910" w:rsidRDefault="00672044" w:rsidP="00672044">
      <w:pPr>
        <w:spacing w:after="120"/>
        <w:jc w:val="both"/>
        <w:rPr>
          <w:rFonts w:ascii="Arial" w:eastAsia="Arial" w:hAnsi="Arial" w:cs="Arial"/>
          <w:szCs w:val="22"/>
        </w:rPr>
      </w:pPr>
      <w:r w:rsidRPr="008C2910">
        <w:rPr>
          <w:rFonts w:ascii="Arial" w:eastAsia="Arial" w:hAnsi="Arial" w:cs="Arial"/>
          <w:szCs w:val="22"/>
        </w:rPr>
        <w:t>¿El producto es una terapia génica y/o incluye células genéticamente modificadas?</w:t>
      </w:r>
    </w:p>
    <w:p w:rsidR="00672044" w:rsidRPr="008C2910" w:rsidRDefault="00672044" w:rsidP="00672044">
      <w:pPr>
        <w:spacing w:after="120"/>
        <w:jc w:val="both"/>
        <w:rPr>
          <w:rFonts w:ascii="Arial" w:eastAsia="Arial" w:hAnsi="Arial" w:cs="Arial"/>
          <w:szCs w:val="22"/>
        </w:rPr>
      </w:pPr>
      <w:r w:rsidRPr="008C2910">
        <w:rPr>
          <w:rFonts w:ascii="Arial" w:eastAsia="Arial" w:hAnsi="Arial" w:cs="Arial"/>
          <w:szCs w:val="22"/>
        </w:rPr>
        <w:t>¿El producto está destinado a transfusión sanguínea o trasplante de órganos?</w:t>
      </w:r>
    </w:p>
    <w:p w:rsidR="00672044" w:rsidRPr="008C2910" w:rsidRDefault="00672044" w:rsidP="00672044">
      <w:pPr>
        <w:spacing w:after="120"/>
        <w:jc w:val="both"/>
        <w:rPr>
          <w:rFonts w:ascii="Arial" w:eastAsia="Arial" w:hAnsi="Arial" w:cs="Arial"/>
          <w:szCs w:val="22"/>
        </w:rPr>
      </w:pPr>
      <w:r w:rsidRPr="008C2910">
        <w:rPr>
          <w:rFonts w:ascii="Arial" w:eastAsia="Arial" w:hAnsi="Arial" w:cs="Arial"/>
          <w:szCs w:val="22"/>
        </w:rPr>
        <w:t>¿El producto está mínimamente manipulado?</w:t>
      </w:r>
    </w:p>
    <w:p w:rsidR="00672044" w:rsidRPr="008C2910" w:rsidRDefault="00672044" w:rsidP="00672044">
      <w:pPr>
        <w:spacing w:after="120"/>
        <w:jc w:val="both"/>
        <w:rPr>
          <w:rFonts w:ascii="Arial" w:eastAsia="Arial" w:hAnsi="Arial" w:cs="Arial"/>
          <w:szCs w:val="22"/>
        </w:rPr>
      </w:pPr>
      <w:r w:rsidRPr="008C2910">
        <w:rPr>
          <w:rFonts w:ascii="Arial" w:eastAsia="Arial" w:hAnsi="Arial" w:cs="Arial"/>
          <w:szCs w:val="22"/>
        </w:rPr>
        <w:t>¿El producto está destinado a un uso homólogo?</w:t>
      </w:r>
    </w:p>
    <w:p w:rsidR="00CC05E3" w:rsidRPr="008C2910" w:rsidRDefault="00B03D22" w:rsidP="00672044">
      <w:pPr>
        <w:spacing w:after="120"/>
        <w:jc w:val="both"/>
        <w:rPr>
          <w:rFonts w:ascii="Arial" w:eastAsia="Arial" w:hAnsi="Arial" w:cs="Arial"/>
          <w:b/>
          <w:szCs w:val="22"/>
        </w:rPr>
      </w:pPr>
      <w:r>
        <w:rPr>
          <w:rFonts w:ascii="Arial" w:eastAsia="Arial" w:hAnsi="Arial" w:cs="Arial"/>
          <w:b/>
          <w:szCs w:val="22"/>
        </w:rPr>
        <w:t>4.</w:t>
      </w:r>
      <w:r w:rsidR="00CC05E3" w:rsidRPr="008C2910">
        <w:rPr>
          <w:rFonts w:ascii="Arial" w:eastAsia="Arial" w:hAnsi="Arial" w:cs="Arial"/>
          <w:b/>
          <w:szCs w:val="22"/>
        </w:rPr>
        <w:t>3. Productos frontera y combinados</w:t>
      </w:r>
    </w:p>
    <w:p w:rsidR="008C2910" w:rsidRPr="008C2910" w:rsidRDefault="008C2910" w:rsidP="008C2910">
      <w:pPr>
        <w:spacing w:after="120"/>
        <w:jc w:val="both"/>
        <w:rPr>
          <w:rFonts w:ascii="Arial" w:eastAsia="Arial" w:hAnsi="Arial" w:cs="Arial"/>
          <w:szCs w:val="22"/>
        </w:rPr>
      </w:pPr>
      <w:r w:rsidRPr="008C2910">
        <w:rPr>
          <w:rFonts w:ascii="Arial" w:eastAsia="Arial" w:hAnsi="Arial" w:cs="Arial"/>
          <w:szCs w:val="22"/>
        </w:rPr>
        <w:t>En el caso de productos que incorporen componentes celulares, genéticos y/o dispositivos médicos, la evaluación regulatoria debería considerar el producto en su conjunto.</w:t>
      </w:r>
    </w:p>
    <w:p w:rsidR="008C2910" w:rsidRPr="008C2910" w:rsidRDefault="008C2910" w:rsidP="008C2910">
      <w:pPr>
        <w:spacing w:after="120"/>
        <w:jc w:val="both"/>
        <w:rPr>
          <w:rFonts w:ascii="Arial" w:eastAsia="Arial" w:hAnsi="Arial" w:cs="Arial"/>
          <w:szCs w:val="22"/>
        </w:rPr>
      </w:pPr>
      <w:r w:rsidRPr="008C2910">
        <w:rPr>
          <w:rFonts w:ascii="Arial" w:eastAsia="Arial" w:hAnsi="Arial" w:cs="Arial"/>
          <w:szCs w:val="22"/>
        </w:rPr>
        <w:t>Cuando un producto de terapia avanzada incorpore un dispositivo médico como parte integrante, la interacción entre ambos componentes y su impacto sobre la calidad, la seguridad y la eficacia deberían evaluarse de manera integrada.</w:t>
      </w:r>
    </w:p>
    <w:p w:rsidR="008C2910" w:rsidRPr="008C2910" w:rsidRDefault="008C2910" w:rsidP="008C2910">
      <w:pPr>
        <w:spacing w:after="120"/>
        <w:jc w:val="both"/>
        <w:rPr>
          <w:rFonts w:ascii="Arial" w:eastAsia="Arial" w:hAnsi="Arial" w:cs="Arial"/>
          <w:szCs w:val="22"/>
        </w:rPr>
      </w:pPr>
      <w:r w:rsidRPr="008C2910">
        <w:rPr>
          <w:rFonts w:ascii="Arial" w:eastAsia="Arial" w:hAnsi="Arial" w:cs="Arial"/>
          <w:szCs w:val="22"/>
        </w:rPr>
        <w:t xml:space="preserve">En el caso de </w:t>
      </w:r>
      <w:proofErr w:type="spellStart"/>
      <w:r w:rsidRPr="008C2910">
        <w:rPr>
          <w:rFonts w:ascii="Arial" w:eastAsia="Arial" w:hAnsi="Arial" w:cs="Arial"/>
          <w:szCs w:val="22"/>
        </w:rPr>
        <w:t>ATMPs</w:t>
      </w:r>
      <w:proofErr w:type="spellEnd"/>
      <w:r w:rsidRPr="008C2910">
        <w:rPr>
          <w:rFonts w:ascii="Arial" w:eastAsia="Arial" w:hAnsi="Arial" w:cs="Arial"/>
          <w:szCs w:val="22"/>
        </w:rPr>
        <w:t xml:space="preserve"> basados en vectores virales replicativos y no replicativos, virus viables (por ejemplo, virus </w:t>
      </w:r>
      <w:proofErr w:type="spellStart"/>
      <w:r w:rsidRPr="008C2910">
        <w:rPr>
          <w:rFonts w:ascii="Arial" w:eastAsia="Arial" w:hAnsi="Arial" w:cs="Arial"/>
          <w:szCs w:val="22"/>
        </w:rPr>
        <w:t>oncolíticos</w:t>
      </w:r>
      <w:proofErr w:type="spellEnd"/>
      <w:r w:rsidRPr="008C2910">
        <w:rPr>
          <w:rFonts w:ascii="Arial" w:eastAsia="Arial" w:hAnsi="Arial" w:cs="Arial"/>
          <w:szCs w:val="22"/>
        </w:rPr>
        <w:t>) u otros agentes potencialmente infecciosos, deben incluirse consideraciones específicas para abordar la posibilidad de liberación al medio ambiente y la consiguiente inducción de enfermedad en terceros. Estos productos deben someterse a una evaluación de riesgo ambiental para valorar los posibles efectos adversos derivados de su transmisión y/o liberación.</w:t>
      </w:r>
    </w:p>
    <w:p w:rsidR="00CC05E3" w:rsidRPr="008C2910" w:rsidRDefault="00B03D22" w:rsidP="008C2910">
      <w:pPr>
        <w:spacing w:after="120"/>
        <w:jc w:val="both"/>
        <w:rPr>
          <w:rFonts w:ascii="Arial" w:eastAsia="Arial" w:hAnsi="Arial" w:cs="Arial"/>
          <w:b/>
          <w:szCs w:val="22"/>
        </w:rPr>
      </w:pPr>
      <w:r>
        <w:rPr>
          <w:rFonts w:ascii="Arial" w:eastAsia="Arial" w:hAnsi="Arial" w:cs="Arial"/>
          <w:b/>
          <w:szCs w:val="22"/>
        </w:rPr>
        <w:t>4.</w:t>
      </w:r>
      <w:r w:rsidR="00B80519" w:rsidRPr="008C2910">
        <w:rPr>
          <w:rFonts w:ascii="Arial" w:eastAsia="Arial" w:hAnsi="Arial" w:cs="Arial"/>
          <w:b/>
          <w:szCs w:val="22"/>
        </w:rPr>
        <w:t>4</w:t>
      </w:r>
      <w:r w:rsidR="00CC05E3" w:rsidRPr="008C2910">
        <w:rPr>
          <w:rFonts w:ascii="Arial" w:eastAsia="Arial" w:hAnsi="Arial" w:cs="Arial"/>
          <w:b/>
          <w:szCs w:val="22"/>
        </w:rPr>
        <w:t xml:space="preserve">. Impacto de la clasificación en el desarrollo </w:t>
      </w:r>
    </w:p>
    <w:p w:rsidR="008C2910" w:rsidRPr="008C2910" w:rsidRDefault="008C2910" w:rsidP="008C2910">
      <w:pPr>
        <w:spacing w:after="120"/>
        <w:jc w:val="both"/>
        <w:rPr>
          <w:rFonts w:ascii="Arial" w:eastAsia="Arial" w:hAnsi="Arial" w:cs="Arial"/>
          <w:szCs w:val="22"/>
        </w:rPr>
      </w:pPr>
      <w:r w:rsidRPr="008C2910">
        <w:rPr>
          <w:rFonts w:ascii="Arial" w:eastAsia="Arial" w:hAnsi="Arial" w:cs="Arial"/>
          <w:szCs w:val="22"/>
        </w:rPr>
        <w:t>La clasificación de un producto como medicamento de terapia avanzada puede tener implicaciones relevantes sobre:</w:t>
      </w:r>
    </w:p>
    <w:p w:rsidR="008C2910" w:rsidRPr="008C2910" w:rsidRDefault="008C2910" w:rsidP="008C2910">
      <w:pPr>
        <w:spacing w:after="120"/>
        <w:jc w:val="both"/>
        <w:rPr>
          <w:rFonts w:ascii="Arial" w:eastAsia="Arial" w:hAnsi="Arial" w:cs="Arial"/>
          <w:szCs w:val="22"/>
        </w:rPr>
      </w:pPr>
      <w:r w:rsidRPr="008C2910">
        <w:rPr>
          <w:rFonts w:ascii="Arial" w:eastAsia="Arial" w:hAnsi="Arial" w:cs="Arial"/>
          <w:szCs w:val="22"/>
        </w:rPr>
        <w:t>• Los requisitos de calidad y fabricación;</w:t>
      </w:r>
    </w:p>
    <w:p w:rsidR="008C2910" w:rsidRPr="008C2910" w:rsidRDefault="008C2910" w:rsidP="008C2910">
      <w:pPr>
        <w:spacing w:after="120"/>
        <w:jc w:val="both"/>
        <w:rPr>
          <w:rFonts w:ascii="Arial" w:eastAsia="Arial" w:hAnsi="Arial" w:cs="Arial"/>
          <w:szCs w:val="22"/>
        </w:rPr>
      </w:pPr>
      <w:r w:rsidRPr="008C2910">
        <w:rPr>
          <w:rFonts w:ascii="Arial" w:eastAsia="Arial" w:hAnsi="Arial" w:cs="Arial"/>
          <w:szCs w:val="22"/>
        </w:rPr>
        <w:t>• El alcance de los estudios no clínicos;</w:t>
      </w:r>
    </w:p>
    <w:p w:rsidR="008C2910" w:rsidRPr="008C2910" w:rsidRDefault="008C2910" w:rsidP="008C2910">
      <w:pPr>
        <w:spacing w:after="120"/>
        <w:jc w:val="both"/>
        <w:rPr>
          <w:rFonts w:ascii="Arial" w:eastAsia="Arial" w:hAnsi="Arial" w:cs="Arial"/>
          <w:szCs w:val="22"/>
        </w:rPr>
      </w:pPr>
      <w:r w:rsidRPr="008C2910">
        <w:rPr>
          <w:rFonts w:ascii="Arial" w:eastAsia="Arial" w:hAnsi="Arial" w:cs="Arial"/>
          <w:szCs w:val="22"/>
        </w:rPr>
        <w:t>• El diseño del desarrollo clínico;</w:t>
      </w:r>
    </w:p>
    <w:p w:rsidR="008C2910" w:rsidRPr="008C2910" w:rsidRDefault="008C2910" w:rsidP="008C2910">
      <w:pPr>
        <w:spacing w:after="120"/>
        <w:jc w:val="both"/>
        <w:rPr>
          <w:rFonts w:ascii="Arial" w:eastAsia="Arial" w:hAnsi="Arial" w:cs="Arial"/>
          <w:szCs w:val="22"/>
        </w:rPr>
      </w:pPr>
      <w:r w:rsidRPr="008C2910">
        <w:rPr>
          <w:rFonts w:ascii="Arial" w:eastAsia="Arial" w:hAnsi="Arial" w:cs="Arial"/>
          <w:szCs w:val="22"/>
        </w:rPr>
        <w:t>• Las obligaciones de seguimiento de seguridad.</w:t>
      </w:r>
    </w:p>
    <w:p w:rsidR="00CC05E3" w:rsidRPr="008C2910" w:rsidRDefault="008C2910" w:rsidP="008C2910">
      <w:pPr>
        <w:spacing w:after="120"/>
        <w:jc w:val="both"/>
        <w:rPr>
          <w:rFonts w:ascii="Arial" w:eastAsia="Arial" w:hAnsi="Arial" w:cs="Arial"/>
          <w:szCs w:val="22"/>
        </w:rPr>
      </w:pPr>
      <w:r w:rsidRPr="008C2910">
        <w:rPr>
          <w:rFonts w:ascii="Arial" w:eastAsia="Arial" w:hAnsi="Arial" w:cs="Arial"/>
          <w:szCs w:val="22"/>
        </w:rPr>
        <w:t>Por lo tanto, la clasificación debería considerarse un proceso dinámico que puede revisarse a medida que se disponga de nueva información durante el desarrollo del producto.</w:t>
      </w:r>
    </w:p>
    <w:p w:rsidR="00CC05E3" w:rsidRPr="008C2910" w:rsidRDefault="00B03D22" w:rsidP="00CC05E3">
      <w:pPr>
        <w:spacing w:after="120"/>
        <w:jc w:val="both"/>
        <w:rPr>
          <w:rFonts w:ascii="Arial" w:eastAsia="Arial" w:hAnsi="Arial" w:cs="Arial"/>
          <w:b/>
          <w:szCs w:val="22"/>
        </w:rPr>
      </w:pPr>
      <w:r>
        <w:rPr>
          <w:rFonts w:ascii="Arial" w:eastAsia="Arial" w:hAnsi="Arial" w:cs="Arial"/>
          <w:b/>
          <w:szCs w:val="22"/>
        </w:rPr>
        <w:t>4.</w:t>
      </w:r>
      <w:r w:rsidR="00B80519" w:rsidRPr="008C2910">
        <w:rPr>
          <w:rFonts w:ascii="Arial" w:eastAsia="Arial" w:hAnsi="Arial" w:cs="Arial"/>
          <w:b/>
          <w:szCs w:val="22"/>
        </w:rPr>
        <w:t>5</w:t>
      </w:r>
      <w:r w:rsidR="00CC05E3" w:rsidRPr="008C2910">
        <w:rPr>
          <w:rFonts w:ascii="Arial" w:eastAsia="Arial" w:hAnsi="Arial" w:cs="Arial"/>
          <w:b/>
          <w:szCs w:val="22"/>
        </w:rPr>
        <w:t>. Documentación de la clasificación</w:t>
      </w:r>
    </w:p>
    <w:p w:rsidR="008C2910" w:rsidRPr="008C2910" w:rsidRDefault="008C2910" w:rsidP="008C2910">
      <w:pPr>
        <w:spacing w:after="120"/>
        <w:jc w:val="both"/>
        <w:rPr>
          <w:rFonts w:ascii="Arial" w:eastAsia="Arial" w:hAnsi="Arial" w:cs="Arial"/>
          <w:szCs w:val="22"/>
        </w:rPr>
      </w:pPr>
      <w:r w:rsidRPr="008C2910">
        <w:rPr>
          <w:rFonts w:ascii="Arial" w:eastAsia="Arial" w:hAnsi="Arial" w:cs="Arial"/>
          <w:szCs w:val="22"/>
        </w:rPr>
        <w:lastRenderedPageBreak/>
        <w:t>La justificación de la clasificación adoptada debería documentarse de manera clara y coherente en la documentación regulatoria correspondiente, incluyendo los elementos científicos que respaldan dicha clasificación.</w:t>
      </w:r>
    </w:p>
    <w:p w:rsidR="00680310" w:rsidRPr="007163C4" w:rsidRDefault="008C2910" w:rsidP="008C2910">
      <w:pPr>
        <w:spacing w:after="120"/>
        <w:jc w:val="both"/>
        <w:rPr>
          <w:rFonts w:ascii="Arial" w:eastAsia="Arial" w:hAnsi="Arial" w:cs="Arial"/>
          <w:color w:val="FF0000"/>
          <w:szCs w:val="22"/>
        </w:rPr>
      </w:pPr>
      <w:r w:rsidRPr="008C2910">
        <w:rPr>
          <w:rFonts w:ascii="Arial" w:eastAsia="Arial" w:hAnsi="Arial" w:cs="Arial"/>
          <w:szCs w:val="22"/>
        </w:rPr>
        <w:t xml:space="preserve">Aunque los </w:t>
      </w:r>
      <w:proofErr w:type="spellStart"/>
      <w:r w:rsidRPr="008C2910">
        <w:rPr>
          <w:rFonts w:ascii="Arial" w:eastAsia="Arial" w:hAnsi="Arial" w:cs="Arial"/>
          <w:szCs w:val="22"/>
        </w:rPr>
        <w:t>HCTs</w:t>
      </w:r>
      <w:proofErr w:type="spellEnd"/>
      <w:r w:rsidRPr="008C2910">
        <w:rPr>
          <w:rFonts w:ascii="Arial" w:eastAsia="Arial" w:hAnsi="Arial" w:cs="Arial"/>
          <w:szCs w:val="22"/>
        </w:rPr>
        <w:t xml:space="preserve"> normalmente no requieren autorización de comercialización, su donación, procesamiento y trasplante deben estar autorizados por autoridades competentes para garantizar calidad y seguridad, y proteger a donantes y receptores. Además, las instalaciones y establecimientos dedicados a la obtención y procesamiento de </w:t>
      </w:r>
      <w:proofErr w:type="spellStart"/>
      <w:r w:rsidRPr="008C2910">
        <w:rPr>
          <w:rFonts w:ascii="Arial" w:eastAsia="Arial" w:hAnsi="Arial" w:cs="Arial"/>
          <w:szCs w:val="22"/>
        </w:rPr>
        <w:t>HCTs</w:t>
      </w:r>
      <w:proofErr w:type="spellEnd"/>
      <w:r w:rsidRPr="008C2910">
        <w:rPr>
          <w:rFonts w:ascii="Arial" w:eastAsia="Arial" w:hAnsi="Arial" w:cs="Arial"/>
          <w:szCs w:val="22"/>
        </w:rPr>
        <w:t xml:space="preserve"> también pueden requerir aprobación o licencia por parte de las autoridades competentes. El uso de </w:t>
      </w:r>
      <w:proofErr w:type="spellStart"/>
      <w:r w:rsidRPr="008C2910">
        <w:rPr>
          <w:rFonts w:ascii="Arial" w:eastAsia="Arial" w:hAnsi="Arial" w:cs="Arial"/>
          <w:szCs w:val="22"/>
        </w:rPr>
        <w:t>HCTs</w:t>
      </w:r>
      <w:proofErr w:type="spellEnd"/>
      <w:r w:rsidRPr="008C2910">
        <w:rPr>
          <w:rFonts w:ascii="Arial" w:eastAsia="Arial" w:hAnsi="Arial" w:cs="Arial"/>
          <w:szCs w:val="22"/>
        </w:rPr>
        <w:t xml:space="preserve"> para el tratamiento de enfermedades o condiciones fisiológicas puede requerir la aprobación de un comité ético local o institucional, mientras que la información sobre la eficacia del tratamiento suele recopilarse mediante estudios clínicos y/o registros. Asimismo, cualquier cambio posterior a la aprobación en el procesamiento de </w:t>
      </w:r>
      <w:proofErr w:type="spellStart"/>
      <w:r w:rsidRPr="008C2910">
        <w:rPr>
          <w:rFonts w:ascii="Arial" w:eastAsia="Arial" w:hAnsi="Arial" w:cs="Arial"/>
          <w:szCs w:val="22"/>
        </w:rPr>
        <w:t>HCTs</w:t>
      </w:r>
      <w:proofErr w:type="spellEnd"/>
      <w:r w:rsidRPr="008C2910">
        <w:rPr>
          <w:rFonts w:ascii="Arial" w:eastAsia="Arial" w:hAnsi="Arial" w:cs="Arial"/>
          <w:szCs w:val="22"/>
        </w:rPr>
        <w:t xml:space="preserve"> puede requerir una evaluación de los riesgos asociados, junto con una valoración del impacto de dichos cambios en las especificaciones del producto y en los criterios de liberación.</w:t>
      </w:r>
    </w:p>
    <w:p w:rsidR="006B6259" w:rsidRPr="009C499E" w:rsidRDefault="003F19B1" w:rsidP="006047DD">
      <w:pPr>
        <w:spacing w:after="120"/>
        <w:jc w:val="both"/>
        <w:rPr>
          <w:rFonts w:ascii="Arial" w:eastAsia="Arial" w:hAnsi="Arial" w:cs="Arial"/>
          <w:b/>
          <w:szCs w:val="22"/>
          <w:u w:val="single"/>
        </w:rPr>
      </w:pPr>
      <w:r>
        <w:rPr>
          <w:rFonts w:ascii="Arial" w:eastAsia="Arial" w:hAnsi="Arial" w:cs="Arial"/>
          <w:b/>
          <w:szCs w:val="22"/>
          <w:u w:val="single"/>
        </w:rPr>
        <w:t>5</w:t>
      </w:r>
      <w:r w:rsidR="00F16F89">
        <w:rPr>
          <w:rFonts w:ascii="Arial" w:eastAsia="Arial" w:hAnsi="Arial" w:cs="Arial"/>
          <w:b/>
          <w:szCs w:val="22"/>
          <w:u w:val="single"/>
        </w:rPr>
        <w:t>.</w:t>
      </w:r>
      <w:r w:rsidR="0054655E" w:rsidRPr="009C499E">
        <w:rPr>
          <w:rFonts w:ascii="Arial" w:eastAsia="Arial" w:hAnsi="Arial" w:cs="Arial"/>
          <w:b/>
          <w:szCs w:val="22"/>
          <w:u w:val="single"/>
        </w:rPr>
        <w:t xml:space="preserve"> DELIMITACIÓN DEL MARCO APLICABLE A LOS MEDICAMENTOS DE TERAPIAS AVANZADAS EN INVESTIGACIÓN</w:t>
      </w:r>
    </w:p>
    <w:p w:rsidR="00EC61F5" w:rsidRPr="00EC61F5" w:rsidRDefault="003F19B1" w:rsidP="00EC61F5">
      <w:pPr>
        <w:spacing w:after="120"/>
        <w:jc w:val="both"/>
        <w:rPr>
          <w:rFonts w:ascii="Arial" w:eastAsia="Arial" w:hAnsi="Arial" w:cs="Arial"/>
          <w:b/>
          <w:szCs w:val="22"/>
        </w:rPr>
      </w:pPr>
      <w:r>
        <w:rPr>
          <w:rFonts w:ascii="Arial" w:eastAsia="Arial" w:hAnsi="Arial" w:cs="Arial"/>
          <w:b/>
          <w:szCs w:val="22"/>
        </w:rPr>
        <w:t>5.</w:t>
      </w:r>
      <w:r w:rsidR="006323E9">
        <w:rPr>
          <w:rFonts w:ascii="Arial" w:eastAsia="Arial" w:hAnsi="Arial" w:cs="Arial"/>
          <w:b/>
          <w:szCs w:val="22"/>
        </w:rPr>
        <w:t xml:space="preserve">1. </w:t>
      </w:r>
      <w:r w:rsidR="00EC61F5" w:rsidRPr="00EC61F5">
        <w:rPr>
          <w:rFonts w:ascii="Arial" w:eastAsia="Arial" w:hAnsi="Arial" w:cs="Arial"/>
          <w:b/>
          <w:szCs w:val="22"/>
        </w:rPr>
        <w:t>Especificidades del desarrollo en investigación</w:t>
      </w:r>
    </w:p>
    <w:p w:rsidR="00EC61F5" w:rsidRPr="00B43AA9" w:rsidRDefault="00EC61F5" w:rsidP="00EC61F5">
      <w:pPr>
        <w:spacing w:after="120"/>
        <w:jc w:val="both"/>
        <w:rPr>
          <w:rFonts w:ascii="Arial" w:eastAsia="Arial" w:hAnsi="Arial" w:cs="Arial"/>
          <w:szCs w:val="22"/>
        </w:rPr>
      </w:pPr>
      <w:r w:rsidRPr="00B43AA9">
        <w:rPr>
          <w:rFonts w:ascii="Arial" w:eastAsia="Arial" w:hAnsi="Arial" w:cs="Arial"/>
          <w:szCs w:val="22"/>
        </w:rPr>
        <w:t>El desarrollo de medicamentos de terapias avanzadas en investigación se caracteriza, en general, por:</w:t>
      </w:r>
    </w:p>
    <w:p w:rsidR="00EC61F5" w:rsidRPr="00B43AA9" w:rsidRDefault="00EC61F5" w:rsidP="00B43AA9">
      <w:pPr>
        <w:pStyle w:val="Prrafodelista"/>
        <w:numPr>
          <w:ilvl w:val="0"/>
          <w:numId w:val="12"/>
        </w:numPr>
        <w:spacing w:after="120"/>
        <w:jc w:val="both"/>
        <w:rPr>
          <w:rFonts w:ascii="Arial" w:eastAsia="Arial" w:hAnsi="Arial" w:cs="Arial"/>
          <w:szCs w:val="22"/>
        </w:rPr>
      </w:pPr>
      <w:r w:rsidRPr="00B43AA9">
        <w:rPr>
          <w:rFonts w:ascii="Arial" w:eastAsia="Arial" w:hAnsi="Arial" w:cs="Arial"/>
          <w:szCs w:val="22"/>
        </w:rPr>
        <w:t>Conocimiento limitado del perfil de seguridad y eficacia, que requiere una generación progresiva de datos clínicos y no clínicos.</w:t>
      </w:r>
    </w:p>
    <w:p w:rsidR="00EC61F5" w:rsidRPr="00B43AA9" w:rsidRDefault="00EC61F5" w:rsidP="00B43AA9">
      <w:pPr>
        <w:pStyle w:val="Prrafodelista"/>
        <w:numPr>
          <w:ilvl w:val="0"/>
          <w:numId w:val="12"/>
        </w:numPr>
        <w:spacing w:after="120"/>
        <w:jc w:val="both"/>
        <w:rPr>
          <w:rFonts w:ascii="Arial" w:eastAsia="Arial" w:hAnsi="Arial" w:cs="Arial"/>
          <w:szCs w:val="22"/>
        </w:rPr>
      </w:pPr>
      <w:r w:rsidRPr="00B43AA9">
        <w:rPr>
          <w:rFonts w:ascii="Arial" w:eastAsia="Arial" w:hAnsi="Arial" w:cs="Arial"/>
          <w:szCs w:val="22"/>
        </w:rPr>
        <w:t>Procesos de fabricación en evolución, con cambios frecuentes en vectores, células o matrices, que deben gestionarse mediante evaluaciones de comparabilidad.</w:t>
      </w:r>
    </w:p>
    <w:p w:rsidR="00EC61F5" w:rsidRPr="00B43AA9" w:rsidRDefault="00EC61F5" w:rsidP="00B43AA9">
      <w:pPr>
        <w:pStyle w:val="Prrafodelista"/>
        <w:numPr>
          <w:ilvl w:val="0"/>
          <w:numId w:val="12"/>
        </w:numPr>
        <w:spacing w:after="120"/>
        <w:jc w:val="both"/>
        <w:rPr>
          <w:rFonts w:ascii="Arial" w:eastAsia="Arial" w:hAnsi="Arial" w:cs="Arial"/>
          <w:szCs w:val="22"/>
        </w:rPr>
      </w:pPr>
      <w:r w:rsidRPr="00B43AA9">
        <w:rPr>
          <w:rFonts w:ascii="Arial" w:eastAsia="Arial" w:hAnsi="Arial" w:cs="Arial"/>
          <w:szCs w:val="22"/>
        </w:rPr>
        <w:t>Estrategias de control aún en desarrollo, incluyendo la necesidad de establecer criterios de liberación provisionales y planes de trazabilidad desde las materias primas hasta el producto final.</w:t>
      </w:r>
    </w:p>
    <w:p w:rsidR="00EC61F5" w:rsidRPr="00B43AA9" w:rsidRDefault="00EC61F5" w:rsidP="00B43AA9">
      <w:pPr>
        <w:pStyle w:val="Prrafodelista"/>
        <w:numPr>
          <w:ilvl w:val="0"/>
          <w:numId w:val="12"/>
        </w:numPr>
        <w:spacing w:after="120"/>
        <w:jc w:val="both"/>
        <w:rPr>
          <w:rFonts w:ascii="Arial" w:eastAsia="Arial" w:hAnsi="Arial" w:cs="Arial"/>
          <w:szCs w:val="22"/>
        </w:rPr>
      </w:pPr>
      <w:r w:rsidRPr="00B43AA9">
        <w:rPr>
          <w:rFonts w:ascii="Arial" w:eastAsia="Arial" w:hAnsi="Arial" w:cs="Arial"/>
          <w:szCs w:val="22"/>
        </w:rPr>
        <w:t>Variabilidad inherente al producto biológico, que exige un enfoque basado en el riesgo para definir los requisitos de calidad y seguridad en cada etapa.</w:t>
      </w:r>
    </w:p>
    <w:p w:rsidR="00EC61F5" w:rsidRPr="00B43AA9" w:rsidRDefault="00EC61F5" w:rsidP="00B43AA9">
      <w:pPr>
        <w:pStyle w:val="Prrafodelista"/>
        <w:numPr>
          <w:ilvl w:val="0"/>
          <w:numId w:val="12"/>
        </w:numPr>
        <w:spacing w:after="120"/>
        <w:jc w:val="both"/>
        <w:rPr>
          <w:rFonts w:ascii="Arial" w:eastAsia="Arial" w:hAnsi="Arial" w:cs="Arial"/>
          <w:szCs w:val="22"/>
        </w:rPr>
      </w:pPr>
      <w:r w:rsidRPr="00B43AA9">
        <w:rPr>
          <w:rFonts w:ascii="Arial" w:eastAsia="Arial" w:hAnsi="Arial" w:cs="Arial"/>
          <w:szCs w:val="22"/>
        </w:rPr>
        <w:t>Necesidad de gestión temprana de riesgos, con planes adaptados a la fase de investigación, priorizando la protección de los sujetos en ensayos clínicos.</w:t>
      </w:r>
    </w:p>
    <w:p w:rsidR="00EC61F5" w:rsidRPr="00B43AA9" w:rsidRDefault="00EC61F5" w:rsidP="00EC61F5">
      <w:pPr>
        <w:spacing w:after="120"/>
        <w:jc w:val="both"/>
        <w:rPr>
          <w:rFonts w:ascii="Arial" w:eastAsia="Arial" w:hAnsi="Arial" w:cs="Arial"/>
          <w:szCs w:val="22"/>
        </w:rPr>
      </w:pPr>
      <w:r w:rsidRPr="00B43AA9">
        <w:rPr>
          <w:rFonts w:ascii="Arial" w:eastAsia="Arial" w:hAnsi="Arial" w:cs="Arial"/>
          <w:szCs w:val="22"/>
        </w:rPr>
        <w:lastRenderedPageBreak/>
        <w:t xml:space="preserve">Estas características deben tenerse en cuenta al evaluar la idoneidad de los datos presentados para respaldar la realización de ensayos clínicos. </w:t>
      </w:r>
      <w:r w:rsidR="00B43AA9">
        <w:rPr>
          <w:rFonts w:ascii="Arial" w:eastAsia="Arial" w:hAnsi="Arial" w:cs="Arial"/>
          <w:szCs w:val="22"/>
        </w:rPr>
        <w:t>L</w:t>
      </w:r>
      <w:r w:rsidRPr="00B43AA9">
        <w:rPr>
          <w:rFonts w:ascii="Arial" w:eastAsia="Arial" w:hAnsi="Arial" w:cs="Arial"/>
          <w:szCs w:val="22"/>
        </w:rPr>
        <w:t>a planificación del desarrollo debe considerar:</w:t>
      </w:r>
    </w:p>
    <w:p w:rsidR="00EC61F5" w:rsidRPr="00B43AA9" w:rsidRDefault="00EC61F5" w:rsidP="00B43AA9">
      <w:pPr>
        <w:pStyle w:val="Prrafodelista"/>
        <w:numPr>
          <w:ilvl w:val="0"/>
          <w:numId w:val="11"/>
        </w:numPr>
        <w:spacing w:after="120"/>
        <w:jc w:val="both"/>
        <w:rPr>
          <w:rFonts w:ascii="Arial" w:eastAsia="Arial" w:hAnsi="Arial" w:cs="Arial"/>
          <w:szCs w:val="22"/>
        </w:rPr>
      </w:pPr>
      <w:r w:rsidRPr="00B43AA9">
        <w:rPr>
          <w:rFonts w:ascii="Arial" w:eastAsia="Arial" w:hAnsi="Arial" w:cs="Arial"/>
          <w:szCs w:val="22"/>
        </w:rPr>
        <w:t>La trazabilidad completa de células, tejidos y materiales de partida.</w:t>
      </w:r>
    </w:p>
    <w:p w:rsidR="00EC61F5" w:rsidRPr="00B43AA9" w:rsidRDefault="00EC61F5" w:rsidP="00B43AA9">
      <w:pPr>
        <w:pStyle w:val="Prrafodelista"/>
        <w:numPr>
          <w:ilvl w:val="0"/>
          <w:numId w:val="11"/>
        </w:numPr>
        <w:spacing w:after="120"/>
        <w:jc w:val="both"/>
        <w:rPr>
          <w:rFonts w:ascii="Arial" w:eastAsia="Arial" w:hAnsi="Arial" w:cs="Arial"/>
          <w:szCs w:val="22"/>
        </w:rPr>
      </w:pPr>
      <w:r w:rsidRPr="00B43AA9">
        <w:rPr>
          <w:rFonts w:ascii="Arial" w:eastAsia="Arial" w:hAnsi="Arial" w:cs="Arial"/>
          <w:szCs w:val="22"/>
        </w:rPr>
        <w:t>La comparabilidad analítica y funcional en caso de cambios de proceso.</w:t>
      </w:r>
    </w:p>
    <w:p w:rsidR="00EC61F5" w:rsidRPr="00B43AA9" w:rsidRDefault="00B43AA9" w:rsidP="00B43AA9">
      <w:pPr>
        <w:pStyle w:val="Prrafodelista"/>
        <w:numPr>
          <w:ilvl w:val="0"/>
          <w:numId w:val="11"/>
        </w:numPr>
        <w:spacing w:after="120"/>
        <w:jc w:val="both"/>
        <w:rPr>
          <w:rFonts w:ascii="Arial" w:eastAsia="Arial" w:hAnsi="Arial" w:cs="Arial"/>
          <w:szCs w:val="22"/>
        </w:rPr>
      </w:pPr>
      <w:r>
        <w:rPr>
          <w:rFonts w:ascii="Arial" w:eastAsia="Arial" w:hAnsi="Arial" w:cs="Arial"/>
          <w:szCs w:val="22"/>
        </w:rPr>
        <w:t>D</w:t>
      </w:r>
      <w:r w:rsidR="00EC61F5" w:rsidRPr="00B43AA9">
        <w:rPr>
          <w:rFonts w:ascii="Arial" w:eastAsia="Arial" w:hAnsi="Arial" w:cs="Arial"/>
          <w:szCs w:val="22"/>
        </w:rPr>
        <w:t>iscutir incertidumbres y estrategias de mitigación.</w:t>
      </w:r>
    </w:p>
    <w:p w:rsidR="0054655E" w:rsidRDefault="00EC61F5" w:rsidP="00EC61F5">
      <w:pPr>
        <w:spacing w:after="120"/>
        <w:jc w:val="both"/>
        <w:rPr>
          <w:rFonts w:ascii="Arial" w:eastAsia="Arial" w:hAnsi="Arial" w:cs="Arial"/>
          <w:szCs w:val="22"/>
        </w:rPr>
      </w:pPr>
      <w:r w:rsidRPr="00B43AA9">
        <w:rPr>
          <w:rFonts w:ascii="Arial" w:eastAsia="Arial" w:hAnsi="Arial" w:cs="Arial"/>
          <w:szCs w:val="22"/>
        </w:rPr>
        <w:t>La visión prospectiva hacia la autorización, asegurando que los datos generados en investigación sean relevantes para fases posteriores del ciclo de vida del producto.</w:t>
      </w:r>
    </w:p>
    <w:p w:rsidR="00C22B5B" w:rsidRPr="00C22B5B" w:rsidRDefault="003F19B1" w:rsidP="00C22B5B">
      <w:pPr>
        <w:spacing w:after="120"/>
        <w:jc w:val="both"/>
        <w:rPr>
          <w:rFonts w:ascii="Arial" w:eastAsia="Arial" w:hAnsi="Arial" w:cs="Arial"/>
          <w:b/>
          <w:szCs w:val="22"/>
        </w:rPr>
      </w:pPr>
      <w:r>
        <w:rPr>
          <w:rFonts w:ascii="Arial" w:eastAsia="Arial" w:hAnsi="Arial" w:cs="Arial"/>
          <w:b/>
          <w:szCs w:val="22"/>
        </w:rPr>
        <w:t>5.</w:t>
      </w:r>
      <w:r w:rsidR="00DB33F2" w:rsidRPr="00DB33F2">
        <w:rPr>
          <w:rFonts w:ascii="Arial" w:eastAsia="Arial" w:hAnsi="Arial" w:cs="Arial"/>
          <w:b/>
          <w:szCs w:val="22"/>
        </w:rPr>
        <w:t xml:space="preserve">2. </w:t>
      </w:r>
      <w:r w:rsidR="00C22B5B" w:rsidRPr="00C22B5B">
        <w:rPr>
          <w:rFonts w:ascii="Arial" w:eastAsia="Arial" w:hAnsi="Arial" w:cs="Arial"/>
          <w:b/>
          <w:szCs w:val="22"/>
        </w:rPr>
        <w:t>Aplicación del enfoque basado en el riesgo en investigación</w:t>
      </w:r>
    </w:p>
    <w:p w:rsidR="00C22B5B" w:rsidRPr="00C22B5B" w:rsidRDefault="00C22B5B" w:rsidP="00C22B5B">
      <w:pPr>
        <w:spacing w:after="120"/>
        <w:jc w:val="both"/>
        <w:rPr>
          <w:rFonts w:ascii="Arial" w:eastAsia="Arial" w:hAnsi="Arial" w:cs="Arial"/>
          <w:szCs w:val="22"/>
        </w:rPr>
      </w:pPr>
      <w:r w:rsidRPr="00C22B5B">
        <w:rPr>
          <w:rFonts w:ascii="Arial" w:eastAsia="Arial" w:hAnsi="Arial" w:cs="Arial"/>
          <w:szCs w:val="22"/>
        </w:rPr>
        <w:t>En el contexto de los medicamentos de terapias avanzadas en investigación, el enfoque basado en el riesgo resulta particularmente relevante para:</w:t>
      </w:r>
    </w:p>
    <w:p w:rsidR="00C22B5B" w:rsidRPr="00C22B5B" w:rsidRDefault="00C22B5B" w:rsidP="00C22B5B">
      <w:pPr>
        <w:pStyle w:val="Prrafodelista"/>
        <w:numPr>
          <w:ilvl w:val="0"/>
          <w:numId w:val="13"/>
        </w:numPr>
        <w:spacing w:after="120"/>
        <w:jc w:val="both"/>
        <w:rPr>
          <w:rFonts w:ascii="Arial" w:eastAsia="Arial" w:hAnsi="Arial" w:cs="Arial"/>
          <w:szCs w:val="22"/>
        </w:rPr>
      </w:pPr>
      <w:r w:rsidRPr="00C22B5B">
        <w:rPr>
          <w:rFonts w:ascii="Arial" w:eastAsia="Arial" w:hAnsi="Arial" w:cs="Arial"/>
          <w:szCs w:val="22"/>
        </w:rPr>
        <w:t>Definir y adaptar los requisitos de calidad, no clínicos y clínicos de acuerdo con la etapa de desarrollo y el nivel de conocimiento disponible.</w:t>
      </w:r>
    </w:p>
    <w:p w:rsidR="00C22B5B" w:rsidRPr="00C22B5B" w:rsidRDefault="00C22B5B" w:rsidP="00C22B5B">
      <w:pPr>
        <w:pStyle w:val="Prrafodelista"/>
        <w:numPr>
          <w:ilvl w:val="0"/>
          <w:numId w:val="13"/>
        </w:numPr>
        <w:spacing w:after="120"/>
        <w:jc w:val="both"/>
        <w:rPr>
          <w:rFonts w:ascii="Arial" w:eastAsia="Arial" w:hAnsi="Arial" w:cs="Arial"/>
          <w:szCs w:val="22"/>
        </w:rPr>
      </w:pPr>
      <w:r w:rsidRPr="00C22B5B">
        <w:rPr>
          <w:rFonts w:ascii="Arial" w:eastAsia="Arial" w:hAnsi="Arial" w:cs="Arial"/>
          <w:szCs w:val="22"/>
        </w:rPr>
        <w:t>Gestionar las incertidumbres inherentes al producto, incluyendo la variabilidad biológica y la trazabilidad de células, tejidos y materiales de partida.</w:t>
      </w:r>
    </w:p>
    <w:p w:rsidR="00C22B5B" w:rsidRPr="00C22B5B" w:rsidRDefault="00C22B5B" w:rsidP="00C22B5B">
      <w:pPr>
        <w:pStyle w:val="Prrafodelista"/>
        <w:numPr>
          <w:ilvl w:val="0"/>
          <w:numId w:val="13"/>
        </w:numPr>
        <w:spacing w:after="120"/>
        <w:jc w:val="both"/>
        <w:rPr>
          <w:rFonts w:ascii="Arial" w:eastAsia="Arial" w:hAnsi="Arial" w:cs="Arial"/>
          <w:szCs w:val="22"/>
        </w:rPr>
      </w:pPr>
      <w:r w:rsidRPr="00C22B5B">
        <w:rPr>
          <w:rFonts w:ascii="Arial" w:eastAsia="Arial" w:hAnsi="Arial" w:cs="Arial"/>
          <w:szCs w:val="22"/>
        </w:rPr>
        <w:t>Priorizar la protección de los sujetos incluidos en los ensayos clínicos, mediante la identificación temprana de riesgos potenciales y la implementación de medidas de mitigación.</w:t>
      </w:r>
    </w:p>
    <w:p w:rsidR="00C22B5B" w:rsidRPr="00C22B5B" w:rsidRDefault="00C22B5B" w:rsidP="00C22B5B">
      <w:pPr>
        <w:pStyle w:val="Prrafodelista"/>
        <w:numPr>
          <w:ilvl w:val="0"/>
          <w:numId w:val="13"/>
        </w:numPr>
        <w:spacing w:after="120"/>
        <w:jc w:val="both"/>
        <w:rPr>
          <w:rFonts w:ascii="Arial" w:eastAsia="Arial" w:hAnsi="Arial" w:cs="Arial"/>
          <w:szCs w:val="22"/>
        </w:rPr>
      </w:pPr>
      <w:r w:rsidRPr="00C22B5B">
        <w:rPr>
          <w:rFonts w:ascii="Arial" w:eastAsia="Arial" w:hAnsi="Arial" w:cs="Arial"/>
          <w:szCs w:val="22"/>
        </w:rPr>
        <w:t>Favorecer la coherencia entre el desarrollo de calidad y el desarrollo clínico, asegurando que los cambios de proceso o de control se evalúen en cuanto a su impacto en la seguridad y en la interpretación de los datos clínicos.</w:t>
      </w:r>
    </w:p>
    <w:p w:rsidR="006323E9" w:rsidRDefault="00C22B5B" w:rsidP="006047DD">
      <w:pPr>
        <w:spacing w:after="120"/>
        <w:jc w:val="both"/>
        <w:rPr>
          <w:rFonts w:ascii="Arial" w:eastAsia="Arial" w:hAnsi="Arial" w:cs="Arial"/>
          <w:szCs w:val="22"/>
        </w:rPr>
      </w:pPr>
      <w:r w:rsidRPr="00C22B5B">
        <w:rPr>
          <w:rFonts w:ascii="Arial" w:eastAsia="Arial" w:hAnsi="Arial" w:cs="Arial"/>
          <w:szCs w:val="22"/>
        </w:rPr>
        <w:t xml:space="preserve">El análisis de riesgos debería iniciarse en etapas tempranas y actualizarse de manera dinámica a lo largo del desarrollo del producto, especialmente tras modificaciones en el proceso de fabricación, la introducción de nuevos métodos analíticos o la aparición de evidencia clínica relevante. </w:t>
      </w:r>
      <w:r w:rsidR="005371BF">
        <w:rPr>
          <w:rFonts w:ascii="Arial" w:eastAsia="Arial" w:hAnsi="Arial" w:cs="Arial"/>
          <w:szCs w:val="22"/>
        </w:rPr>
        <w:t>E</w:t>
      </w:r>
      <w:r w:rsidRPr="00C22B5B">
        <w:rPr>
          <w:rFonts w:ascii="Arial" w:eastAsia="Arial" w:hAnsi="Arial" w:cs="Arial"/>
          <w:szCs w:val="22"/>
        </w:rPr>
        <w:t>l enfoque basado en el riesgo debe documentarse en planes específicos de gestión de riesgos, integrando aspectos de calidad, seguridad y eficacia, y anticipando los requisitos regulatorios de fases posteriores del ciclo de vida del producto.</w:t>
      </w:r>
    </w:p>
    <w:p w:rsidR="006323E9" w:rsidRPr="007934CD" w:rsidRDefault="003F19B1" w:rsidP="006047DD">
      <w:pPr>
        <w:spacing w:after="120"/>
        <w:jc w:val="both"/>
        <w:rPr>
          <w:rFonts w:ascii="Arial" w:eastAsia="Arial" w:hAnsi="Arial" w:cs="Arial"/>
          <w:b/>
          <w:szCs w:val="22"/>
        </w:rPr>
      </w:pPr>
      <w:r>
        <w:rPr>
          <w:rFonts w:ascii="Arial" w:eastAsia="Arial" w:hAnsi="Arial" w:cs="Arial"/>
          <w:b/>
          <w:szCs w:val="22"/>
        </w:rPr>
        <w:t>5.</w:t>
      </w:r>
      <w:r w:rsidR="007934CD" w:rsidRPr="007934CD">
        <w:rPr>
          <w:rFonts w:ascii="Arial" w:eastAsia="Arial" w:hAnsi="Arial" w:cs="Arial"/>
          <w:b/>
          <w:szCs w:val="22"/>
        </w:rPr>
        <w:t>3. Relación entre desarrollo de calidad y desarrollo clínico</w:t>
      </w:r>
    </w:p>
    <w:p w:rsidR="007934CD" w:rsidRPr="007934CD" w:rsidRDefault="007934CD" w:rsidP="007934CD">
      <w:pPr>
        <w:spacing w:after="120"/>
        <w:jc w:val="both"/>
        <w:rPr>
          <w:rFonts w:ascii="Arial" w:eastAsia="Arial" w:hAnsi="Arial" w:cs="Arial"/>
          <w:szCs w:val="22"/>
        </w:rPr>
      </w:pPr>
      <w:r w:rsidRPr="007934CD">
        <w:rPr>
          <w:rFonts w:ascii="Arial" w:eastAsia="Arial" w:hAnsi="Arial" w:cs="Arial"/>
          <w:szCs w:val="22"/>
        </w:rPr>
        <w:lastRenderedPageBreak/>
        <w:t>En los medicamentos de terapias avanzadas en investigación, el desarrollo de la calidad y el desarrollo clínico suelen avanzar de manera paralela y estrechamente interrelacionada.</w:t>
      </w:r>
    </w:p>
    <w:p w:rsidR="007934CD" w:rsidRPr="007934CD" w:rsidRDefault="007934CD" w:rsidP="007934CD">
      <w:pPr>
        <w:spacing w:after="120"/>
        <w:jc w:val="both"/>
        <w:rPr>
          <w:rFonts w:ascii="Arial" w:eastAsia="Arial" w:hAnsi="Arial" w:cs="Arial"/>
          <w:szCs w:val="22"/>
        </w:rPr>
      </w:pPr>
      <w:r w:rsidRPr="007934CD">
        <w:rPr>
          <w:rFonts w:ascii="Arial" w:eastAsia="Arial" w:hAnsi="Arial" w:cs="Arial"/>
          <w:szCs w:val="22"/>
        </w:rPr>
        <w:t>Los cambios introducidos durante el desarrollo</w:t>
      </w:r>
      <w:r w:rsidR="00220FF0">
        <w:rPr>
          <w:rFonts w:ascii="Arial" w:eastAsia="Arial" w:hAnsi="Arial" w:cs="Arial"/>
          <w:szCs w:val="22"/>
        </w:rPr>
        <w:t xml:space="preserve">, </w:t>
      </w:r>
      <w:r w:rsidRPr="007934CD">
        <w:rPr>
          <w:rFonts w:ascii="Arial" w:eastAsia="Arial" w:hAnsi="Arial" w:cs="Arial"/>
          <w:szCs w:val="22"/>
        </w:rPr>
        <w:t>incluyendo modificaciones en el proceso de fabricación, en los materiales de partida o en los métodos analíticos</w:t>
      </w:r>
      <w:r w:rsidR="00220FF0">
        <w:rPr>
          <w:rFonts w:ascii="Arial" w:eastAsia="Arial" w:hAnsi="Arial" w:cs="Arial"/>
          <w:szCs w:val="22"/>
        </w:rPr>
        <w:t>,</w:t>
      </w:r>
      <w:r w:rsidRPr="007934CD">
        <w:rPr>
          <w:rFonts w:ascii="Arial" w:eastAsia="Arial" w:hAnsi="Arial" w:cs="Arial"/>
          <w:szCs w:val="22"/>
        </w:rPr>
        <w:t xml:space="preserve"> deben evaluarse de forma sistemática en cuanto a su impacto potencial sobre la seguridad de los sujetos y la validez de los datos clínicos generados.</w:t>
      </w:r>
    </w:p>
    <w:p w:rsidR="007934CD" w:rsidRPr="007934CD" w:rsidRDefault="008E3BE0" w:rsidP="007934CD">
      <w:pPr>
        <w:spacing w:after="120"/>
        <w:jc w:val="both"/>
        <w:rPr>
          <w:rFonts w:ascii="Arial" w:eastAsia="Arial" w:hAnsi="Arial" w:cs="Arial"/>
          <w:szCs w:val="22"/>
        </w:rPr>
      </w:pPr>
      <w:r>
        <w:rPr>
          <w:rFonts w:ascii="Arial" w:eastAsia="Arial" w:hAnsi="Arial" w:cs="Arial"/>
          <w:szCs w:val="22"/>
        </w:rPr>
        <w:t>E</w:t>
      </w:r>
      <w:r w:rsidR="007934CD" w:rsidRPr="007934CD">
        <w:rPr>
          <w:rFonts w:ascii="Arial" w:eastAsia="Arial" w:hAnsi="Arial" w:cs="Arial"/>
          <w:szCs w:val="22"/>
        </w:rPr>
        <w:t>sta evaluación debería incluir:</w:t>
      </w:r>
    </w:p>
    <w:p w:rsidR="007934CD" w:rsidRPr="008E3BE0" w:rsidRDefault="007934CD" w:rsidP="008E3BE0">
      <w:pPr>
        <w:pStyle w:val="Prrafodelista"/>
        <w:numPr>
          <w:ilvl w:val="0"/>
          <w:numId w:val="14"/>
        </w:numPr>
        <w:spacing w:after="120"/>
        <w:jc w:val="both"/>
        <w:rPr>
          <w:rFonts w:ascii="Arial" w:eastAsia="Arial" w:hAnsi="Arial" w:cs="Arial"/>
          <w:szCs w:val="22"/>
        </w:rPr>
      </w:pPr>
      <w:r w:rsidRPr="008E3BE0">
        <w:rPr>
          <w:rFonts w:ascii="Arial" w:eastAsia="Arial" w:hAnsi="Arial" w:cs="Arial"/>
          <w:szCs w:val="22"/>
        </w:rPr>
        <w:t>Ejercicios de comparabilidad analíticos, funcionales y, cuando sea necesario, clínicos, para demostrar la coherencia del producto a lo largo de su evolución.</w:t>
      </w:r>
    </w:p>
    <w:p w:rsidR="007934CD" w:rsidRPr="008E3BE0" w:rsidRDefault="007934CD" w:rsidP="008E3BE0">
      <w:pPr>
        <w:pStyle w:val="Prrafodelista"/>
        <w:numPr>
          <w:ilvl w:val="0"/>
          <w:numId w:val="14"/>
        </w:numPr>
        <w:spacing w:after="120"/>
        <w:jc w:val="both"/>
        <w:rPr>
          <w:rFonts w:ascii="Arial" w:eastAsia="Arial" w:hAnsi="Arial" w:cs="Arial"/>
          <w:szCs w:val="22"/>
        </w:rPr>
      </w:pPr>
      <w:r w:rsidRPr="008E3BE0">
        <w:rPr>
          <w:rFonts w:ascii="Arial" w:eastAsia="Arial" w:hAnsi="Arial" w:cs="Arial"/>
          <w:szCs w:val="22"/>
        </w:rPr>
        <w:t>Documentación transparente y trazable de los cambios, asegurando que las decisiones regulatorias puedan basarse en evidencia clara.</w:t>
      </w:r>
    </w:p>
    <w:p w:rsidR="007934CD" w:rsidRPr="008E3BE0" w:rsidRDefault="00675A05" w:rsidP="008E3BE0">
      <w:pPr>
        <w:pStyle w:val="Prrafodelista"/>
        <w:numPr>
          <w:ilvl w:val="0"/>
          <w:numId w:val="14"/>
        </w:numPr>
        <w:spacing w:after="120"/>
        <w:jc w:val="both"/>
        <w:rPr>
          <w:rFonts w:ascii="Arial" w:eastAsia="Arial" w:hAnsi="Arial" w:cs="Arial"/>
          <w:szCs w:val="22"/>
        </w:rPr>
      </w:pPr>
      <w:r>
        <w:rPr>
          <w:rFonts w:ascii="Arial" w:eastAsia="Arial" w:hAnsi="Arial" w:cs="Arial"/>
          <w:szCs w:val="22"/>
        </w:rPr>
        <w:t>Estudios puente (</w:t>
      </w:r>
      <w:proofErr w:type="spellStart"/>
      <w:r w:rsidR="007934CD" w:rsidRPr="008E3BE0">
        <w:rPr>
          <w:rFonts w:ascii="Arial" w:eastAsia="Arial" w:hAnsi="Arial" w:cs="Arial"/>
          <w:szCs w:val="22"/>
        </w:rPr>
        <w:t>Bridging</w:t>
      </w:r>
      <w:proofErr w:type="spellEnd"/>
      <w:r w:rsidR="007934CD" w:rsidRPr="008E3BE0">
        <w:rPr>
          <w:rFonts w:ascii="Arial" w:eastAsia="Arial" w:hAnsi="Arial" w:cs="Arial"/>
          <w:szCs w:val="22"/>
        </w:rPr>
        <w:t xml:space="preserve"> </w:t>
      </w:r>
      <w:proofErr w:type="spellStart"/>
      <w:r w:rsidR="007934CD" w:rsidRPr="008E3BE0">
        <w:rPr>
          <w:rFonts w:ascii="Arial" w:eastAsia="Arial" w:hAnsi="Arial" w:cs="Arial"/>
          <w:szCs w:val="22"/>
        </w:rPr>
        <w:t>studies</w:t>
      </w:r>
      <w:proofErr w:type="spellEnd"/>
      <w:r>
        <w:rPr>
          <w:rFonts w:ascii="Arial" w:eastAsia="Arial" w:hAnsi="Arial" w:cs="Arial"/>
          <w:szCs w:val="22"/>
        </w:rPr>
        <w:t>)</w:t>
      </w:r>
      <w:r w:rsidR="007934CD" w:rsidRPr="008E3BE0">
        <w:rPr>
          <w:rFonts w:ascii="Arial" w:eastAsia="Arial" w:hAnsi="Arial" w:cs="Arial"/>
          <w:szCs w:val="22"/>
        </w:rPr>
        <w:t xml:space="preserve"> o análisis adicionales cuando las modificaciones puedan afectar la interpretación de los resultados clínicos.</w:t>
      </w:r>
    </w:p>
    <w:p w:rsidR="007934CD" w:rsidRPr="008E3BE0" w:rsidRDefault="007934CD" w:rsidP="008E3BE0">
      <w:pPr>
        <w:pStyle w:val="Prrafodelista"/>
        <w:numPr>
          <w:ilvl w:val="0"/>
          <w:numId w:val="14"/>
        </w:numPr>
        <w:spacing w:after="120"/>
        <w:jc w:val="both"/>
        <w:rPr>
          <w:rFonts w:ascii="Arial" w:eastAsia="Arial" w:hAnsi="Arial" w:cs="Arial"/>
          <w:szCs w:val="22"/>
        </w:rPr>
      </w:pPr>
      <w:r w:rsidRPr="008E3BE0">
        <w:rPr>
          <w:rFonts w:ascii="Arial" w:eastAsia="Arial" w:hAnsi="Arial" w:cs="Arial"/>
          <w:szCs w:val="22"/>
        </w:rPr>
        <w:t>Interacción temprana con autoridades regulatorias, para discutir la aceptabilidad de cambios significativos y definir criterios de continuidad del desarrollo.</w:t>
      </w:r>
    </w:p>
    <w:p w:rsidR="007934CD" w:rsidRDefault="007934CD" w:rsidP="007934CD">
      <w:pPr>
        <w:spacing w:after="120"/>
        <w:jc w:val="both"/>
        <w:rPr>
          <w:rFonts w:ascii="Arial" w:eastAsia="Arial" w:hAnsi="Arial" w:cs="Arial"/>
          <w:szCs w:val="22"/>
        </w:rPr>
      </w:pPr>
      <w:r w:rsidRPr="007934CD">
        <w:rPr>
          <w:rFonts w:ascii="Arial" w:eastAsia="Arial" w:hAnsi="Arial" w:cs="Arial"/>
          <w:szCs w:val="22"/>
        </w:rPr>
        <w:t>Este enfoque integrado garantiza que la evolución del producto durante la investigación no comprometa la seguridad de los sujetos ni la relevancia de los datos clínicos para fases posteriores del ciclo de vida del medicamento.</w:t>
      </w:r>
    </w:p>
    <w:p w:rsidR="00C02DF5" w:rsidRPr="00C02E17" w:rsidRDefault="003F19B1" w:rsidP="007934CD">
      <w:pPr>
        <w:spacing w:after="120"/>
        <w:jc w:val="both"/>
        <w:rPr>
          <w:rFonts w:ascii="Arial" w:eastAsia="Arial" w:hAnsi="Arial" w:cs="Arial"/>
          <w:b/>
          <w:szCs w:val="22"/>
        </w:rPr>
      </w:pPr>
      <w:r>
        <w:rPr>
          <w:rFonts w:ascii="Arial" w:eastAsia="Arial" w:hAnsi="Arial" w:cs="Arial"/>
          <w:b/>
          <w:szCs w:val="22"/>
        </w:rPr>
        <w:t>5.</w:t>
      </w:r>
      <w:r w:rsidR="00C02DF5" w:rsidRPr="00C02E17">
        <w:rPr>
          <w:rFonts w:ascii="Arial" w:eastAsia="Arial" w:hAnsi="Arial" w:cs="Arial"/>
          <w:b/>
          <w:szCs w:val="22"/>
        </w:rPr>
        <w:t>4.</w:t>
      </w:r>
      <w:r w:rsidR="00C02E17" w:rsidRPr="00C02E17">
        <w:rPr>
          <w:b/>
        </w:rPr>
        <w:t xml:space="preserve"> </w:t>
      </w:r>
      <w:r w:rsidR="00C02E17" w:rsidRPr="00C02E17">
        <w:rPr>
          <w:rFonts w:ascii="Arial" w:eastAsia="Arial" w:hAnsi="Arial" w:cs="Arial"/>
          <w:b/>
          <w:szCs w:val="22"/>
        </w:rPr>
        <w:t>Evolución del producto durante la investigación</w:t>
      </w:r>
    </w:p>
    <w:p w:rsidR="00C02E17" w:rsidRDefault="00C02E17" w:rsidP="007934CD">
      <w:pPr>
        <w:spacing w:after="120"/>
        <w:jc w:val="both"/>
        <w:rPr>
          <w:rFonts w:ascii="Arial" w:eastAsia="Arial" w:hAnsi="Arial" w:cs="Arial"/>
          <w:szCs w:val="22"/>
        </w:rPr>
      </w:pPr>
      <w:r w:rsidRPr="001E09BA">
        <w:rPr>
          <w:rFonts w:ascii="Arial" w:eastAsia="Arial" w:hAnsi="Arial" w:cs="Arial"/>
          <w:szCs w:val="22"/>
        </w:rPr>
        <w:t xml:space="preserve">En el contexto de los medicamentos de terapias avanzadas, el término </w:t>
      </w:r>
      <w:r>
        <w:rPr>
          <w:rFonts w:ascii="Arial" w:eastAsia="Arial" w:hAnsi="Arial" w:cs="Arial"/>
          <w:szCs w:val="22"/>
        </w:rPr>
        <w:t>“</w:t>
      </w:r>
      <w:r w:rsidRPr="001E09BA">
        <w:rPr>
          <w:rFonts w:ascii="Arial" w:eastAsia="Arial" w:hAnsi="Arial" w:cs="Arial"/>
          <w:szCs w:val="22"/>
        </w:rPr>
        <w:t>evolución del producto</w:t>
      </w:r>
      <w:r>
        <w:rPr>
          <w:rFonts w:ascii="Arial" w:eastAsia="Arial" w:hAnsi="Arial" w:cs="Arial"/>
          <w:szCs w:val="22"/>
        </w:rPr>
        <w:t>”</w:t>
      </w:r>
      <w:r w:rsidRPr="001E09BA">
        <w:rPr>
          <w:rFonts w:ascii="Arial" w:eastAsia="Arial" w:hAnsi="Arial" w:cs="Arial"/>
          <w:szCs w:val="22"/>
        </w:rPr>
        <w:t xml:space="preserve"> se refiere a los cambios planificados o necesarios que ocurren durante el desarrollo, incluyendo modificaciones en el proceso de fabricación, en los materiales de partida, en los métodos analíticos o en los criterios de control. Esta evolución es inherente a productos complejos y debe gestionarse mediante evaluaciones de comparabilidad analítica, funcional y, cuando corresponda, clínica, con el fin de garantizar la coherencia y relevancia de los datos generados en investigación.</w:t>
      </w:r>
    </w:p>
    <w:p w:rsidR="00C02E17" w:rsidRPr="00C02E17" w:rsidRDefault="00C02E17" w:rsidP="00C02E17">
      <w:pPr>
        <w:spacing w:after="120"/>
        <w:jc w:val="both"/>
        <w:rPr>
          <w:rFonts w:ascii="Arial" w:eastAsia="Arial" w:hAnsi="Arial" w:cs="Arial"/>
          <w:szCs w:val="22"/>
        </w:rPr>
      </w:pPr>
      <w:r w:rsidRPr="00C02E17">
        <w:rPr>
          <w:rFonts w:ascii="Arial" w:eastAsia="Arial" w:hAnsi="Arial" w:cs="Arial"/>
          <w:szCs w:val="22"/>
        </w:rPr>
        <w:t>En el desarrollo de medicamentos de terapias avanzadas es esperable que el producto experimente una evolución a lo largo de la investigación, derivada de modificaciones en el proceso de fabricación, en los materiales de partida, en los métodos analíticos o en los criterios de control.</w:t>
      </w:r>
    </w:p>
    <w:p w:rsidR="00C02E17" w:rsidRPr="00C02E17" w:rsidRDefault="00C02E17" w:rsidP="00C02E17">
      <w:pPr>
        <w:spacing w:after="120"/>
        <w:jc w:val="both"/>
        <w:rPr>
          <w:rFonts w:ascii="Arial" w:eastAsia="Arial" w:hAnsi="Arial" w:cs="Arial"/>
          <w:szCs w:val="22"/>
        </w:rPr>
      </w:pPr>
      <w:r w:rsidRPr="00C02E17">
        <w:rPr>
          <w:rFonts w:ascii="Arial" w:eastAsia="Arial" w:hAnsi="Arial" w:cs="Arial"/>
          <w:szCs w:val="22"/>
        </w:rPr>
        <w:lastRenderedPageBreak/>
        <w:t xml:space="preserve">La gestión de esta evolución constituye un elemento clave para garantizar la coherencia y la relevancia de los datos generados en los ensayos clínicos. </w:t>
      </w:r>
      <w:r>
        <w:rPr>
          <w:rFonts w:ascii="Arial" w:eastAsia="Arial" w:hAnsi="Arial" w:cs="Arial"/>
          <w:szCs w:val="22"/>
        </w:rPr>
        <w:t>Esta</w:t>
      </w:r>
      <w:r w:rsidRPr="00C02E17">
        <w:rPr>
          <w:rFonts w:ascii="Arial" w:eastAsia="Arial" w:hAnsi="Arial" w:cs="Arial"/>
          <w:szCs w:val="22"/>
        </w:rPr>
        <w:t xml:space="preserve"> gestión debería incluir:</w:t>
      </w:r>
    </w:p>
    <w:p w:rsidR="00C02E17" w:rsidRPr="00C02E17" w:rsidRDefault="00C02E17" w:rsidP="00C02E17">
      <w:pPr>
        <w:pStyle w:val="Prrafodelista"/>
        <w:numPr>
          <w:ilvl w:val="0"/>
          <w:numId w:val="15"/>
        </w:numPr>
        <w:spacing w:after="120"/>
        <w:jc w:val="both"/>
        <w:rPr>
          <w:rFonts w:ascii="Arial" w:eastAsia="Arial" w:hAnsi="Arial" w:cs="Arial"/>
          <w:szCs w:val="22"/>
        </w:rPr>
      </w:pPr>
      <w:r w:rsidRPr="00C02E17">
        <w:rPr>
          <w:rFonts w:ascii="Arial" w:eastAsia="Arial" w:hAnsi="Arial" w:cs="Arial"/>
          <w:szCs w:val="22"/>
        </w:rPr>
        <w:t>Evaluaciones de comparabilidad analíticas, funcionales y, cuando corresponda, clínicas, para demostrar la continuidad del perfil de calidad y seguridad del producto.</w:t>
      </w:r>
    </w:p>
    <w:p w:rsidR="00C02E17" w:rsidRPr="00C02E17" w:rsidRDefault="00C02E17" w:rsidP="00C02E17">
      <w:pPr>
        <w:pStyle w:val="Prrafodelista"/>
        <w:numPr>
          <w:ilvl w:val="0"/>
          <w:numId w:val="15"/>
        </w:numPr>
        <w:spacing w:after="120"/>
        <w:jc w:val="both"/>
        <w:rPr>
          <w:rFonts w:ascii="Arial" w:eastAsia="Arial" w:hAnsi="Arial" w:cs="Arial"/>
          <w:szCs w:val="22"/>
        </w:rPr>
      </w:pPr>
      <w:r w:rsidRPr="00C02E17">
        <w:rPr>
          <w:rFonts w:ascii="Arial" w:eastAsia="Arial" w:hAnsi="Arial" w:cs="Arial"/>
          <w:szCs w:val="22"/>
        </w:rPr>
        <w:t>Documentación transparente y trazable de los cambios, con justificación de su impacto potencial sobre la seguridad de los sujetos y la interpretación de los datos clínicos.</w:t>
      </w:r>
    </w:p>
    <w:p w:rsidR="00C02E17" w:rsidRPr="00C02E17" w:rsidRDefault="00C02E17" w:rsidP="00C02E17">
      <w:pPr>
        <w:pStyle w:val="Prrafodelista"/>
        <w:numPr>
          <w:ilvl w:val="0"/>
          <w:numId w:val="15"/>
        </w:numPr>
        <w:spacing w:after="120"/>
        <w:jc w:val="both"/>
        <w:rPr>
          <w:rFonts w:ascii="Arial" w:eastAsia="Arial" w:hAnsi="Arial" w:cs="Arial"/>
          <w:szCs w:val="22"/>
        </w:rPr>
      </w:pPr>
      <w:r w:rsidRPr="00C02E17">
        <w:rPr>
          <w:rFonts w:ascii="Arial" w:eastAsia="Arial" w:hAnsi="Arial" w:cs="Arial"/>
          <w:szCs w:val="22"/>
        </w:rPr>
        <w:t>Planificación prospectiva, asegurando que los datos generados en investigación sean acumulativos y relevantes para una eventual solicitud de autorización.</w:t>
      </w:r>
    </w:p>
    <w:p w:rsidR="00C02E17" w:rsidRPr="00C02E17" w:rsidRDefault="00C02E17" w:rsidP="00C02E17">
      <w:pPr>
        <w:pStyle w:val="Prrafodelista"/>
        <w:numPr>
          <w:ilvl w:val="0"/>
          <w:numId w:val="15"/>
        </w:numPr>
        <w:spacing w:after="120"/>
        <w:jc w:val="both"/>
        <w:rPr>
          <w:rFonts w:ascii="Arial" w:eastAsia="Arial" w:hAnsi="Arial" w:cs="Arial"/>
          <w:szCs w:val="22"/>
        </w:rPr>
      </w:pPr>
      <w:r w:rsidRPr="00C02E17">
        <w:rPr>
          <w:rFonts w:ascii="Arial" w:eastAsia="Arial" w:hAnsi="Arial" w:cs="Arial"/>
          <w:szCs w:val="22"/>
        </w:rPr>
        <w:t>Interacción temprana con autoridades regulatorias, para discutir la aceptabilidad de cambios significativos y definir criterios de continuidad del desarrollo clínico.</w:t>
      </w:r>
    </w:p>
    <w:p w:rsidR="006E1790" w:rsidRPr="006E1790" w:rsidRDefault="003F19B1" w:rsidP="006E1790">
      <w:pPr>
        <w:spacing w:after="120"/>
        <w:jc w:val="both"/>
        <w:rPr>
          <w:rFonts w:ascii="Arial" w:eastAsia="Arial" w:hAnsi="Arial" w:cs="Arial"/>
          <w:b/>
          <w:szCs w:val="22"/>
        </w:rPr>
      </w:pPr>
      <w:r>
        <w:rPr>
          <w:rFonts w:ascii="Arial" w:eastAsia="Arial" w:hAnsi="Arial" w:cs="Arial"/>
          <w:b/>
          <w:szCs w:val="22"/>
        </w:rPr>
        <w:t>5.</w:t>
      </w:r>
      <w:r w:rsidR="006E1790" w:rsidRPr="006E1790">
        <w:rPr>
          <w:rFonts w:ascii="Arial" w:eastAsia="Arial" w:hAnsi="Arial" w:cs="Arial"/>
          <w:b/>
          <w:szCs w:val="22"/>
        </w:rPr>
        <w:t>5. Transición hacia el régimen de autorización</w:t>
      </w:r>
    </w:p>
    <w:p w:rsidR="006E1790" w:rsidRPr="006E1790" w:rsidRDefault="006E1790" w:rsidP="006E1790">
      <w:pPr>
        <w:spacing w:after="120"/>
        <w:jc w:val="both"/>
        <w:rPr>
          <w:rFonts w:ascii="Arial" w:eastAsia="Arial" w:hAnsi="Arial" w:cs="Arial"/>
          <w:szCs w:val="22"/>
        </w:rPr>
      </w:pPr>
      <w:r w:rsidRPr="006E1790">
        <w:rPr>
          <w:rFonts w:ascii="Arial" w:eastAsia="Arial" w:hAnsi="Arial" w:cs="Arial"/>
          <w:szCs w:val="22"/>
        </w:rPr>
        <w:t>Los datos generados durante la fase de investigación constituyen la base para una eventual solicitud de autorización y deben planificarse con visión prospectiva.</w:t>
      </w:r>
    </w:p>
    <w:p w:rsidR="006E1790" w:rsidRPr="006E1790" w:rsidRDefault="006E1790" w:rsidP="006E1790">
      <w:pPr>
        <w:spacing w:after="120"/>
        <w:jc w:val="both"/>
        <w:rPr>
          <w:rFonts w:ascii="Arial" w:eastAsia="Arial" w:hAnsi="Arial" w:cs="Arial"/>
          <w:szCs w:val="22"/>
        </w:rPr>
      </w:pPr>
      <w:r w:rsidRPr="006E1790">
        <w:rPr>
          <w:rFonts w:ascii="Arial" w:eastAsia="Arial" w:hAnsi="Arial" w:cs="Arial"/>
          <w:szCs w:val="22"/>
        </w:rPr>
        <w:t xml:space="preserve">En consecuencia, el desarrollo en investigación debería considerar, en la medida de lo posible, los requisitos que serán aplicables en fases posteriores del ciclo de vida del producto. </w:t>
      </w:r>
      <w:r>
        <w:rPr>
          <w:rFonts w:ascii="Arial" w:eastAsia="Arial" w:hAnsi="Arial" w:cs="Arial"/>
          <w:szCs w:val="22"/>
        </w:rPr>
        <w:t>E</w:t>
      </w:r>
      <w:r w:rsidRPr="006E1790">
        <w:rPr>
          <w:rFonts w:ascii="Arial" w:eastAsia="Arial" w:hAnsi="Arial" w:cs="Arial"/>
          <w:szCs w:val="22"/>
        </w:rPr>
        <w:t>sta planificación debería incluir:</w:t>
      </w:r>
    </w:p>
    <w:p w:rsidR="006E1790" w:rsidRPr="003F3D22" w:rsidRDefault="006E1790" w:rsidP="003F3D22">
      <w:pPr>
        <w:pStyle w:val="Prrafodelista"/>
        <w:numPr>
          <w:ilvl w:val="0"/>
          <w:numId w:val="16"/>
        </w:numPr>
        <w:spacing w:after="120"/>
        <w:jc w:val="both"/>
        <w:rPr>
          <w:rFonts w:ascii="Arial" w:eastAsia="Arial" w:hAnsi="Arial" w:cs="Arial"/>
          <w:szCs w:val="22"/>
        </w:rPr>
      </w:pPr>
      <w:r w:rsidRPr="003F3D22">
        <w:rPr>
          <w:rFonts w:ascii="Arial" w:eastAsia="Arial" w:hAnsi="Arial" w:cs="Arial"/>
          <w:szCs w:val="22"/>
        </w:rPr>
        <w:t>Generación de datos robustos y reproducibles, que puedan incorporarse directamente al expediente de autorización.</w:t>
      </w:r>
    </w:p>
    <w:p w:rsidR="006E1790" w:rsidRPr="003F3D22" w:rsidRDefault="006E1790" w:rsidP="003F3D22">
      <w:pPr>
        <w:pStyle w:val="Prrafodelista"/>
        <w:numPr>
          <w:ilvl w:val="0"/>
          <w:numId w:val="16"/>
        </w:numPr>
        <w:spacing w:after="120"/>
        <w:jc w:val="both"/>
        <w:rPr>
          <w:rFonts w:ascii="Arial" w:eastAsia="Arial" w:hAnsi="Arial" w:cs="Arial"/>
          <w:szCs w:val="22"/>
        </w:rPr>
      </w:pPr>
      <w:r w:rsidRPr="003F3D22">
        <w:rPr>
          <w:rFonts w:ascii="Arial" w:eastAsia="Arial" w:hAnsi="Arial" w:cs="Arial"/>
          <w:szCs w:val="22"/>
        </w:rPr>
        <w:t>Documentación acumulativa y modular, asegurando la trazabilidad desde la fase de investigación hasta el dossier de registro (CTD).</w:t>
      </w:r>
    </w:p>
    <w:p w:rsidR="006E1790" w:rsidRPr="003F3D22" w:rsidRDefault="006E1790" w:rsidP="003F3D22">
      <w:pPr>
        <w:pStyle w:val="Prrafodelista"/>
        <w:numPr>
          <w:ilvl w:val="0"/>
          <w:numId w:val="16"/>
        </w:numPr>
        <w:spacing w:after="120"/>
        <w:jc w:val="both"/>
        <w:rPr>
          <w:rFonts w:ascii="Arial" w:eastAsia="Arial" w:hAnsi="Arial" w:cs="Arial"/>
          <w:szCs w:val="22"/>
        </w:rPr>
      </w:pPr>
      <w:r w:rsidRPr="003F3D22">
        <w:rPr>
          <w:rFonts w:ascii="Arial" w:eastAsia="Arial" w:hAnsi="Arial" w:cs="Arial"/>
          <w:szCs w:val="22"/>
        </w:rPr>
        <w:t>Consideración temprana de requisitos de farmacovigilancia y seguimiento a largo plazo, especialmente relevantes en terapias génicas y celulares.</w:t>
      </w:r>
    </w:p>
    <w:p w:rsidR="006E1790" w:rsidRPr="003F3D22" w:rsidRDefault="006E1790" w:rsidP="003F3D22">
      <w:pPr>
        <w:pStyle w:val="Prrafodelista"/>
        <w:numPr>
          <w:ilvl w:val="0"/>
          <w:numId w:val="16"/>
        </w:numPr>
        <w:spacing w:after="120"/>
        <w:jc w:val="both"/>
        <w:rPr>
          <w:rFonts w:ascii="Arial" w:eastAsia="Arial" w:hAnsi="Arial" w:cs="Arial"/>
          <w:szCs w:val="22"/>
        </w:rPr>
      </w:pPr>
      <w:r w:rsidRPr="003F3D22">
        <w:rPr>
          <w:rFonts w:ascii="Arial" w:eastAsia="Arial" w:hAnsi="Arial" w:cs="Arial"/>
          <w:szCs w:val="22"/>
        </w:rPr>
        <w:t>Interacción continua con autoridades regulatorias, para validar que los datos generados en investigación serán aceptables en la fase de autorización.</w:t>
      </w:r>
    </w:p>
    <w:p w:rsidR="00C02E17" w:rsidRPr="003F3D22" w:rsidRDefault="006E1790" w:rsidP="003F3D22">
      <w:pPr>
        <w:pStyle w:val="Prrafodelista"/>
        <w:numPr>
          <w:ilvl w:val="0"/>
          <w:numId w:val="16"/>
        </w:numPr>
        <w:spacing w:after="120"/>
        <w:jc w:val="both"/>
        <w:rPr>
          <w:rFonts w:ascii="Arial" w:eastAsia="Arial" w:hAnsi="Arial" w:cs="Arial"/>
          <w:szCs w:val="22"/>
        </w:rPr>
      </w:pPr>
      <w:r w:rsidRPr="003F3D22">
        <w:rPr>
          <w:rFonts w:ascii="Arial" w:eastAsia="Arial" w:hAnsi="Arial" w:cs="Arial"/>
          <w:szCs w:val="22"/>
        </w:rPr>
        <w:t>Visión integral del ciclo de vida del producto, anticipando necesidades de calidad, seguridad y eficacia en etapas posteriores.</w:t>
      </w:r>
    </w:p>
    <w:p w:rsidR="00F16F89" w:rsidRDefault="00F16F89" w:rsidP="006E1790">
      <w:pPr>
        <w:spacing w:after="120"/>
        <w:jc w:val="both"/>
        <w:rPr>
          <w:rFonts w:ascii="Arial" w:eastAsia="Arial" w:hAnsi="Arial" w:cs="Arial"/>
          <w:b/>
          <w:szCs w:val="22"/>
          <w:u w:val="single"/>
        </w:rPr>
      </w:pPr>
    </w:p>
    <w:p w:rsidR="00F16F89" w:rsidRDefault="00F16F89" w:rsidP="006E1790">
      <w:pPr>
        <w:spacing w:after="120"/>
        <w:jc w:val="both"/>
        <w:rPr>
          <w:rFonts w:ascii="Arial" w:eastAsia="Arial" w:hAnsi="Arial" w:cs="Arial"/>
          <w:b/>
          <w:szCs w:val="22"/>
          <w:u w:val="single"/>
        </w:rPr>
      </w:pPr>
    </w:p>
    <w:p w:rsidR="006E1790" w:rsidRPr="009C499E" w:rsidRDefault="003F19B1" w:rsidP="006E1790">
      <w:pPr>
        <w:spacing w:after="120"/>
        <w:jc w:val="both"/>
        <w:rPr>
          <w:rFonts w:ascii="Arial" w:eastAsia="Arial" w:hAnsi="Arial" w:cs="Arial"/>
          <w:b/>
          <w:szCs w:val="22"/>
          <w:u w:val="single"/>
        </w:rPr>
      </w:pPr>
      <w:r>
        <w:rPr>
          <w:rFonts w:ascii="Arial" w:eastAsia="Arial" w:hAnsi="Arial" w:cs="Arial"/>
          <w:b/>
          <w:szCs w:val="22"/>
          <w:u w:val="single"/>
        </w:rPr>
        <w:t>6</w:t>
      </w:r>
      <w:r w:rsidR="00F16F89">
        <w:rPr>
          <w:rFonts w:ascii="Arial" w:eastAsia="Arial" w:hAnsi="Arial" w:cs="Arial"/>
          <w:b/>
          <w:szCs w:val="22"/>
          <w:u w:val="single"/>
        </w:rPr>
        <w:t>.</w:t>
      </w:r>
      <w:r w:rsidR="009C499E" w:rsidRPr="009C499E">
        <w:rPr>
          <w:b/>
          <w:u w:val="single"/>
        </w:rPr>
        <w:t xml:space="preserve"> </w:t>
      </w:r>
      <w:r w:rsidR="009C499E" w:rsidRPr="009C499E">
        <w:rPr>
          <w:rFonts w:ascii="Arial" w:eastAsia="Arial" w:hAnsi="Arial" w:cs="Arial"/>
          <w:b/>
          <w:szCs w:val="22"/>
          <w:u w:val="single"/>
        </w:rPr>
        <w:t>REQUISITOS DE CALIDAD PARA MEDICAMENTOS DE TERAPIAS AVANZADAS</w:t>
      </w:r>
      <w:r w:rsidR="00C9495B">
        <w:rPr>
          <w:rFonts w:ascii="Arial" w:eastAsia="Arial" w:hAnsi="Arial" w:cs="Arial"/>
          <w:b/>
          <w:szCs w:val="22"/>
          <w:u w:val="single"/>
        </w:rPr>
        <w:t xml:space="preserve"> (</w:t>
      </w:r>
      <w:proofErr w:type="spellStart"/>
      <w:r w:rsidR="00C9495B">
        <w:rPr>
          <w:rFonts w:ascii="Arial" w:eastAsia="Arial" w:hAnsi="Arial" w:cs="Arial"/>
          <w:b/>
          <w:szCs w:val="22"/>
          <w:u w:val="single"/>
        </w:rPr>
        <w:t>ATMPs</w:t>
      </w:r>
      <w:proofErr w:type="spellEnd"/>
      <w:r w:rsidR="00C9495B">
        <w:rPr>
          <w:rFonts w:ascii="Arial" w:eastAsia="Arial" w:hAnsi="Arial" w:cs="Arial"/>
          <w:b/>
          <w:szCs w:val="22"/>
          <w:u w:val="single"/>
        </w:rPr>
        <w:t>)</w:t>
      </w:r>
      <w:r w:rsidR="009C499E" w:rsidRPr="009C499E">
        <w:rPr>
          <w:rFonts w:ascii="Arial" w:eastAsia="Arial" w:hAnsi="Arial" w:cs="Arial"/>
          <w:b/>
          <w:szCs w:val="22"/>
          <w:u w:val="single"/>
        </w:rPr>
        <w:t xml:space="preserve"> EN INVESTIGACIÓN</w:t>
      </w:r>
      <w:r w:rsidR="00C9495B">
        <w:rPr>
          <w:rFonts w:ascii="Arial" w:eastAsia="Arial" w:hAnsi="Arial" w:cs="Arial"/>
          <w:b/>
          <w:szCs w:val="22"/>
          <w:u w:val="single"/>
        </w:rPr>
        <w:t xml:space="preserve"> </w:t>
      </w:r>
    </w:p>
    <w:p w:rsidR="009641F0" w:rsidRPr="009641F0" w:rsidRDefault="009641F0" w:rsidP="009641F0">
      <w:pPr>
        <w:spacing w:after="120"/>
        <w:jc w:val="both"/>
        <w:rPr>
          <w:rFonts w:ascii="Arial" w:eastAsia="Arial" w:hAnsi="Arial" w:cs="Arial"/>
          <w:b/>
          <w:szCs w:val="22"/>
        </w:rPr>
      </w:pPr>
      <w:r w:rsidRPr="009641F0">
        <w:rPr>
          <w:rFonts w:ascii="Arial" w:eastAsia="Arial" w:hAnsi="Arial" w:cs="Arial"/>
          <w:b/>
          <w:szCs w:val="22"/>
        </w:rPr>
        <w:t xml:space="preserve">Documentación de calidad </w:t>
      </w:r>
    </w:p>
    <w:p w:rsidR="009641F0" w:rsidRPr="0095036C" w:rsidRDefault="009641F0" w:rsidP="009641F0">
      <w:pPr>
        <w:spacing w:after="120"/>
        <w:jc w:val="both"/>
        <w:rPr>
          <w:rFonts w:ascii="Arial" w:eastAsia="Arial" w:hAnsi="Arial" w:cs="Arial"/>
          <w:szCs w:val="22"/>
        </w:rPr>
      </w:pPr>
      <w:r w:rsidRPr="0095036C">
        <w:rPr>
          <w:rFonts w:ascii="Arial" w:eastAsia="Arial" w:hAnsi="Arial" w:cs="Arial"/>
          <w:szCs w:val="22"/>
        </w:rPr>
        <w:t xml:space="preserve">Los </w:t>
      </w:r>
      <w:r w:rsidR="00C9495B">
        <w:rPr>
          <w:rFonts w:ascii="Arial" w:eastAsia="Arial" w:hAnsi="Arial" w:cs="Arial"/>
          <w:szCs w:val="22"/>
        </w:rPr>
        <w:t>Productos</w:t>
      </w:r>
      <w:r w:rsidRPr="00C9495B">
        <w:rPr>
          <w:rFonts w:ascii="Arial" w:eastAsia="Arial" w:hAnsi="Arial" w:cs="Arial"/>
          <w:szCs w:val="22"/>
        </w:rPr>
        <w:t xml:space="preserve"> en investigación </w:t>
      </w:r>
      <w:r w:rsidRPr="0095036C">
        <w:rPr>
          <w:rFonts w:ascii="Arial" w:eastAsia="Arial" w:hAnsi="Arial" w:cs="Arial"/>
          <w:szCs w:val="22"/>
        </w:rPr>
        <w:t>deben producirse de acuerdo con las Guías de Buenas Prácticas de Fabricación específicas para medicamentos de terapias avanzadas.</w:t>
      </w:r>
    </w:p>
    <w:p w:rsidR="009641F0" w:rsidRPr="0095036C" w:rsidRDefault="009641F0" w:rsidP="009641F0">
      <w:pPr>
        <w:spacing w:after="120"/>
        <w:jc w:val="both"/>
        <w:rPr>
          <w:rFonts w:ascii="Arial" w:eastAsia="Arial" w:hAnsi="Arial" w:cs="Arial"/>
          <w:szCs w:val="22"/>
        </w:rPr>
      </w:pPr>
      <w:r w:rsidRPr="0095036C">
        <w:rPr>
          <w:rFonts w:ascii="Arial" w:eastAsia="Arial" w:hAnsi="Arial" w:cs="Arial"/>
          <w:szCs w:val="22"/>
        </w:rPr>
        <w:t xml:space="preserve">Los datos sobre aspectos de calidad de los </w:t>
      </w:r>
      <w:proofErr w:type="spellStart"/>
      <w:r w:rsidRPr="0095036C">
        <w:rPr>
          <w:rFonts w:ascii="Arial" w:eastAsia="Arial" w:hAnsi="Arial" w:cs="Arial"/>
          <w:szCs w:val="22"/>
        </w:rPr>
        <w:t>ATMPs</w:t>
      </w:r>
      <w:proofErr w:type="spellEnd"/>
      <w:r w:rsidRPr="0095036C">
        <w:rPr>
          <w:rFonts w:ascii="Arial" w:eastAsia="Arial" w:hAnsi="Arial" w:cs="Arial"/>
          <w:szCs w:val="22"/>
        </w:rPr>
        <w:t xml:space="preserve"> en investigación deben presentarse en una estructura lógica, idealmente según la estructura especificada de un documento técnico común (CTD), como la del Módulo 3. Los datos presentados en este módulo deben ser consistentes y complementarios con otras partes del paquete de presentación del ensayo clínico. </w:t>
      </w:r>
      <w:r w:rsidRPr="00DF4826">
        <w:rPr>
          <w:rFonts w:ascii="Arial" w:eastAsia="Arial" w:hAnsi="Arial" w:cs="Arial"/>
          <w:szCs w:val="22"/>
        </w:rPr>
        <w:t xml:space="preserve">El </w:t>
      </w:r>
      <w:r w:rsidRPr="00DF4826">
        <w:rPr>
          <w:rFonts w:ascii="Arial" w:eastAsia="Arial" w:hAnsi="Arial" w:cs="Arial"/>
          <w:i/>
          <w:szCs w:val="22"/>
        </w:rPr>
        <w:t>Expediente de</w:t>
      </w:r>
      <w:r w:rsidR="00DF4826" w:rsidRPr="00DF4826">
        <w:rPr>
          <w:rFonts w:ascii="Arial" w:eastAsia="Arial" w:hAnsi="Arial" w:cs="Arial"/>
          <w:i/>
          <w:szCs w:val="22"/>
        </w:rPr>
        <w:t>l</w:t>
      </w:r>
      <w:r w:rsidRPr="00DF4826">
        <w:rPr>
          <w:rFonts w:ascii="Arial" w:eastAsia="Arial" w:hAnsi="Arial" w:cs="Arial"/>
          <w:i/>
          <w:szCs w:val="22"/>
        </w:rPr>
        <w:t xml:space="preserve"> Medicamento en Investigación</w:t>
      </w:r>
      <w:r>
        <w:rPr>
          <w:rFonts w:ascii="Arial" w:eastAsia="Arial" w:hAnsi="Arial" w:cs="Arial"/>
          <w:szCs w:val="22"/>
        </w:rPr>
        <w:t xml:space="preserve"> </w:t>
      </w:r>
      <w:r w:rsidRPr="0095036C">
        <w:rPr>
          <w:rFonts w:ascii="Arial" w:eastAsia="Arial" w:hAnsi="Arial" w:cs="Arial"/>
          <w:szCs w:val="22"/>
        </w:rPr>
        <w:t xml:space="preserve">debe dividirse en secciones de </w:t>
      </w:r>
      <w:r w:rsidRPr="00DF4826">
        <w:rPr>
          <w:rFonts w:ascii="Arial" w:eastAsia="Arial" w:hAnsi="Arial" w:cs="Arial"/>
          <w:i/>
          <w:szCs w:val="22"/>
        </w:rPr>
        <w:t>sustancia activa (AS)</w:t>
      </w:r>
      <w:r w:rsidRPr="0095036C">
        <w:rPr>
          <w:rFonts w:ascii="Arial" w:eastAsia="Arial" w:hAnsi="Arial" w:cs="Arial"/>
          <w:szCs w:val="22"/>
        </w:rPr>
        <w:t xml:space="preserve"> y </w:t>
      </w:r>
      <w:r w:rsidRPr="00DF4826">
        <w:rPr>
          <w:rFonts w:ascii="Arial" w:eastAsia="Arial" w:hAnsi="Arial" w:cs="Arial"/>
          <w:i/>
          <w:szCs w:val="22"/>
        </w:rPr>
        <w:t>producto terminado (FP)</w:t>
      </w:r>
      <w:r w:rsidRPr="0095036C">
        <w:rPr>
          <w:rFonts w:ascii="Arial" w:eastAsia="Arial" w:hAnsi="Arial" w:cs="Arial"/>
          <w:szCs w:val="22"/>
        </w:rPr>
        <w:t xml:space="preserve">. En ciertos </w:t>
      </w:r>
      <w:proofErr w:type="spellStart"/>
      <w:r w:rsidRPr="0095036C">
        <w:rPr>
          <w:rFonts w:ascii="Arial" w:eastAsia="Arial" w:hAnsi="Arial" w:cs="Arial"/>
          <w:szCs w:val="22"/>
        </w:rPr>
        <w:t>ATMPs</w:t>
      </w:r>
      <w:proofErr w:type="spellEnd"/>
      <w:r w:rsidRPr="0095036C">
        <w:rPr>
          <w:rFonts w:ascii="Arial" w:eastAsia="Arial" w:hAnsi="Arial" w:cs="Arial"/>
          <w:szCs w:val="22"/>
        </w:rPr>
        <w:t>, el material de partida, la sustancia activa y el producto terminado pueden estar estrechamente relacionados o ser casi idénticos. La sustancia activa, cualquier intermedio y el producto terminado deben identificarse, si es posible.</w:t>
      </w:r>
    </w:p>
    <w:p w:rsidR="009641F0" w:rsidRPr="0095036C" w:rsidRDefault="009641F0" w:rsidP="009641F0">
      <w:pPr>
        <w:spacing w:after="120"/>
        <w:jc w:val="both"/>
        <w:rPr>
          <w:rFonts w:ascii="Arial" w:eastAsia="Arial" w:hAnsi="Arial" w:cs="Arial"/>
          <w:szCs w:val="22"/>
        </w:rPr>
      </w:pPr>
      <w:r w:rsidRPr="0095036C">
        <w:rPr>
          <w:rFonts w:ascii="Arial" w:eastAsia="Arial" w:hAnsi="Arial" w:cs="Arial"/>
          <w:szCs w:val="22"/>
        </w:rPr>
        <w:t xml:space="preserve">Cuando el proceso de fabricación incluye más de una sustancia activa, deben proporcionarse secciones separadas para cada sustancia activa del producto terminado. Las secciones deben identificarse por el nombre de la sustancia activa y el fabricante en el encabezado (por ejemplo, Información general, 3.2.S.1 [nombre de la </w:t>
      </w:r>
      <w:r w:rsidR="00DF4826">
        <w:rPr>
          <w:rFonts w:ascii="Arial" w:eastAsia="Arial" w:hAnsi="Arial" w:cs="Arial"/>
          <w:szCs w:val="22"/>
        </w:rPr>
        <w:t>sustancia activa</w:t>
      </w:r>
      <w:r w:rsidRPr="0095036C">
        <w:rPr>
          <w:rFonts w:ascii="Arial" w:eastAsia="Arial" w:hAnsi="Arial" w:cs="Arial"/>
          <w:szCs w:val="22"/>
        </w:rPr>
        <w:t>, fabricante]).</w:t>
      </w:r>
    </w:p>
    <w:p w:rsidR="009641F0" w:rsidRPr="0095036C" w:rsidRDefault="009641F0" w:rsidP="009641F0">
      <w:pPr>
        <w:spacing w:after="120"/>
        <w:jc w:val="both"/>
        <w:rPr>
          <w:rFonts w:ascii="Arial" w:eastAsia="Arial" w:hAnsi="Arial" w:cs="Arial"/>
          <w:szCs w:val="22"/>
        </w:rPr>
      </w:pPr>
      <w:r w:rsidRPr="0095036C">
        <w:rPr>
          <w:rFonts w:ascii="Arial" w:eastAsia="Arial" w:hAnsi="Arial" w:cs="Arial"/>
          <w:szCs w:val="22"/>
        </w:rPr>
        <w:t>En aquellos casos en que la producción del ATMP en investigación sea un proceso continuo y no se defina una sustancia activa, corresponde al solicitante decidir dónde proporcionar la información requerida en las secciones AS o FP. Como recomendación, todas las secciones AS podrían completarse, y aquellas secciones FP que no tengan una sección AS equivalente serían utilizadas (es decir, P.4). Para orientar la revisión, el solicitante debe describir brevemente el enfoque elegido, usar referencias cruzadas apropiadas y evitar duplicaciones.</w:t>
      </w:r>
    </w:p>
    <w:p w:rsidR="009641F0" w:rsidRDefault="009641F0" w:rsidP="009641F0">
      <w:pPr>
        <w:spacing w:after="120"/>
        <w:jc w:val="both"/>
        <w:rPr>
          <w:rFonts w:ascii="Arial" w:eastAsia="Arial" w:hAnsi="Arial" w:cs="Arial"/>
          <w:szCs w:val="22"/>
        </w:rPr>
      </w:pPr>
      <w:r w:rsidRPr="0095036C">
        <w:rPr>
          <w:rFonts w:ascii="Arial" w:eastAsia="Arial" w:hAnsi="Arial" w:cs="Arial"/>
          <w:szCs w:val="22"/>
        </w:rPr>
        <w:t xml:space="preserve">Incluso si la sustancia activa utilizada ya está autorizada en un producto terminado </w:t>
      </w:r>
      <w:r>
        <w:rPr>
          <w:rFonts w:ascii="Arial" w:eastAsia="Arial" w:hAnsi="Arial" w:cs="Arial"/>
          <w:szCs w:val="22"/>
        </w:rPr>
        <w:t>por una agencia regulatoria de referencia</w:t>
      </w:r>
      <w:r w:rsidRPr="0095036C">
        <w:rPr>
          <w:rFonts w:ascii="Arial" w:eastAsia="Arial" w:hAnsi="Arial" w:cs="Arial"/>
          <w:szCs w:val="22"/>
        </w:rPr>
        <w:t xml:space="preserve">, con referencia a la autorización de comercialización válida y una declaración que confirme que la sustancia activa tiene la misma calidad que en el producto aprobado, puede ser necesaria información adicional dependiendo de la naturaleza del ATMP. Debe proporcionarse el nombre del producto terminado, el número de autorización de </w:t>
      </w:r>
      <w:r w:rsidRPr="0095036C">
        <w:rPr>
          <w:rFonts w:ascii="Arial" w:eastAsia="Arial" w:hAnsi="Arial" w:cs="Arial"/>
          <w:szCs w:val="22"/>
        </w:rPr>
        <w:lastRenderedPageBreak/>
        <w:t>comercialización o su equivalente, el titular de la autorización de comercialización y el país que concedió la autorización.</w:t>
      </w:r>
    </w:p>
    <w:p w:rsidR="009641F0" w:rsidRPr="00C62410" w:rsidRDefault="009641F0" w:rsidP="009641F0">
      <w:pPr>
        <w:spacing w:after="120"/>
        <w:jc w:val="both"/>
        <w:rPr>
          <w:rFonts w:ascii="Arial" w:eastAsia="Arial" w:hAnsi="Arial" w:cs="Arial"/>
          <w:i/>
          <w:szCs w:val="22"/>
        </w:rPr>
      </w:pPr>
      <w:r w:rsidRPr="00C62410">
        <w:rPr>
          <w:rFonts w:ascii="Arial" w:eastAsia="Arial" w:hAnsi="Arial" w:cs="Arial"/>
          <w:i/>
          <w:szCs w:val="22"/>
        </w:rPr>
        <w:t>Evolución de los requisitos de datos</w:t>
      </w:r>
    </w:p>
    <w:p w:rsidR="009641F0" w:rsidRPr="0073701F" w:rsidRDefault="009641F0" w:rsidP="009641F0">
      <w:pPr>
        <w:spacing w:after="120"/>
        <w:jc w:val="both"/>
        <w:rPr>
          <w:rFonts w:ascii="Arial" w:eastAsia="Arial" w:hAnsi="Arial" w:cs="Arial"/>
          <w:szCs w:val="22"/>
        </w:rPr>
      </w:pPr>
      <w:r w:rsidRPr="0073701F">
        <w:rPr>
          <w:rFonts w:ascii="Arial" w:eastAsia="Arial" w:hAnsi="Arial" w:cs="Arial"/>
          <w:szCs w:val="22"/>
        </w:rPr>
        <w:t xml:space="preserve">Los datos de calidad recopilados en el </w:t>
      </w:r>
      <w:r w:rsidR="00C62410">
        <w:rPr>
          <w:rFonts w:ascii="Arial" w:eastAsia="Arial" w:hAnsi="Arial" w:cs="Arial"/>
          <w:szCs w:val="22"/>
        </w:rPr>
        <w:t>expediente del producto medicinal en investigación (</w:t>
      </w:r>
      <w:r w:rsidRPr="0073701F">
        <w:rPr>
          <w:rFonts w:ascii="Arial" w:eastAsia="Arial" w:hAnsi="Arial" w:cs="Arial"/>
          <w:szCs w:val="22"/>
        </w:rPr>
        <w:t>IMPD</w:t>
      </w:r>
      <w:r w:rsidR="00C62410">
        <w:rPr>
          <w:rFonts w:ascii="Arial" w:eastAsia="Arial" w:hAnsi="Arial" w:cs="Arial"/>
          <w:szCs w:val="22"/>
        </w:rPr>
        <w:t>)</w:t>
      </w:r>
      <w:r w:rsidRPr="0073701F">
        <w:rPr>
          <w:rFonts w:ascii="Arial" w:eastAsia="Arial" w:hAnsi="Arial" w:cs="Arial"/>
          <w:szCs w:val="22"/>
        </w:rPr>
        <w:t xml:space="preserve"> deben reflejar el conocimiento creciente y la experiencia con el proceso de fabricación y el desarrollo global del producto. Incluso en ensayos exploratorios, donde son inherentemente preliminares, los parámetros de proceso, controles en proceso y especificaciones de liberación con sus criterios deben documentarse y revisarse en etapas posteriores del desarrollo.</w:t>
      </w:r>
    </w:p>
    <w:p w:rsidR="009641F0" w:rsidRPr="0073701F" w:rsidRDefault="009641F0" w:rsidP="009641F0">
      <w:pPr>
        <w:spacing w:after="120"/>
        <w:jc w:val="both"/>
        <w:rPr>
          <w:rFonts w:ascii="Arial" w:eastAsia="Arial" w:hAnsi="Arial" w:cs="Arial"/>
          <w:szCs w:val="22"/>
        </w:rPr>
      </w:pPr>
      <w:r w:rsidRPr="0073701F">
        <w:rPr>
          <w:rFonts w:ascii="Arial" w:eastAsia="Arial" w:hAnsi="Arial" w:cs="Arial"/>
          <w:szCs w:val="22"/>
        </w:rPr>
        <w:t>Durante el desarrollo, puede ser necesario añadir o eliminar parámetros y modificar límites de aceptación o métodos analíticos, pero en todos los casos solo deben utilizarse métodos confirmados como adecuados para el uso previsto.</w:t>
      </w:r>
    </w:p>
    <w:p w:rsidR="009641F0" w:rsidRPr="00CA6236" w:rsidRDefault="009641F0" w:rsidP="009641F0">
      <w:pPr>
        <w:spacing w:after="120"/>
        <w:jc w:val="both"/>
        <w:rPr>
          <w:rFonts w:ascii="Arial" w:eastAsia="Arial" w:hAnsi="Arial" w:cs="Arial"/>
          <w:szCs w:val="22"/>
          <w:lang w:val="es-PY"/>
        </w:rPr>
      </w:pPr>
      <w:r w:rsidRPr="0073701F">
        <w:rPr>
          <w:rFonts w:ascii="Arial" w:eastAsia="Arial" w:hAnsi="Arial" w:cs="Arial"/>
          <w:szCs w:val="22"/>
        </w:rPr>
        <w:t xml:space="preserve">Los ensayos clínicos confirmatorios deben realizarse con un producto basado en un proceso de fabricación lo más maduro posible. La introducción de cambios sustanciales durante estudios clínicos fundamentales no se recomienda, ya que esto generará problemas de comparabilidad en la </w:t>
      </w:r>
      <w:r>
        <w:rPr>
          <w:rFonts w:ascii="Arial" w:eastAsia="Arial" w:hAnsi="Arial" w:cs="Arial"/>
          <w:szCs w:val="22"/>
        </w:rPr>
        <w:t>Autorización de Comercialización</w:t>
      </w:r>
      <w:r w:rsidRPr="0073701F">
        <w:rPr>
          <w:rFonts w:ascii="Arial" w:eastAsia="Arial" w:hAnsi="Arial" w:cs="Arial"/>
          <w:szCs w:val="22"/>
        </w:rPr>
        <w:t xml:space="preserve">, lo cual es un desafío particular para los </w:t>
      </w:r>
      <w:proofErr w:type="spellStart"/>
      <w:r w:rsidRPr="0073701F">
        <w:rPr>
          <w:rFonts w:ascii="Arial" w:eastAsia="Arial" w:hAnsi="Arial" w:cs="Arial"/>
          <w:szCs w:val="22"/>
        </w:rPr>
        <w:t>ATMPs</w:t>
      </w:r>
      <w:proofErr w:type="spellEnd"/>
      <w:r w:rsidRPr="0073701F">
        <w:rPr>
          <w:rFonts w:ascii="Arial" w:eastAsia="Arial" w:hAnsi="Arial" w:cs="Arial"/>
          <w:szCs w:val="22"/>
        </w:rPr>
        <w:t xml:space="preserve">. Además, esto puede plantear dudas sobre la representatividad (validez) de los datos obtenidos con el material previo al cambio. </w:t>
      </w:r>
    </w:p>
    <w:p w:rsidR="009641F0" w:rsidRPr="0073701F" w:rsidRDefault="009641F0" w:rsidP="009641F0">
      <w:pPr>
        <w:spacing w:after="120"/>
        <w:jc w:val="both"/>
        <w:rPr>
          <w:rFonts w:ascii="Arial" w:eastAsia="Arial" w:hAnsi="Arial" w:cs="Arial"/>
          <w:szCs w:val="22"/>
          <w:lang w:val="es-PY"/>
        </w:rPr>
      </w:pPr>
      <w:r w:rsidRPr="0073701F">
        <w:rPr>
          <w:rFonts w:ascii="Arial" w:eastAsia="Arial" w:hAnsi="Arial" w:cs="Arial"/>
          <w:szCs w:val="22"/>
          <w:lang w:val="es-PY"/>
        </w:rPr>
        <w:t xml:space="preserve">La combinación de </w:t>
      </w:r>
      <w:proofErr w:type="spellStart"/>
      <w:r w:rsidRPr="0073701F">
        <w:rPr>
          <w:rFonts w:ascii="Arial" w:eastAsia="Arial" w:hAnsi="Arial" w:cs="Arial"/>
          <w:szCs w:val="22"/>
          <w:lang w:val="es-PY"/>
        </w:rPr>
        <w:t>ATMPs</w:t>
      </w:r>
      <w:proofErr w:type="spellEnd"/>
      <w:r w:rsidRPr="0073701F">
        <w:rPr>
          <w:rFonts w:ascii="Arial" w:eastAsia="Arial" w:hAnsi="Arial" w:cs="Arial"/>
          <w:szCs w:val="22"/>
          <w:lang w:val="es-PY"/>
        </w:rPr>
        <w:t xml:space="preserve"> con dispositivos médicos puede dar lugar a diferentes escenarios regulatorios:</w:t>
      </w:r>
    </w:p>
    <w:p w:rsidR="009641F0" w:rsidRPr="0073701F" w:rsidRDefault="009641F0" w:rsidP="009641F0">
      <w:pPr>
        <w:spacing w:after="120"/>
        <w:jc w:val="both"/>
        <w:rPr>
          <w:rFonts w:ascii="Arial" w:eastAsia="Arial" w:hAnsi="Arial" w:cs="Arial"/>
          <w:szCs w:val="22"/>
          <w:lang w:val="es-PY"/>
        </w:rPr>
      </w:pPr>
      <w:r w:rsidRPr="0073701F">
        <w:rPr>
          <w:rFonts w:ascii="Arial" w:eastAsia="Arial" w:hAnsi="Arial" w:cs="Arial"/>
          <w:szCs w:val="22"/>
          <w:lang w:val="es-PY"/>
        </w:rPr>
        <w:t>Cuando un ATMP incorpora un dispositivo médico como parte integral de la sustancia activa, el producto se clasifica como ATMP combinado y el dispositivo médico se considerará material de partida (información en la sección S.2.3), por ejemplo, un andamio estructural que proporciona una estructura tridimensional a las células sembradas en él.</w:t>
      </w:r>
    </w:p>
    <w:p w:rsidR="009641F0" w:rsidRPr="0073701F" w:rsidRDefault="009641F0" w:rsidP="009641F0">
      <w:pPr>
        <w:spacing w:after="120"/>
        <w:jc w:val="both"/>
        <w:rPr>
          <w:rFonts w:ascii="Arial" w:eastAsia="Arial" w:hAnsi="Arial" w:cs="Arial"/>
          <w:szCs w:val="22"/>
          <w:lang w:val="es-PY"/>
        </w:rPr>
      </w:pPr>
      <w:r w:rsidRPr="0073701F">
        <w:rPr>
          <w:rFonts w:ascii="Arial" w:eastAsia="Arial" w:hAnsi="Arial" w:cs="Arial"/>
          <w:szCs w:val="22"/>
          <w:lang w:val="es-PY"/>
        </w:rPr>
        <w:t>Alternativamente, el dispositivo médico puede formar parte de la formulación final del producto terminado, del sistema de cierre del envase o ser requerido de manera independiente para la administración. Estos casos se abordan en las secciones de Producto Terminado.</w:t>
      </w:r>
    </w:p>
    <w:p w:rsidR="009641F0" w:rsidRPr="0073701F" w:rsidRDefault="009641F0" w:rsidP="009641F0">
      <w:pPr>
        <w:spacing w:after="120"/>
        <w:jc w:val="both"/>
        <w:rPr>
          <w:rFonts w:ascii="Arial" w:eastAsia="Arial" w:hAnsi="Arial" w:cs="Arial"/>
          <w:b/>
          <w:i/>
          <w:szCs w:val="22"/>
          <w:lang w:val="es-PY"/>
        </w:rPr>
      </w:pPr>
      <w:r w:rsidRPr="0073701F">
        <w:rPr>
          <w:rFonts w:ascii="Arial" w:eastAsia="Arial" w:hAnsi="Arial" w:cs="Arial"/>
          <w:b/>
          <w:i/>
          <w:szCs w:val="22"/>
          <w:lang w:val="es-PY"/>
        </w:rPr>
        <w:t>S Sustancia activa</w:t>
      </w:r>
    </w:p>
    <w:p w:rsidR="009641F0" w:rsidRPr="0073701F" w:rsidRDefault="009641F0" w:rsidP="009641F0">
      <w:pPr>
        <w:spacing w:after="120"/>
        <w:jc w:val="both"/>
        <w:rPr>
          <w:rFonts w:ascii="Arial" w:eastAsia="Arial" w:hAnsi="Arial" w:cs="Arial"/>
          <w:szCs w:val="22"/>
          <w:lang w:val="es-PY"/>
        </w:rPr>
      </w:pPr>
      <w:r w:rsidRPr="0073701F">
        <w:rPr>
          <w:rFonts w:ascii="Arial" w:eastAsia="Arial" w:hAnsi="Arial" w:cs="Arial"/>
          <w:szCs w:val="22"/>
          <w:lang w:val="es-PY"/>
        </w:rPr>
        <w:t xml:space="preserve">La sustancia activa de un ATMP en investigación basado en células está compuesta por las células y/o tejidos manipulados o no manipulados y sustancias adicionales (por ejemplo, </w:t>
      </w:r>
      <w:r w:rsidR="0062254F">
        <w:rPr>
          <w:rFonts w:ascii="Arial" w:eastAsia="Arial" w:hAnsi="Arial" w:cs="Arial"/>
          <w:szCs w:val="22"/>
          <w:lang w:val="es-PY"/>
        </w:rPr>
        <w:t>estructuras de soporte</w:t>
      </w:r>
      <w:r w:rsidRPr="0073701F">
        <w:rPr>
          <w:rFonts w:ascii="Arial" w:eastAsia="Arial" w:hAnsi="Arial" w:cs="Arial"/>
          <w:szCs w:val="22"/>
          <w:lang w:val="es-PY"/>
        </w:rPr>
        <w:t xml:space="preserve">, matrices, dispositivos, </w:t>
      </w:r>
      <w:r w:rsidRPr="0073701F">
        <w:rPr>
          <w:rFonts w:ascii="Arial" w:eastAsia="Arial" w:hAnsi="Arial" w:cs="Arial"/>
          <w:szCs w:val="22"/>
          <w:lang w:val="es-PY"/>
        </w:rPr>
        <w:lastRenderedPageBreak/>
        <w:t>biomateriales, biomoléculas y/u otros componentes), según corresponda (información en S.2.3).</w:t>
      </w:r>
    </w:p>
    <w:p w:rsidR="009641F0" w:rsidRPr="0073701F" w:rsidRDefault="009641F0" w:rsidP="009641F0">
      <w:pPr>
        <w:spacing w:after="120"/>
        <w:jc w:val="both"/>
        <w:rPr>
          <w:rFonts w:ascii="Arial" w:eastAsia="Arial" w:hAnsi="Arial" w:cs="Arial"/>
          <w:szCs w:val="22"/>
          <w:lang w:val="es-PY"/>
        </w:rPr>
      </w:pPr>
      <w:r w:rsidRPr="0073701F">
        <w:rPr>
          <w:rFonts w:ascii="Arial" w:eastAsia="Arial" w:hAnsi="Arial" w:cs="Arial"/>
          <w:szCs w:val="22"/>
          <w:lang w:val="es-PY"/>
        </w:rPr>
        <w:t>La sustancia activa de un ATMP en investigación de terapia génica basado en métodos de transferencia génica in vivo está compuesta por el ácido nucleico recombinante y, cuando corresponda, el vector utilizado para su administración. En el caso de enfoques de edición genómica in vivo, las sustancias activas normalmente comprenden las herramientas utilizadas para la edición genómica prevista. Estas pueden ser tan diversas como un ácido nucleico (ADN o ARN), una proteína, un</w:t>
      </w:r>
      <w:r>
        <w:rPr>
          <w:rFonts w:ascii="Arial" w:eastAsia="Arial" w:hAnsi="Arial" w:cs="Arial"/>
          <w:szCs w:val="22"/>
          <w:lang w:val="es-PY"/>
        </w:rPr>
        <w:t>a</w:t>
      </w:r>
      <w:r w:rsidRPr="0073701F">
        <w:rPr>
          <w:rFonts w:ascii="Arial" w:eastAsia="Arial" w:hAnsi="Arial" w:cs="Arial"/>
          <w:szCs w:val="22"/>
          <w:lang w:val="es-PY"/>
        </w:rPr>
        <w:t xml:space="preserve"> </w:t>
      </w:r>
      <w:proofErr w:type="spellStart"/>
      <w:r w:rsidRPr="0073701F">
        <w:rPr>
          <w:rFonts w:ascii="Arial" w:eastAsia="Arial" w:hAnsi="Arial" w:cs="Arial"/>
          <w:szCs w:val="22"/>
          <w:lang w:val="es-PY"/>
        </w:rPr>
        <w:t>ribonucleoproteína</w:t>
      </w:r>
      <w:proofErr w:type="spellEnd"/>
      <w:r w:rsidRPr="0073701F">
        <w:rPr>
          <w:rFonts w:ascii="Arial" w:eastAsia="Arial" w:hAnsi="Arial" w:cs="Arial"/>
          <w:szCs w:val="22"/>
          <w:lang w:val="es-PY"/>
        </w:rPr>
        <w:t>, etc., o el vector viral o no viral utilizado para administrarlas.</w:t>
      </w:r>
    </w:p>
    <w:p w:rsidR="009641F0" w:rsidRPr="0073701F" w:rsidRDefault="009641F0" w:rsidP="009641F0">
      <w:pPr>
        <w:spacing w:after="120"/>
        <w:jc w:val="both"/>
        <w:rPr>
          <w:rFonts w:ascii="Arial" w:eastAsia="Arial" w:hAnsi="Arial" w:cs="Arial"/>
          <w:szCs w:val="22"/>
          <w:lang w:val="es-PY"/>
        </w:rPr>
      </w:pPr>
      <w:r w:rsidRPr="0073701F">
        <w:rPr>
          <w:rFonts w:ascii="Arial" w:eastAsia="Arial" w:hAnsi="Arial" w:cs="Arial"/>
          <w:szCs w:val="22"/>
          <w:lang w:val="es-PY"/>
        </w:rPr>
        <w:t xml:space="preserve">En el caso de células modificadas genéticamente </w:t>
      </w:r>
      <w:r w:rsidRPr="0062254F">
        <w:rPr>
          <w:rFonts w:ascii="Arial" w:eastAsia="Arial" w:hAnsi="Arial" w:cs="Arial"/>
          <w:i/>
          <w:szCs w:val="22"/>
          <w:lang w:val="es-PY"/>
        </w:rPr>
        <w:t>ex vivo</w:t>
      </w:r>
      <w:r w:rsidRPr="0073701F">
        <w:rPr>
          <w:rFonts w:ascii="Arial" w:eastAsia="Arial" w:hAnsi="Arial" w:cs="Arial"/>
          <w:szCs w:val="22"/>
          <w:lang w:val="es-PY"/>
        </w:rPr>
        <w:t>, la sustancia activa está compuesta por las células modificadas. La población celular inicial, los vectores virales o no virales y cualquier otro ácido nucleico y/o proteína utilizada en la modificación genética de las células se consideran materiales de partida. Las proteínas recombinantes y el ARNm recombinante, así como los componentes para producirlos (por ejemplo, plásmidos, células), también se consideran materiales de partida (información en S.2.3).</w:t>
      </w:r>
    </w:p>
    <w:p w:rsidR="009641F0" w:rsidRPr="00BD08A2" w:rsidRDefault="009641F0" w:rsidP="009641F0">
      <w:pPr>
        <w:spacing w:after="120"/>
        <w:jc w:val="both"/>
        <w:rPr>
          <w:rFonts w:ascii="Arial" w:eastAsia="Arial" w:hAnsi="Arial" w:cs="Arial"/>
          <w:b/>
          <w:i/>
          <w:szCs w:val="22"/>
          <w:lang w:val="es-PY"/>
        </w:rPr>
      </w:pPr>
      <w:r w:rsidRPr="00BD08A2">
        <w:rPr>
          <w:rFonts w:ascii="Arial" w:eastAsia="Arial" w:hAnsi="Arial" w:cs="Arial"/>
          <w:b/>
          <w:i/>
          <w:szCs w:val="22"/>
          <w:lang w:val="es-PY"/>
        </w:rPr>
        <w:t>S.1. Información General</w:t>
      </w:r>
    </w:p>
    <w:p w:rsidR="009641F0" w:rsidRPr="00BD08A2" w:rsidRDefault="009641F0" w:rsidP="009641F0">
      <w:pPr>
        <w:spacing w:after="120"/>
        <w:jc w:val="both"/>
        <w:rPr>
          <w:rFonts w:ascii="Arial" w:eastAsia="Arial" w:hAnsi="Arial" w:cs="Arial"/>
          <w:b/>
          <w:i/>
          <w:szCs w:val="22"/>
          <w:lang w:val="es-PY"/>
        </w:rPr>
      </w:pPr>
      <w:r w:rsidRPr="00BD08A2">
        <w:rPr>
          <w:rFonts w:ascii="Arial" w:eastAsia="Arial" w:hAnsi="Arial" w:cs="Arial"/>
          <w:b/>
          <w:i/>
          <w:szCs w:val="22"/>
          <w:lang w:val="es-PY"/>
        </w:rPr>
        <w:t>S.1.1. Nomenclatura</w:t>
      </w:r>
    </w:p>
    <w:p w:rsidR="009641F0" w:rsidRDefault="009641F0" w:rsidP="009641F0">
      <w:pPr>
        <w:spacing w:after="120"/>
        <w:jc w:val="both"/>
        <w:rPr>
          <w:rFonts w:ascii="Arial" w:eastAsia="Arial" w:hAnsi="Arial" w:cs="Arial"/>
          <w:szCs w:val="22"/>
          <w:lang w:val="es-PY"/>
        </w:rPr>
      </w:pPr>
      <w:r w:rsidRPr="00154F5F">
        <w:rPr>
          <w:rFonts w:ascii="Arial" w:eastAsia="Arial" w:hAnsi="Arial" w:cs="Arial"/>
          <w:szCs w:val="22"/>
          <w:lang w:val="es-PY"/>
        </w:rPr>
        <w:t xml:space="preserve">Debe proporcionarse información relativa a la nomenclatura de la sustancia activa (por ejemplo, nombre común internacional propuesto (INN), si está disponible; nombre </w:t>
      </w:r>
      <w:proofErr w:type="spellStart"/>
      <w:r w:rsidRPr="00154F5F">
        <w:rPr>
          <w:rFonts w:ascii="Arial" w:eastAsia="Arial" w:hAnsi="Arial" w:cs="Arial"/>
          <w:szCs w:val="22"/>
          <w:lang w:val="es-PY"/>
        </w:rPr>
        <w:t>farmacopeico</w:t>
      </w:r>
      <w:proofErr w:type="spellEnd"/>
      <w:r w:rsidRPr="00154F5F">
        <w:rPr>
          <w:rFonts w:ascii="Arial" w:eastAsia="Arial" w:hAnsi="Arial" w:cs="Arial"/>
          <w:szCs w:val="22"/>
          <w:lang w:val="es-PY"/>
        </w:rPr>
        <w:t>; nombre comercial; código de la empresa; otros nombres o códigos, en su caso). Debe incluirse el historial de denominaciones.</w:t>
      </w:r>
    </w:p>
    <w:p w:rsidR="009641F0" w:rsidRPr="00BD08A2" w:rsidRDefault="009641F0" w:rsidP="009641F0">
      <w:pPr>
        <w:spacing w:after="120"/>
        <w:jc w:val="both"/>
        <w:rPr>
          <w:rFonts w:ascii="Arial" w:eastAsia="Arial" w:hAnsi="Arial" w:cs="Arial"/>
          <w:b/>
          <w:i/>
          <w:szCs w:val="22"/>
          <w:lang w:val="es-PY"/>
        </w:rPr>
      </w:pPr>
      <w:r w:rsidRPr="00BD08A2">
        <w:rPr>
          <w:rFonts w:ascii="Arial" w:eastAsia="Arial" w:hAnsi="Arial" w:cs="Arial"/>
          <w:b/>
          <w:i/>
          <w:szCs w:val="22"/>
          <w:lang w:val="es-PY"/>
        </w:rPr>
        <w:t>S.1.2. Estructura</w:t>
      </w:r>
    </w:p>
    <w:p w:rsidR="009641F0" w:rsidRPr="00206A61" w:rsidRDefault="009641F0" w:rsidP="009641F0">
      <w:pPr>
        <w:spacing w:after="120"/>
        <w:jc w:val="both"/>
        <w:rPr>
          <w:rFonts w:ascii="Arial" w:eastAsia="Arial" w:hAnsi="Arial" w:cs="Arial"/>
          <w:szCs w:val="22"/>
          <w:lang w:val="es-PY"/>
        </w:rPr>
      </w:pPr>
      <w:r w:rsidRPr="00206A61">
        <w:rPr>
          <w:rFonts w:ascii="Arial" w:eastAsia="Arial" w:hAnsi="Arial" w:cs="Arial"/>
          <w:szCs w:val="22"/>
          <w:lang w:val="es-PY"/>
        </w:rPr>
        <w:t xml:space="preserve">Para las sustancias activas de </w:t>
      </w:r>
      <w:proofErr w:type="spellStart"/>
      <w:r w:rsidRPr="00206A61">
        <w:rPr>
          <w:rFonts w:ascii="Arial" w:eastAsia="Arial" w:hAnsi="Arial" w:cs="Arial"/>
          <w:szCs w:val="22"/>
          <w:lang w:val="es-PY"/>
        </w:rPr>
        <w:t>ATMPs</w:t>
      </w:r>
      <w:proofErr w:type="spellEnd"/>
      <w:r w:rsidRPr="00206A61">
        <w:rPr>
          <w:rFonts w:ascii="Arial" w:eastAsia="Arial" w:hAnsi="Arial" w:cs="Arial"/>
          <w:szCs w:val="22"/>
          <w:lang w:val="es-PY"/>
        </w:rPr>
        <w:t xml:space="preserve"> en investigación basados en células, debe proporcionarse una descripción de las células que se definen como la sustancia activa, incluyendo información sobre la composición celular (por ejemplo, subtipos celulares). Los componentes estructurales, si forman parte de la sustancia activa, deben describirse, por ejemplo, cuando las células se cultivan en láminas o se combinan con matrices/</w:t>
      </w:r>
      <w:r w:rsidR="00E84F1A">
        <w:rPr>
          <w:rFonts w:ascii="Arial" w:eastAsia="Arial" w:hAnsi="Arial" w:cs="Arial"/>
          <w:szCs w:val="22"/>
          <w:lang w:val="es-PY"/>
        </w:rPr>
        <w:t>estructuras de soporte</w:t>
      </w:r>
      <w:r w:rsidRPr="00206A61">
        <w:rPr>
          <w:rFonts w:ascii="Arial" w:eastAsia="Arial" w:hAnsi="Arial" w:cs="Arial"/>
          <w:szCs w:val="22"/>
          <w:lang w:val="es-PY"/>
        </w:rPr>
        <w:t>.</w:t>
      </w:r>
    </w:p>
    <w:p w:rsidR="009641F0" w:rsidRPr="00206A61" w:rsidRDefault="009641F0" w:rsidP="009641F0">
      <w:pPr>
        <w:spacing w:after="120"/>
        <w:jc w:val="both"/>
        <w:rPr>
          <w:rFonts w:ascii="Arial" w:eastAsia="Arial" w:hAnsi="Arial" w:cs="Arial"/>
          <w:szCs w:val="22"/>
          <w:lang w:val="es-PY"/>
        </w:rPr>
      </w:pPr>
      <w:r w:rsidRPr="00206A61">
        <w:rPr>
          <w:rFonts w:ascii="Arial" w:eastAsia="Arial" w:hAnsi="Arial" w:cs="Arial"/>
          <w:szCs w:val="22"/>
          <w:lang w:val="es-PY"/>
        </w:rPr>
        <w:t xml:space="preserve">Para las sustancias activas de </w:t>
      </w:r>
      <w:proofErr w:type="spellStart"/>
      <w:r w:rsidRPr="00206A61">
        <w:rPr>
          <w:rFonts w:ascii="Arial" w:eastAsia="Arial" w:hAnsi="Arial" w:cs="Arial"/>
          <w:szCs w:val="22"/>
          <w:lang w:val="es-PY"/>
        </w:rPr>
        <w:t>ATMPs</w:t>
      </w:r>
      <w:proofErr w:type="spellEnd"/>
      <w:r w:rsidRPr="00206A61">
        <w:rPr>
          <w:rFonts w:ascii="Arial" w:eastAsia="Arial" w:hAnsi="Arial" w:cs="Arial"/>
          <w:szCs w:val="22"/>
          <w:lang w:val="es-PY"/>
        </w:rPr>
        <w:t xml:space="preserve"> en investigación de terapia génica, debe proporcionarse una descripción del vector, sus características estructurales y la construcción genética, incluyendo una representación esquemática. Deben proporcionarse las secuencias terapéuticas, las regiones de unión y los elementos reguladores. Cualquier secuencia que haya sido añadida para direccionamiento, regulación o expresión de la construcción genética debe ser descrita.</w:t>
      </w:r>
    </w:p>
    <w:p w:rsidR="009641F0" w:rsidRDefault="009641F0" w:rsidP="009641F0">
      <w:pPr>
        <w:spacing w:after="120"/>
        <w:jc w:val="both"/>
        <w:rPr>
          <w:rFonts w:ascii="Arial" w:eastAsia="Arial" w:hAnsi="Arial" w:cs="Arial"/>
          <w:szCs w:val="22"/>
          <w:lang w:val="es-PY"/>
        </w:rPr>
      </w:pPr>
      <w:r w:rsidRPr="00206A61">
        <w:rPr>
          <w:rFonts w:ascii="Arial" w:eastAsia="Arial" w:hAnsi="Arial" w:cs="Arial"/>
          <w:szCs w:val="22"/>
          <w:lang w:val="es-PY"/>
        </w:rPr>
        <w:lastRenderedPageBreak/>
        <w:t xml:space="preserve">Para las sustancias activas de células modificadas genéticamente, además de la información descrita para todos los </w:t>
      </w:r>
      <w:proofErr w:type="spellStart"/>
      <w:r w:rsidRPr="00206A61">
        <w:rPr>
          <w:rFonts w:ascii="Arial" w:eastAsia="Arial" w:hAnsi="Arial" w:cs="Arial"/>
          <w:szCs w:val="22"/>
          <w:lang w:val="es-PY"/>
        </w:rPr>
        <w:t>ATMPs</w:t>
      </w:r>
      <w:proofErr w:type="spellEnd"/>
      <w:r w:rsidRPr="00206A61">
        <w:rPr>
          <w:rFonts w:ascii="Arial" w:eastAsia="Arial" w:hAnsi="Arial" w:cs="Arial"/>
          <w:szCs w:val="22"/>
          <w:lang w:val="es-PY"/>
        </w:rPr>
        <w:t xml:space="preserve"> en investigación basados en células, debe describirse la construcción genética o la modificación genética. Si las propiedades estructurales de las células han cambiado (por ejemplo, la expresión de receptores), esto también debe detallarse.</w:t>
      </w:r>
    </w:p>
    <w:p w:rsidR="009641F0" w:rsidRPr="00670C5A" w:rsidRDefault="009641F0" w:rsidP="009641F0">
      <w:pPr>
        <w:spacing w:after="120"/>
        <w:jc w:val="both"/>
        <w:rPr>
          <w:rFonts w:ascii="Arial" w:eastAsia="Arial" w:hAnsi="Arial" w:cs="Arial"/>
          <w:b/>
          <w:i/>
          <w:szCs w:val="22"/>
          <w:lang w:val="es-PY"/>
        </w:rPr>
      </w:pPr>
      <w:r w:rsidRPr="00670C5A">
        <w:rPr>
          <w:rFonts w:ascii="Arial" w:eastAsia="Arial" w:hAnsi="Arial" w:cs="Arial"/>
          <w:b/>
          <w:i/>
          <w:szCs w:val="22"/>
          <w:lang w:val="es-PY"/>
        </w:rPr>
        <w:t>S.1.3. Propiedades generales</w:t>
      </w:r>
    </w:p>
    <w:p w:rsidR="009641F0" w:rsidRPr="00D518B9" w:rsidRDefault="009641F0" w:rsidP="009641F0">
      <w:pPr>
        <w:spacing w:after="120"/>
        <w:jc w:val="both"/>
        <w:rPr>
          <w:rFonts w:ascii="Arial" w:eastAsia="Arial" w:hAnsi="Arial" w:cs="Arial"/>
          <w:szCs w:val="22"/>
          <w:lang w:val="es-PY"/>
        </w:rPr>
      </w:pPr>
      <w:r w:rsidRPr="00D518B9">
        <w:rPr>
          <w:rFonts w:ascii="Arial" w:eastAsia="Arial" w:hAnsi="Arial" w:cs="Arial"/>
          <w:szCs w:val="22"/>
          <w:lang w:val="es-PY"/>
        </w:rPr>
        <w:t>Debe proporcionarse la composición y una lista de las propiedades fisicoquímicas y otras propiedades relevantes de la sustancia activa, incluyendo la actividad biológica (es decir, la capacidad específica de un producto para lograr un efecto biológico definido). El mecanismo de acción propuesto debe presentarse y constituir la base para la definición de las propiedades biológicas relevantes de la sustancia activa.</w:t>
      </w:r>
    </w:p>
    <w:p w:rsidR="009641F0" w:rsidRPr="00D518B9" w:rsidRDefault="009641F0" w:rsidP="009641F0">
      <w:pPr>
        <w:spacing w:after="120"/>
        <w:jc w:val="both"/>
        <w:rPr>
          <w:rFonts w:ascii="Arial" w:eastAsia="Arial" w:hAnsi="Arial" w:cs="Arial"/>
          <w:szCs w:val="22"/>
          <w:lang w:val="es-PY"/>
        </w:rPr>
      </w:pPr>
      <w:r w:rsidRPr="00D518B9">
        <w:rPr>
          <w:rFonts w:ascii="Arial" w:eastAsia="Arial" w:hAnsi="Arial" w:cs="Arial"/>
          <w:szCs w:val="22"/>
          <w:lang w:val="es-PY"/>
        </w:rPr>
        <w:t xml:space="preserve">Para los </w:t>
      </w:r>
      <w:proofErr w:type="spellStart"/>
      <w:r w:rsidRPr="00D518B9">
        <w:rPr>
          <w:rFonts w:ascii="Arial" w:eastAsia="Arial" w:hAnsi="Arial" w:cs="Arial"/>
          <w:szCs w:val="22"/>
          <w:lang w:val="es-PY"/>
        </w:rPr>
        <w:t>ATMPs</w:t>
      </w:r>
      <w:proofErr w:type="spellEnd"/>
      <w:r w:rsidRPr="00D518B9">
        <w:rPr>
          <w:rFonts w:ascii="Arial" w:eastAsia="Arial" w:hAnsi="Arial" w:cs="Arial"/>
          <w:szCs w:val="22"/>
          <w:lang w:val="es-PY"/>
        </w:rPr>
        <w:t xml:space="preserve"> en investigación basados en células, cuando los materiales celulares iniciales se obtienen mediante tecnologías específicas (por ejemplo, reprogramación, modificación genética, activación), deben describirse brevemente el origen y tipo de las células iniciales y la técnica de procesamiento, incluyendo, según corresponda, propiedades como adherencia, estado de diferenciación, capacidad de someterse a mitosis/proliferación, secreción/producción de factores tróficos u otras proteínas, unión y/o activación de células inmunes, y otra actividad biológica.</w:t>
      </w:r>
    </w:p>
    <w:p w:rsidR="009641F0" w:rsidRPr="00D518B9" w:rsidRDefault="009641F0" w:rsidP="009641F0">
      <w:pPr>
        <w:spacing w:after="120"/>
        <w:jc w:val="both"/>
        <w:rPr>
          <w:rFonts w:ascii="Arial" w:eastAsia="Arial" w:hAnsi="Arial" w:cs="Arial"/>
          <w:szCs w:val="22"/>
          <w:lang w:val="es-PY"/>
        </w:rPr>
      </w:pPr>
      <w:r w:rsidRPr="00D518B9">
        <w:rPr>
          <w:rFonts w:ascii="Arial" w:eastAsia="Arial" w:hAnsi="Arial" w:cs="Arial"/>
          <w:szCs w:val="22"/>
          <w:lang w:val="es-PY"/>
        </w:rPr>
        <w:t xml:space="preserve">Para los </w:t>
      </w:r>
      <w:proofErr w:type="spellStart"/>
      <w:r w:rsidRPr="00D518B9">
        <w:rPr>
          <w:rFonts w:ascii="Arial" w:eastAsia="Arial" w:hAnsi="Arial" w:cs="Arial"/>
          <w:szCs w:val="22"/>
          <w:lang w:val="es-PY"/>
        </w:rPr>
        <w:t>ATMPs</w:t>
      </w:r>
      <w:proofErr w:type="spellEnd"/>
      <w:r w:rsidRPr="00D518B9">
        <w:rPr>
          <w:rFonts w:ascii="Arial" w:eastAsia="Arial" w:hAnsi="Arial" w:cs="Arial"/>
          <w:szCs w:val="22"/>
          <w:lang w:val="es-PY"/>
        </w:rPr>
        <w:t xml:space="preserve"> en investigación basados en vectores virales o bacterianos, las propiedades biológicas incluyen el serotipo o cepa del vector, la modificación genética si la hubiere (vector silvestre o modificado), la competencia replicativa, el tropismo tisular, la especificidad tisular y el resultado previsto de la modificación genética.</w:t>
      </w:r>
    </w:p>
    <w:p w:rsidR="009641F0" w:rsidRPr="00D518B9" w:rsidRDefault="009641F0" w:rsidP="009641F0">
      <w:pPr>
        <w:spacing w:after="120"/>
        <w:jc w:val="both"/>
        <w:rPr>
          <w:rFonts w:ascii="Arial" w:eastAsia="Arial" w:hAnsi="Arial" w:cs="Arial"/>
          <w:szCs w:val="22"/>
          <w:lang w:val="es-PY"/>
        </w:rPr>
      </w:pPr>
      <w:r w:rsidRPr="00D518B9">
        <w:rPr>
          <w:rFonts w:ascii="Arial" w:eastAsia="Arial" w:hAnsi="Arial" w:cs="Arial"/>
          <w:szCs w:val="22"/>
          <w:lang w:val="es-PY"/>
        </w:rPr>
        <w:t xml:space="preserve">Para la edición genómica, debe describirse el mecanismo de modificación previsto. Si existe una secuencia donante (transgén) que se insertará en el genoma, debe describirse su mecanismo de inserción. Para enfoques </w:t>
      </w:r>
      <w:r w:rsidRPr="002F56C1">
        <w:rPr>
          <w:rFonts w:ascii="Arial" w:eastAsia="Arial" w:hAnsi="Arial" w:cs="Arial"/>
          <w:i/>
          <w:szCs w:val="22"/>
          <w:lang w:val="es-PY"/>
        </w:rPr>
        <w:t>in vivo</w:t>
      </w:r>
      <w:r w:rsidRPr="00D518B9">
        <w:rPr>
          <w:rFonts w:ascii="Arial" w:eastAsia="Arial" w:hAnsi="Arial" w:cs="Arial"/>
          <w:szCs w:val="22"/>
          <w:lang w:val="es-PY"/>
        </w:rPr>
        <w:t>, también es importante describir el método de administración de las diferentes herramientas al paciente, dado que este será un factor relevante a considerar en la evaluación de la potencia de la combinación de herramientas.</w:t>
      </w:r>
    </w:p>
    <w:p w:rsidR="009641F0" w:rsidRDefault="009641F0" w:rsidP="009641F0">
      <w:pPr>
        <w:spacing w:after="120"/>
        <w:jc w:val="both"/>
        <w:rPr>
          <w:rFonts w:ascii="Arial" w:eastAsia="Arial" w:hAnsi="Arial" w:cs="Arial"/>
          <w:szCs w:val="22"/>
          <w:lang w:val="es-PY"/>
        </w:rPr>
      </w:pPr>
      <w:r w:rsidRPr="00D518B9">
        <w:rPr>
          <w:rFonts w:ascii="Arial" w:eastAsia="Arial" w:hAnsi="Arial" w:cs="Arial"/>
          <w:szCs w:val="22"/>
          <w:lang w:val="es-PY"/>
        </w:rPr>
        <w:t>Para las sustancias activas de vectores no virales, como plásmidos o ARNm, deben incluirse las propiedades fisicoquímicas de longitud y masa molar, así como información sobre el uso de nucleótidos modificados.</w:t>
      </w:r>
    </w:p>
    <w:p w:rsidR="009641F0" w:rsidRPr="00871458" w:rsidRDefault="009641F0" w:rsidP="009641F0">
      <w:pPr>
        <w:spacing w:after="120"/>
        <w:jc w:val="both"/>
        <w:rPr>
          <w:rFonts w:ascii="Arial" w:eastAsia="Arial" w:hAnsi="Arial" w:cs="Arial"/>
          <w:b/>
          <w:i/>
          <w:szCs w:val="22"/>
          <w:lang w:val="es-PY"/>
        </w:rPr>
      </w:pPr>
      <w:r w:rsidRPr="00871458">
        <w:rPr>
          <w:rFonts w:ascii="Arial" w:eastAsia="Arial" w:hAnsi="Arial" w:cs="Arial"/>
          <w:b/>
          <w:i/>
          <w:szCs w:val="22"/>
          <w:lang w:val="es-PY"/>
        </w:rPr>
        <w:t>S.2. Fabricación</w:t>
      </w:r>
    </w:p>
    <w:p w:rsidR="009641F0" w:rsidRPr="00871458" w:rsidRDefault="009641F0" w:rsidP="009641F0">
      <w:pPr>
        <w:spacing w:after="120"/>
        <w:jc w:val="both"/>
        <w:rPr>
          <w:rFonts w:ascii="Arial" w:eastAsia="Arial" w:hAnsi="Arial" w:cs="Arial"/>
          <w:b/>
          <w:i/>
          <w:szCs w:val="22"/>
          <w:lang w:val="es-PY"/>
        </w:rPr>
      </w:pPr>
      <w:r w:rsidRPr="00871458">
        <w:rPr>
          <w:rFonts w:ascii="Arial" w:eastAsia="Arial" w:hAnsi="Arial" w:cs="Arial"/>
          <w:b/>
          <w:i/>
          <w:szCs w:val="22"/>
          <w:lang w:val="es-PY"/>
        </w:rPr>
        <w:t>S.2.1. Fabricante(s)</w:t>
      </w:r>
    </w:p>
    <w:p w:rsidR="009641F0" w:rsidRDefault="009641F0" w:rsidP="009641F0">
      <w:pPr>
        <w:spacing w:after="120"/>
        <w:jc w:val="both"/>
        <w:rPr>
          <w:rFonts w:ascii="Arial" w:eastAsia="Arial" w:hAnsi="Arial" w:cs="Arial"/>
          <w:szCs w:val="22"/>
          <w:lang w:val="es-PY"/>
        </w:rPr>
      </w:pPr>
      <w:r w:rsidRPr="00871458">
        <w:rPr>
          <w:rFonts w:ascii="Arial" w:eastAsia="Arial" w:hAnsi="Arial" w:cs="Arial"/>
          <w:szCs w:val="22"/>
          <w:lang w:val="es-PY"/>
        </w:rPr>
        <w:lastRenderedPageBreak/>
        <w:t>Deben proporcionarse el/los nombre(s), dirección(es) y responsabilidades de cada fabricante o instalación, incluidos los contratistas, involucrados en la fabricación de la sustancia activa, en las pruebas y en la liberación de lotes.</w:t>
      </w:r>
    </w:p>
    <w:p w:rsidR="009641F0" w:rsidRPr="009749D8" w:rsidRDefault="009641F0" w:rsidP="009641F0">
      <w:pPr>
        <w:spacing w:after="120"/>
        <w:jc w:val="both"/>
        <w:rPr>
          <w:rFonts w:ascii="Arial" w:eastAsia="Arial" w:hAnsi="Arial" w:cs="Arial"/>
          <w:b/>
          <w:i/>
          <w:szCs w:val="22"/>
          <w:lang w:val="es-PY"/>
        </w:rPr>
      </w:pPr>
      <w:r w:rsidRPr="009749D8">
        <w:rPr>
          <w:rFonts w:ascii="Arial" w:eastAsia="Arial" w:hAnsi="Arial" w:cs="Arial"/>
          <w:b/>
          <w:i/>
          <w:szCs w:val="22"/>
          <w:lang w:val="es-PY"/>
        </w:rPr>
        <w:t>S.2.2. Descripción del proceso de manufactura y controles de proceso</w:t>
      </w:r>
    </w:p>
    <w:p w:rsidR="009641F0" w:rsidRPr="00D93091" w:rsidRDefault="009641F0" w:rsidP="009641F0">
      <w:pPr>
        <w:spacing w:after="120"/>
        <w:jc w:val="both"/>
        <w:rPr>
          <w:rFonts w:ascii="Arial" w:eastAsia="Arial" w:hAnsi="Arial" w:cs="Arial"/>
          <w:szCs w:val="22"/>
          <w:lang w:val="es-PY"/>
        </w:rPr>
      </w:pPr>
      <w:r w:rsidRPr="00D93091">
        <w:rPr>
          <w:rFonts w:ascii="Arial" w:eastAsia="Arial" w:hAnsi="Arial" w:cs="Arial"/>
          <w:szCs w:val="22"/>
          <w:lang w:val="es-PY"/>
        </w:rPr>
        <w:t>El proceso de fabricación y los controles de proceso deben diseñarse cuidadosamente, describirse de manera concisa y paso a paso. Debe indicarse un diagrama de flujo de todas las etapas sucesivas de fabricación a partir de la entrada del material de partida en el proceso de fabricación, incluyendo los parámetros de proceso relevantes y las pruebas de control en proceso vinculadas a estas etapas. Deben especificarse todos los tiempos de procesamiento y de espera relevantes. Los lotes y la escala deben definirse, incluyendo información sobre cualquier agrupamiento (</w:t>
      </w:r>
      <w:proofErr w:type="spellStart"/>
      <w:r w:rsidRPr="00D93091">
        <w:rPr>
          <w:rFonts w:ascii="Arial" w:eastAsia="Arial" w:hAnsi="Arial" w:cs="Arial"/>
          <w:szCs w:val="22"/>
          <w:lang w:val="es-PY"/>
        </w:rPr>
        <w:t>pooling</w:t>
      </w:r>
      <w:proofErr w:type="spellEnd"/>
      <w:r w:rsidRPr="00D93091">
        <w:rPr>
          <w:rFonts w:ascii="Arial" w:eastAsia="Arial" w:hAnsi="Arial" w:cs="Arial"/>
          <w:szCs w:val="22"/>
          <w:lang w:val="es-PY"/>
        </w:rPr>
        <w:t>) de cosechas o intermedios. Para los productos basados en células, debe indicarse la duración total del cultivo, desde el momento en que las células ingresan al proceso de fabricación, expresada en días, así como una estimación de las duplicaciones poblacionales.</w:t>
      </w:r>
    </w:p>
    <w:p w:rsidR="009641F0" w:rsidRPr="00D93091" w:rsidRDefault="009641F0" w:rsidP="009641F0">
      <w:pPr>
        <w:spacing w:after="120"/>
        <w:jc w:val="both"/>
        <w:rPr>
          <w:rFonts w:ascii="Arial" w:eastAsia="Arial" w:hAnsi="Arial" w:cs="Arial"/>
          <w:szCs w:val="22"/>
          <w:lang w:val="es-PY"/>
        </w:rPr>
      </w:pPr>
      <w:r w:rsidRPr="00D93091">
        <w:rPr>
          <w:rFonts w:ascii="Arial" w:eastAsia="Arial" w:hAnsi="Arial" w:cs="Arial"/>
          <w:szCs w:val="22"/>
          <w:lang w:val="es-PY"/>
        </w:rPr>
        <w:t xml:space="preserve">La estrategia de control de proceso debe centrarse en los controles en proceso relevantes para la seguridad. Deben establecerse criterios de aceptación para las etapas críticas en la fabricación de material de fase temprana (por ejemplo, rangos de parámetros de proceso de etapas involucradas en la </w:t>
      </w:r>
      <w:r w:rsidR="00F30A8D">
        <w:rPr>
          <w:rFonts w:ascii="Arial" w:eastAsia="Arial" w:hAnsi="Arial" w:cs="Arial"/>
          <w:szCs w:val="22"/>
          <w:lang w:val="es-PY"/>
        </w:rPr>
        <w:t>eliminación</w:t>
      </w:r>
      <w:r w:rsidRPr="00D93091">
        <w:rPr>
          <w:rFonts w:ascii="Arial" w:eastAsia="Arial" w:hAnsi="Arial" w:cs="Arial"/>
          <w:szCs w:val="22"/>
          <w:lang w:val="es-PY"/>
        </w:rPr>
        <w:t xml:space="preserve"> de virus). Estos controles en proceso deben proporcionarse con límites de acción o criterios de aceptación preliminares. Para otros </w:t>
      </w:r>
      <w:r>
        <w:rPr>
          <w:rFonts w:ascii="Arial" w:eastAsia="Arial" w:hAnsi="Arial" w:cs="Arial"/>
          <w:szCs w:val="22"/>
          <w:lang w:val="es-PY"/>
        </w:rPr>
        <w:t>controles en proceso</w:t>
      </w:r>
      <w:r w:rsidRPr="00D93091">
        <w:rPr>
          <w:rFonts w:ascii="Arial" w:eastAsia="Arial" w:hAnsi="Arial" w:cs="Arial"/>
          <w:szCs w:val="22"/>
          <w:lang w:val="es-PY"/>
        </w:rPr>
        <w:t>, el monitoreo puede ser apropiado y no es necesario proporcionar criterios de aceptación o límites de acción. La información sobre las etapas críticas, en la medida en que se identifiquen, debe proporcionarse en la sección dedicada S.2.4.</w:t>
      </w:r>
    </w:p>
    <w:p w:rsidR="009641F0" w:rsidRPr="00D93091" w:rsidRDefault="009641F0" w:rsidP="009641F0">
      <w:pPr>
        <w:spacing w:after="120"/>
        <w:jc w:val="both"/>
        <w:rPr>
          <w:rFonts w:ascii="Arial" w:eastAsia="Arial" w:hAnsi="Arial" w:cs="Arial"/>
          <w:szCs w:val="22"/>
          <w:lang w:val="es-PY"/>
        </w:rPr>
      </w:pPr>
      <w:r w:rsidRPr="00D93091">
        <w:rPr>
          <w:rFonts w:ascii="Arial" w:eastAsia="Arial" w:hAnsi="Arial" w:cs="Arial"/>
          <w:szCs w:val="22"/>
          <w:lang w:val="es-PY"/>
        </w:rPr>
        <w:t xml:space="preserve">Dado que los límites de control en el desarrollo temprano normalmente se basan en un número limitado de lotes de desarrollo, son inherentemente preliminares. Durante el desarrollo, a medida que se adquiere mayor conocimiento del proceso, deben proporcionarse más detalles de los </w:t>
      </w:r>
      <w:r>
        <w:rPr>
          <w:rFonts w:ascii="Arial" w:eastAsia="Arial" w:hAnsi="Arial" w:cs="Arial"/>
          <w:szCs w:val="22"/>
          <w:lang w:val="es-PY"/>
        </w:rPr>
        <w:t>controles en proceso</w:t>
      </w:r>
      <w:r w:rsidRPr="00D93091">
        <w:rPr>
          <w:rFonts w:ascii="Arial" w:eastAsia="Arial" w:hAnsi="Arial" w:cs="Arial"/>
          <w:szCs w:val="22"/>
          <w:lang w:val="es-PY"/>
        </w:rPr>
        <w:t xml:space="preserve"> y revisarse los criterios de aceptación.</w:t>
      </w:r>
    </w:p>
    <w:p w:rsidR="009641F0" w:rsidRPr="00D93091" w:rsidRDefault="009641F0" w:rsidP="009641F0">
      <w:pPr>
        <w:spacing w:after="120"/>
        <w:jc w:val="both"/>
        <w:rPr>
          <w:rFonts w:ascii="Arial" w:eastAsia="Arial" w:hAnsi="Arial" w:cs="Arial"/>
          <w:szCs w:val="22"/>
          <w:lang w:val="es-PY"/>
        </w:rPr>
      </w:pPr>
      <w:r w:rsidRPr="00D93091">
        <w:rPr>
          <w:rFonts w:ascii="Arial" w:eastAsia="Arial" w:hAnsi="Arial" w:cs="Arial"/>
          <w:szCs w:val="22"/>
          <w:lang w:val="es-PY"/>
        </w:rPr>
        <w:t xml:space="preserve">Cualquier reprocesamiento durante la fabricación de la sustancia activa (por ejemplo, fallo en la prueba de integridad de un filtro) debe describirse y justificarse. </w:t>
      </w:r>
      <w:r>
        <w:rPr>
          <w:rFonts w:ascii="Arial" w:eastAsia="Arial" w:hAnsi="Arial" w:cs="Arial"/>
          <w:szCs w:val="22"/>
          <w:lang w:val="es-PY"/>
        </w:rPr>
        <w:t>El</w:t>
      </w:r>
      <w:r w:rsidRPr="00D93091">
        <w:rPr>
          <w:rFonts w:ascii="Arial" w:eastAsia="Arial" w:hAnsi="Arial" w:cs="Arial"/>
          <w:szCs w:val="22"/>
          <w:lang w:val="es-PY"/>
        </w:rPr>
        <w:t xml:space="preserve"> </w:t>
      </w:r>
      <w:proofErr w:type="spellStart"/>
      <w:r w:rsidRPr="00D93091">
        <w:rPr>
          <w:rFonts w:ascii="Arial" w:eastAsia="Arial" w:hAnsi="Arial" w:cs="Arial"/>
          <w:szCs w:val="22"/>
          <w:lang w:val="es-PY"/>
        </w:rPr>
        <w:t>re</w:t>
      </w:r>
      <w:r w:rsidR="002914B5">
        <w:rPr>
          <w:rFonts w:ascii="Arial" w:eastAsia="Arial" w:hAnsi="Arial" w:cs="Arial"/>
          <w:szCs w:val="22"/>
          <w:lang w:val="es-PY"/>
        </w:rPr>
        <w:t>-</w:t>
      </w:r>
      <w:r w:rsidRPr="00D93091">
        <w:rPr>
          <w:rFonts w:ascii="Arial" w:eastAsia="Arial" w:hAnsi="Arial" w:cs="Arial"/>
          <w:szCs w:val="22"/>
          <w:lang w:val="es-PY"/>
        </w:rPr>
        <w:t>procesamiento</w:t>
      </w:r>
      <w:proofErr w:type="spellEnd"/>
      <w:r w:rsidRPr="00D93091">
        <w:rPr>
          <w:rFonts w:ascii="Arial" w:eastAsia="Arial" w:hAnsi="Arial" w:cs="Arial"/>
          <w:szCs w:val="22"/>
          <w:lang w:val="es-PY"/>
        </w:rPr>
        <w:t xml:space="preserve"> solo puede considerarse en circunstancias excepcionales. Estas situaciones suelen limitarse a pasos de </w:t>
      </w:r>
      <w:proofErr w:type="spellStart"/>
      <w:r w:rsidRPr="00D93091">
        <w:rPr>
          <w:rFonts w:ascii="Arial" w:eastAsia="Arial" w:hAnsi="Arial" w:cs="Arial"/>
          <w:szCs w:val="22"/>
          <w:lang w:val="es-PY"/>
        </w:rPr>
        <w:t>re-filtración</w:t>
      </w:r>
      <w:proofErr w:type="spellEnd"/>
      <w:r w:rsidRPr="00D93091">
        <w:rPr>
          <w:rFonts w:ascii="Arial" w:eastAsia="Arial" w:hAnsi="Arial" w:cs="Arial"/>
          <w:szCs w:val="22"/>
          <w:lang w:val="es-PY"/>
        </w:rPr>
        <w:t xml:space="preserve"> y </w:t>
      </w:r>
      <w:proofErr w:type="spellStart"/>
      <w:r w:rsidRPr="00D93091">
        <w:rPr>
          <w:rFonts w:ascii="Arial" w:eastAsia="Arial" w:hAnsi="Arial" w:cs="Arial"/>
          <w:szCs w:val="22"/>
          <w:lang w:val="es-PY"/>
        </w:rPr>
        <w:t>re-concentración</w:t>
      </w:r>
      <w:proofErr w:type="spellEnd"/>
      <w:r w:rsidRPr="00D93091">
        <w:rPr>
          <w:rFonts w:ascii="Arial" w:eastAsia="Arial" w:hAnsi="Arial" w:cs="Arial"/>
          <w:szCs w:val="22"/>
          <w:lang w:val="es-PY"/>
        </w:rPr>
        <w:t xml:space="preserve"> ante fallas técnicas de equipos o averías mecánicas de una columna de cromatografía.</w:t>
      </w:r>
    </w:p>
    <w:p w:rsidR="009641F0" w:rsidRPr="00D93091" w:rsidRDefault="009641F0" w:rsidP="009641F0">
      <w:pPr>
        <w:spacing w:after="120"/>
        <w:jc w:val="both"/>
        <w:rPr>
          <w:rFonts w:ascii="Arial" w:eastAsia="Arial" w:hAnsi="Arial" w:cs="Arial"/>
          <w:szCs w:val="22"/>
          <w:lang w:val="es-PY"/>
        </w:rPr>
      </w:pPr>
      <w:r w:rsidRPr="00D93091">
        <w:rPr>
          <w:rFonts w:ascii="Arial" w:eastAsia="Arial" w:hAnsi="Arial" w:cs="Arial"/>
          <w:szCs w:val="22"/>
          <w:lang w:val="es-PY"/>
        </w:rPr>
        <w:t xml:space="preserve">El proceso de fabricación debe diseñarse para eliminar las impurezas relacionadas con el proceso y el producto. Deben identificarse las etapas de </w:t>
      </w:r>
      <w:r w:rsidRPr="00D93091">
        <w:rPr>
          <w:rFonts w:ascii="Arial" w:eastAsia="Arial" w:hAnsi="Arial" w:cs="Arial"/>
          <w:szCs w:val="22"/>
          <w:lang w:val="es-PY"/>
        </w:rPr>
        <w:lastRenderedPageBreak/>
        <w:t>fabricación introducidas para reducir o eliminar las impurezas del producto y del proceso hasta niveles aceptables, y definirse la estrategia de control en torno a dichas etapas conforme se desarrolle el proceso.</w:t>
      </w:r>
    </w:p>
    <w:p w:rsidR="009641F0" w:rsidRPr="00D93091" w:rsidRDefault="009641F0" w:rsidP="009641F0">
      <w:pPr>
        <w:spacing w:after="120"/>
        <w:jc w:val="both"/>
        <w:rPr>
          <w:rFonts w:ascii="Arial" w:eastAsia="Arial" w:hAnsi="Arial" w:cs="Arial"/>
          <w:szCs w:val="22"/>
          <w:lang w:val="es-PY"/>
        </w:rPr>
      </w:pPr>
      <w:r w:rsidRPr="00D93091">
        <w:rPr>
          <w:rFonts w:ascii="Arial" w:eastAsia="Arial" w:hAnsi="Arial" w:cs="Arial"/>
          <w:szCs w:val="22"/>
          <w:lang w:val="es-PY"/>
        </w:rPr>
        <w:t xml:space="preserve">El proceso de fabricación debe establecerse de manera que minimice el riesgo de contaminación microbiológica. Deben describirse los procedimientos implementados para minimizar la entrada de microorganismos, tales como la calificación y pruebas de bienes entrantes, la filtración de 0,2 </w:t>
      </w:r>
      <w:proofErr w:type="spellStart"/>
      <w:r w:rsidRPr="00D93091">
        <w:rPr>
          <w:rFonts w:ascii="Arial" w:eastAsia="Arial" w:hAnsi="Arial" w:cs="Arial"/>
          <w:szCs w:val="22"/>
          <w:lang w:val="es-PY"/>
        </w:rPr>
        <w:t>μm</w:t>
      </w:r>
      <w:proofErr w:type="spellEnd"/>
      <w:r w:rsidRPr="00D93091">
        <w:rPr>
          <w:rFonts w:ascii="Arial" w:eastAsia="Arial" w:hAnsi="Arial" w:cs="Arial"/>
          <w:szCs w:val="22"/>
          <w:lang w:val="es-PY"/>
        </w:rPr>
        <w:t xml:space="preserve"> de medios y suplementos en los recipientes de cultivo, así como pruebas rutinarias de </w:t>
      </w:r>
      <w:r>
        <w:rPr>
          <w:rFonts w:ascii="Arial" w:eastAsia="Arial" w:hAnsi="Arial" w:cs="Arial"/>
          <w:szCs w:val="22"/>
          <w:lang w:val="es-PY"/>
        </w:rPr>
        <w:t>controles en proceso</w:t>
      </w:r>
      <w:r w:rsidRPr="00D93091">
        <w:rPr>
          <w:rFonts w:ascii="Arial" w:eastAsia="Arial" w:hAnsi="Arial" w:cs="Arial"/>
          <w:szCs w:val="22"/>
          <w:lang w:val="es-PY"/>
        </w:rPr>
        <w:t xml:space="preserve"> para contaminación microbiana durante la fabricación.</w:t>
      </w:r>
    </w:p>
    <w:p w:rsidR="009641F0" w:rsidRPr="00D93091" w:rsidRDefault="009641F0" w:rsidP="009641F0">
      <w:pPr>
        <w:spacing w:after="120"/>
        <w:jc w:val="both"/>
        <w:rPr>
          <w:rFonts w:ascii="Arial" w:eastAsia="Arial" w:hAnsi="Arial" w:cs="Arial"/>
          <w:szCs w:val="22"/>
          <w:lang w:val="es-PY"/>
        </w:rPr>
      </w:pPr>
      <w:r w:rsidRPr="00D93091">
        <w:rPr>
          <w:rFonts w:ascii="Arial" w:eastAsia="Arial" w:hAnsi="Arial" w:cs="Arial"/>
          <w:szCs w:val="22"/>
          <w:lang w:val="es-PY"/>
        </w:rPr>
        <w:t xml:space="preserve">La fabricación de </w:t>
      </w:r>
      <w:proofErr w:type="spellStart"/>
      <w:r w:rsidRPr="00D93091">
        <w:rPr>
          <w:rFonts w:ascii="Arial" w:eastAsia="Arial" w:hAnsi="Arial" w:cs="Arial"/>
          <w:szCs w:val="22"/>
          <w:lang w:val="es-PY"/>
        </w:rPr>
        <w:t>ATMPs</w:t>
      </w:r>
      <w:proofErr w:type="spellEnd"/>
      <w:r w:rsidRPr="00D93091">
        <w:rPr>
          <w:rFonts w:ascii="Arial" w:eastAsia="Arial" w:hAnsi="Arial" w:cs="Arial"/>
          <w:szCs w:val="22"/>
          <w:lang w:val="es-PY"/>
        </w:rPr>
        <w:t xml:space="preserve"> que incorporan un dispositivo médico como parte integral de la sustancia activa requiere consideraciones adicionales respecto a cuestiones de calidad asociadas, tales como las interacciones célula-matriz/andamio (información a proporcionar en S.3).</w:t>
      </w:r>
    </w:p>
    <w:p w:rsidR="009641F0" w:rsidRPr="00D93091" w:rsidRDefault="009641F0" w:rsidP="009641F0">
      <w:pPr>
        <w:spacing w:after="120"/>
        <w:jc w:val="both"/>
        <w:rPr>
          <w:rFonts w:ascii="Arial" w:eastAsia="Arial" w:hAnsi="Arial" w:cs="Arial"/>
          <w:szCs w:val="22"/>
          <w:lang w:val="es-PY"/>
        </w:rPr>
      </w:pPr>
      <w:r w:rsidRPr="00D93091">
        <w:rPr>
          <w:rFonts w:ascii="Arial" w:eastAsia="Arial" w:hAnsi="Arial" w:cs="Arial"/>
          <w:szCs w:val="22"/>
          <w:lang w:val="es-PY"/>
        </w:rPr>
        <w:t>En el caso de un proceso de fabricación continuo, la definición de lote debe incluir todas las etapas hasta el producto terminado en su envase.</w:t>
      </w:r>
    </w:p>
    <w:p w:rsidR="009641F0" w:rsidRDefault="009641F0" w:rsidP="009641F0">
      <w:pPr>
        <w:spacing w:after="120"/>
        <w:jc w:val="both"/>
        <w:rPr>
          <w:rFonts w:ascii="Arial" w:eastAsia="Arial" w:hAnsi="Arial" w:cs="Arial"/>
          <w:szCs w:val="22"/>
          <w:lang w:val="es-PY"/>
        </w:rPr>
      </w:pPr>
      <w:r w:rsidRPr="00D93091">
        <w:rPr>
          <w:rFonts w:ascii="Arial" w:eastAsia="Arial" w:hAnsi="Arial" w:cs="Arial"/>
          <w:szCs w:val="22"/>
          <w:lang w:val="es-PY"/>
        </w:rPr>
        <w:t xml:space="preserve">Para los </w:t>
      </w:r>
      <w:proofErr w:type="spellStart"/>
      <w:r w:rsidRPr="00D93091">
        <w:rPr>
          <w:rFonts w:ascii="Arial" w:eastAsia="Arial" w:hAnsi="Arial" w:cs="Arial"/>
          <w:szCs w:val="22"/>
          <w:lang w:val="es-PY"/>
        </w:rPr>
        <w:t>ATMPs</w:t>
      </w:r>
      <w:proofErr w:type="spellEnd"/>
      <w:r w:rsidRPr="00D93091">
        <w:rPr>
          <w:rFonts w:ascii="Arial" w:eastAsia="Arial" w:hAnsi="Arial" w:cs="Arial"/>
          <w:szCs w:val="22"/>
          <w:lang w:val="es-PY"/>
        </w:rPr>
        <w:t xml:space="preserve"> en investigación basados en células que no utilizan bancos celulares, el proceso de fabricación comienza con el fluido biológico/tejido/órgano del cual se obtienen las células, e incluye típicamente etapas de separación y/o cultivo celular.</w:t>
      </w:r>
    </w:p>
    <w:p w:rsidR="009641F0" w:rsidRPr="00DE57CF" w:rsidRDefault="009641F0" w:rsidP="009641F0">
      <w:pPr>
        <w:spacing w:after="120"/>
        <w:jc w:val="both"/>
        <w:rPr>
          <w:rFonts w:ascii="Arial" w:eastAsia="Arial" w:hAnsi="Arial" w:cs="Arial"/>
          <w:szCs w:val="22"/>
          <w:lang w:val="es-PY"/>
        </w:rPr>
      </w:pPr>
      <w:r w:rsidRPr="00DE57CF">
        <w:rPr>
          <w:rFonts w:ascii="Arial" w:eastAsia="Arial" w:hAnsi="Arial" w:cs="Arial"/>
          <w:szCs w:val="22"/>
          <w:lang w:val="es-PY"/>
        </w:rPr>
        <w:t xml:space="preserve">Para las sustancias activas de </w:t>
      </w:r>
      <w:proofErr w:type="spellStart"/>
      <w:r w:rsidRPr="00DE57CF">
        <w:rPr>
          <w:rFonts w:ascii="Arial" w:eastAsia="Arial" w:hAnsi="Arial" w:cs="Arial"/>
          <w:szCs w:val="22"/>
          <w:lang w:val="es-PY"/>
        </w:rPr>
        <w:t>ATMPs</w:t>
      </w:r>
      <w:proofErr w:type="spellEnd"/>
      <w:r w:rsidRPr="00DE57CF">
        <w:rPr>
          <w:rFonts w:ascii="Arial" w:eastAsia="Arial" w:hAnsi="Arial" w:cs="Arial"/>
          <w:szCs w:val="22"/>
          <w:lang w:val="es-PY"/>
        </w:rPr>
        <w:t xml:space="preserve"> en investigación basados en células, deben considerarse adicionalmente, según corresponda, los siguientes aspectos: − Debe proporcionarse una definición clara de un lote de sustancia activa (es decir, número de viales del banco celular utilizados por lote o cantidad de tejido/sangre de origen por lote, estrategias de agrupamiento (</w:t>
      </w:r>
      <w:proofErr w:type="spellStart"/>
      <w:r w:rsidRPr="00DE57CF">
        <w:rPr>
          <w:rFonts w:ascii="Arial" w:eastAsia="Arial" w:hAnsi="Arial" w:cs="Arial"/>
          <w:szCs w:val="22"/>
          <w:lang w:val="es-PY"/>
        </w:rPr>
        <w:t>pooling</w:t>
      </w:r>
      <w:proofErr w:type="spellEnd"/>
      <w:r w:rsidRPr="00DE57CF">
        <w:rPr>
          <w:rFonts w:ascii="Arial" w:eastAsia="Arial" w:hAnsi="Arial" w:cs="Arial"/>
          <w:szCs w:val="22"/>
          <w:lang w:val="es-PY"/>
        </w:rPr>
        <w:t xml:space="preserve">), sistema de numeración de lotes). − Para los </w:t>
      </w:r>
      <w:proofErr w:type="spellStart"/>
      <w:r w:rsidRPr="00DE57CF">
        <w:rPr>
          <w:rFonts w:ascii="Arial" w:eastAsia="Arial" w:hAnsi="Arial" w:cs="Arial"/>
          <w:szCs w:val="22"/>
          <w:lang w:val="es-PY"/>
        </w:rPr>
        <w:t>ATMPs</w:t>
      </w:r>
      <w:proofErr w:type="spellEnd"/>
      <w:r w:rsidRPr="00DE57CF">
        <w:rPr>
          <w:rFonts w:ascii="Arial" w:eastAsia="Arial" w:hAnsi="Arial" w:cs="Arial"/>
          <w:szCs w:val="22"/>
          <w:lang w:val="es-PY"/>
        </w:rPr>
        <w:t xml:space="preserve"> en investigación basados en células que no utilizan bancos celulares, el IMPD debe contener información sobre las pruebas biológicas realizadas en el tejido/sangre del donante, la obtención, el volumen/número de células recolectadas y una descripción de los pasos de manipulación posteriores a la obtención. Esto debe incluir una descripción de cualquier equipo de selección/separación utilizado. Cuando corresponda, debe evaluarse y proporcionarse la estabilidad de las células recolectadas. − Para todos los </w:t>
      </w:r>
      <w:proofErr w:type="spellStart"/>
      <w:r w:rsidRPr="00DE57CF">
        <w:rPr>
          <w:rFonts w:ascii="Arial" w:eastAsia="Arial" w:hAnsi="Arial" w:cs="Arial"/>
          <w:szCs w:val="22"/>
          <w:lang w:val="es-PY"/>
        </w:rPr>
        <w:t>ATMPs</w:t>
      </w:r>
      <w:proofErr w:type="spellEnd"/>
      <w:r w:rsidRPr="00DE57CF">
        <w:rPr>
          <w:rFonts w:ascii="Arial" w:eastAsia="Arial" w:hAnsi="Arial" w:cs="Arial"/>
          <w:szCs w:val="22"/>
          <w:lang w:val="es-PY"/>
        </w:rPr>
        <w:t xml:space="preserve"> en investigación basados en células, deben describirse el tipo y las etapas de manipulación requeridas para el procesamiento celular, incluyendo el número de pases celulares/duplicaciones poblacionales.</w:t>
      </w:r>
    </w:p>
    <w:p w:rsidR="009641F0" w:rsidRDefault="009641F0" w:rsidP="009641F0">
      <w:pPr>
        <w:spacing w:after="120"/>
        <w:jc w:val="both"/>
        <w:rPr>
          <w:rFonts w:ascii="Arial" w:eastAsia="Arial" w:hAnsi="Arial" w:cs="Arial"/>
          <w:szCs w:val="22"/>
          <w:lang w:val="es-PY"/>
        </w:rPr>
      </w:pPr>
      <w:r w:rsidRPr="00DE57CF">
        <w:rPr>
          <w:rFonts w:ascii="Arial" w:eastAsia="Arial" w:hAnsi="Arial" w:cs="Arial"/>
          <w:szCs w:val="22"/>
          <w:lang w:val="es-PY"/>
        </w:rPr>
        <w:lastRenderedPageBreak/>
        <w:t xml:space="preserve">Para las sustancias activas de </w:t>
      </w:r>
      <w:proofErr w:type="spellStart"/>
      <w:r w:rsidRPr="00DE57CF">
        <w:rPr>
          <w:rFonts w:ascii="Arial" w:eastAsia="Arial" w:hAnsi="Arial" w:cs="Arial"/>
          <w:szCs w:val="22"/>
          <w:lang w:val="es-PY"/>
        </w:rPr>
        <w:t>ATMPs</w:t>
      </w:r>
      <w:proofErr w:type="spellEnd"/>
      <w:r w:rsidRPr="00DE57CF">
        <w:rPr>
          <w:rFonts w:ascii="Arial" w:eastAsia="Arial" w:hAnsi="Arial" w:cs="Arial"/>
          <w:szCs w:val="22"/>
          <w:lang w:val="es-PY"/>
        </w:rPr>
        <w:t xml:space="preserve"> en investigación de terapia génica (GTMP), deben considerarse adicionalmente los siguientes aspectos, con requisitos detallados descritos en secciones posteriores: </w:t>
      </w:r>
    </w:p>
    <w:p w:rsidR="009641F0" w:rsidRDefault="009641F0" w:rsidP="009641F0">
      <w:pPr>
        <w:spacing w:after="120"/>
        <w:jc w:val="both"/>
        <w:rPr>
          <w:rFonts w:ascii="Arial" w:eastAsia="Arial" w:hAnsi="Arial" w:cs="Arial"/>
          <w:szCs w:val="22"/>
          <w:lang w:val="es-PY"/>
        </w:rPr>
      </w:pPr>
      <w:r w:rsidRPr="00DE57CF">
        <w:rPr>
          <w:rFonts w:ascii="Arial" w:eastAsia="Arial" w:hAnsi="Arial" w:cs="Arial"/>
          <w:szCs w:val="22"/>
          <w:lang w:val="es-PY"/>
        </w:rPr>
        <w:t xml:space="preserve">− Información sobre cualquier agrupamiento de cosechas o intermedios y el sistema de numeración de lotes relacionado. </w:t>
      </w:r>
    </w:p>
    <w:p w:rsidR="009641F0" w:rsidRDefault="009641F0" w:rsidP="009641F0">
      <w:pPr>
        <w:spacing w:after="120"/>
        <w:jc w:val="both"/>
        <w:rPr>
          <w:rFonts w:ascii="Arial" w:eastAsia="Arial" w:hAnsi="Arial" w:cs="Arial"/>
          <w:szCs w:val="22"/>
          <w:lang w:val="es-PY"/>
        </w:rPr>
      </w:pPr>
      <w:r w:rsidRPr="00DE57CF">
        <w:rPr>
          <w:rFonts w:ascii="Arial" w:eastAsia="Arial" w:hAnsi="Arial" w:cs="Arial"/>
          <w:szCs w:val="22"/>
          <w:lang w:val="es-PY"/>
        </w:rPr>
        <w:t>− Estabilidad de la secuencia del vector durante el cultivo celular. Cuando la experiencia de fabricación lo permita, debe establecerse y reportarse un nivel máximo de duplicaciones poblacionales o número de pases para las células, y deben proporcionarse datos de estabilidad genética de las células de fin de producción (</w:t>
      </w:r>
      <w:proofErr w:type="spellStart"/>
      <w:r w:rsidRPr="00DE57CF">
        <w:rPr>
          <w:rFonts w:ascii="Arial" w:eastAsia="Arial" w:hAnsi="Arial" w:cs="Arial"/>
          <w:szCs w:val="22"/>
          <w:lang w:val="es-PY"/>
        </w:rPr>
        <w:t>End</w:t>
      </w:r>
      <w:proofErr w:type="spellEnd"/>
      <w:r w:rsidRPr="00DE57CF">
        <w:rPr>
          <w:rFonts w:ascii="Arial" w:eastAsia="Arial" w:hAnsi="Arial" w:cs="Arial"/>
          <w:szCs w:val="22"/>
          <w:lang w:val="es-PY"/>
        </w:rPr>
        <w:t xml:space="preserve"> </w:t>
      </w:r>
      <w:proofErr w:type="spellStart"/>
      <w:r w:rsidRPr="00DE57CF">
        <w:rPr>
          <w:rFonts w:ascii="Arial" w:eastAsia="Arial" w:hAnsi="Arial" w:cs="Arial"/>
          <w:szCs w:val="22"/>
          <w:lang w:val="es-PY"/>
        </w:rPr>
        <w:t>of</w:t>
      </w:r>
      <w:proofErr w:type="spellEnd"/>
      <w:r w:rsidRPr="00DE57CF">
        <w:rPr>
          <w:rFonts w:ascii="Arial" w:eastAsia="Arial" w:hAnsi="Arial" w:cs="Arial"/>
          <w:szCs w:val="22"/>
          <w:lang w:val="es-PY"/>
        </w:rPr>
        <w:t xml:space="preserve"> </w:t>
      </w:r>
      <w:proofErr w:type="spellStart"/>
      <w:r w:rsidRPr="00DE57CF">
        <w:rPr>
          <w:rFonts w:ascii="Arial" w:eastAsia="Arial" w:hAnsi="Arial" w:cs="Arial"/>
          <w:szCs w:val="22"/>
          <w:lang w:val="es-PY"/>
        </w:rPr>
        <w:t>Production</w:t>
      </w:r>
      <w:proofErr w:type="spellEnd"/>
      <w:r w:rsidRPr="00DE57CF">
        <w:rPr>
          <w:rFonts w:ascii="Arial" w:eastAsia="Arial" w:hAnsi="Arial" w:cs="Arial"/>
          <w:szCs w:val="22"/>
          <w:lang w:val="es-PY"/>
        </w:rPr>
        <w:t xml:space="preserve"> </w:t>
      </w:r>
      <w:proofErr w:type="spellStart"/>
      <w:r w:rsidRPr="00DE57CF">
        <w:rPr>
          <w:rFonts w:ascii="Arial" w:eastAsia="Arial" w:hAnsi="Arial" w:cs="Arial"/>
          <w:szCs w:val="22"/>
          <w:lang w:val="es-PY"/>
        </w:rPr>
        <w:t>Cells</w:t>
      </w:r>
      <w:proofErr w:type="spellEnd"/>
      <w:r w:rsidRPr="00DE57CF">
        <w:rPr>
          <w:rFonts w:ascii="Arial" w:eastAsia="Arial" w:hAnsi="Arial" w:cs="Arial"/>
          <w:szCs w:val="22"/>
          <w:lang w:val="es-PY"/>
        </w:rPr>
        <w:t xml:space="preserve">) en la sección S.2.3 para células </w:t>
      </w:r>
      <w:proofErr w:type="spellStart"/>
      <w:r w:rsidRPr="00DE57CF">
        <w:rPr>
          <w:rFonts w:ascii="Arial" w:eastAsia="Arial" w:hAnsi="Arial" w:cs="Arial"/>
          <w:szCs w:val="22"/>
          <w:lang w:val="es-PY"/>
        </w:rPr>
        <w:t>transfectadas</w:t>
      </w:r>
      <w:proofErr w:type="spellEnd"/>
      <w:r w:rsidRPr="00DE57CF">
        <w:rPr>
          <w:rFonts w:ascii="Arial" w:eastAsia="Arial" w:hAnsi="Arial" w:cs="Arial"/>
          <w:szCs w:val="22"/>
          <w:lang w:val="es-PY"/>
        </w:rPr>
        <w:t xml:space="preserve"> de manera estable. </w:t>
      </w:r>
    </w:p>
    <w:p w:rsidR="009641F0" w:rsidRDefault="009641F0" w:rsidP="009641F0">
      <w:pPr>
        <w:spacing w:after="120"/>
        <w:jc w:val="both"/>
        <w:rPr>
          <w:rFonts w:ascii="Arial" w:eastAsia="Arial" w:hAnsi="Arial" w:cs="Arial"/>
          <w:szCs w:val="22"/>
          <w:lang w:val="es-PY"/>
        </w:rPr>
      </w:pPr>
      <w:r w:rsidRPr="00DE57CF">
        <w:rPr>
          <w:rFonts w:ascii="Arial" w:eastAsia="Arial" w:hAnsi="Arial" w:cs="Arial"/>
          <w:szCs w:val="22"/>
          <w:lang w:val="es-PY"/>
        </w:rPr>
        <w:t xml:space="preserve">− Para vectores virales deficientes en replicación y vectores virales con replicación condicional, debe proporcionarse información sobre parámetros de proceso o controles realizados para evaluar la posible contaminación de la línea celular de empaquetamiento/producción por virus silvestres, auxiliares o híbridos que pudieran dar lugar a la formación de virus recombinantes competentes para la replicación o virus silvestres durante la producción. Es esencial una prueba en proceso adecuada para demostrar que los virus competentes para la replicación (RCV) se encuentran por debajo de un nivel aceptable durante la producción. Para vectores virales deficientes en replicación, debe demostrarse la ausencia o un límite superior justificado y minimizado de RCV mediante un ensayo debidamente validado (información en S.4.2 y S.4.3). </w:t>
      </w:r>
    </w:p>
    <w:p w:rsidR="009641F0" w:rsidRDefault="009641F0" w:rsidP="009641F0">
      <w:pPr>
        <w:spacing w:after="120"/>
        <w:jc w:val="both"/>
        <w:rPr>
          <w:rFonts w:ascii="Arial" w:eastAsia="Arial" w:hAnsi="Arial" w:cs="Arial"/>
          <w:szCs w:val="22"/>
          <w:lang w:val="es-PY"/>
        </w:rPr>
      </w:pPr>
      <w:r w:rsidRPr="00DE57CF">
        <w:rPr>
          <w:rFonts w:ascii="Arial" w:eastAsia="Arial" w:hAnsi="Arial" w:cs="Arial"/>
          <w:szCs w:val="22"/>
          <w:lang w:val="es-PY"/>
        </w:rPr>
        <w:t>− Para vectores virales producidos a partir de un banco celular, debe realizarse un control en proceso sobre la cosecha del lote para demostrar la ausencia de virus adventicios.</w:t>
      </w:r>
    </w:p>
    <w:p w:rsidR="009641F0" w:rsidRPr="00903186" w:rsidRDefault="009641F0" w:rsidP="009641F0">
      <w:pPr>
        <w:spacing w:after="120"/>
        <w:jc w:val="both"/>
        <w:rPr>
          <w:rFonts w:ascii="Arial" w:eastAsia="Arial" w:hAnsi="Arial" w:cs="Arial"/>
          <w:b/>
          <w:i/>
          <w:szCs w:val="22"/>
          <w:lang w:val="es-PY"/>
        </w:rPr>
      </w:pPr>
      <w:r w:rsidRPr="00903186">
        <w:rPr>
          <w:rFonts w:ascii="Arial" w:eastAsia="Arial" w:hAnsi="Arial" w:cs="Arial"/>
          <w:b/>
          <w:i/>
          <w:szCs w:val="22"/>
          <w:lang w:val="es-PY"/>
        </w:rPr>
        <w:t xml:space="preserve">S.2.3. Controles de materiales </w:t>
      </w:r>
    </w:p>
    <w:p w:rsidR="009641F0" w:rsidRPr="00903186" w:rsidRDefault="009641F0" w:rsidP="009641F0">
      <w:pPr>
        <w:spacing w:after="120"/>
        <w:jc w:val="both"/>
        <w:rPr>
          <w:rFonts w:ascii="Arial" w:eastAsia="Arial" w:hAnsi="Arial" w:cs="Arial"/>
          <w:szCs w:val="22"/>
          <w:lang w:val="es-PY"/>
        </w:rPr>
      </w:pPr>
      <w:r w:rsidRPr="00903186">
        <w:rPr>
          <w:rFonts w:ascii="Arial" w:eastAsia="Arial" w:hAnsi="Arial" w:cs="Arial"/>
          <w:szCs w:val="22"/>
          <w:lang w:val="es-PY"/>
        </w:rPr>
        <w:t>Los materiales utilizados en la fabricación de la sustancia activa (por ejemplo, materias primas como medios de cultivo celular, factores de crecimiento, resinas de columna, disolventes, reactivos y materiales de partida) deben enumerarse, identificando al proveedor y la etapa de fabricación en la que cada material se utiliza en el proceso, idealmente en formato tabular.</w:t>
      </w:r>
    </w:p>
    <w:p w:rsidR="009641F0" w:rsidRPr="00903186" w:rsidRDefault="009641F0" w:rsidP="009641F0">
      <w:pPr>
        <w:spacing w:after="120"/>
        <w:jc w:val="both"/>
        <w:rPr>
          <w:rFonts w:ascii="Arial" w:eastAsia="Arial" w:hAnsi="Arial" w:cs="Arial"/>
          <w:szCs w:val="22"/>
          <w:lang w:val="es-PY"/>
        </w:rPr>
      </w:pPr>
      <w:r w:rsidRPr="00903186">
        <w:rPr>
          <w:rFonts w:ascii="Arial" w:eastAsia="Arial" w:hAnsi="Arial" w:cs="Arial"/>
          <w:szCs w:val="22"/>
          <w:lang w:val="es-PY"/>
        </w:rPr>
        <w:t xml:space="preserve">Debe hacerse referencia a los estándares de calidad (por ejemplo, monografías </w:t>
      </w:r>
      <w:proofErr w:type="spellStart"/>
      <w:r w:rsidR="00085968">
        <w:rPr>
          <w:rFonts w:ascii="Arial" w:eastAsia="Arial" w:hAnsi="Arial" w:cs="Arial"/>
          <w:szCs w:val="22"/>
          <w:lang w:val="es-PY"/>
        </w:rPr>
        <w:t>farmacopeicas</w:t>
      </w:r>
      <w:proofErr w:type="spellEnd"/>
      <w:r w:rsidRPr="00903186">
        <w:rPr>
          <w:rFonts w:ascii="Arial" w:eastAsia="Arial" w:hAnsi="Arial" w:cs="Arial"/>
          <w:szCs w:val="22"/>
          <w:lang w:val="es-PY"/>
        </w:rPr>
        <w:t xml:space="preserve"> o especificaciones internas del fabricante). Debe proporcionarse información sobre la calidad y el control de los materiales no </w:t>
      </w:r>
      <w:proofErr w:type="spellStart"/>
      <w:r w:rsidR="00085968">
        <w:rPr>
          <w:rFonts w:ascii="Arial" w:eastAsia="Arial" w:hAnsi="Arial" w:cs="Arial"/>
          <w:szCs w:val="22"/>
          <w:lang w:val="es-PY"/>
        </w:rPr>
        <w:t>farmacopeic</w:t>
      </w:r>
      <w:r w:rsidR="00407A34">
        <w:rPr>
          <w:rFonts w:ascii="Arial" w:eastAsia="Arial" w:hAnsi="Arial" w:cs="Arial"/>
          <w:szCs w:val="22"/>
          <w:lang w:val="es-PY"/>
        </w:rPr>
        <w:t>o</w:t>
      </w:r>
      <w:r w:rsidR="00085968">
        <w:rPr>
          <w:rFonts w:ascii="Arial" w:eastAsia="Arial" w:hAnsi="Arial" w:cs="Arial"/>
          <w:szCs w:val="22"/>
          <w:lang w:val="es-PY"/>
        </w:rPr>
        <w:t>s</w:t>
      </w:r>
      <w:proofErr w:type="spellEnd"/>
      <w:r w:rsidRPr="00903186">
        <w:rPr>
          <w:rFonts w:ascii="Arial" w:eastAsia="Arial" w:hAnsi="Arial" w:cs="Arial"/>
          <w:szCs w:val="22"/>
          <w:lang w:val="es-PY"/>
        </w:rPr>
        <w:t>. Debe presentarse, según corresponda, información que demuestre que los materiales cumplen con los estándares aplicables para su uso previsto.</w:t>
      </w:r>
    </w:p>
    <w:p w:rsidR="009641F0" w:rsidRPr="00903186" w:rsidRDefault="009641F0" w:rsidP="009641F0">
      <w:pPr>
        <w:spacing w:after="120"/>
        <w:jc w:val="both"/>
        <w:rPr>
          <w:rFonts w:ascii="Arial" w:eastAsia="Arial" w:hAnsi="Arial" w:cs="Arial"/>
          <w:szCs w:val="22"/>
          <w:lang w:val="es-PY"/>
        </w:rPr>
      </w:pPr>
      <w:r w:rsidRPr="00903186">
        <w:rPr>
          <w:rFonts w:ascii="Arial" w:eastAsia="Arial" w:hAnsi="Arial" w:cs="Arial"/>
          <w:szCs w:val="22"/>
          <w:lang w:val="es-PY"/>
        </w:rPr>
        <w:lastRenderedPageBreak/>
        <w:t xml:space="preserve">La calidad de las materias primas y de los materiales de partida es un factor clave en la producción de </w:t>
      </w:r>
      <w:proofErr w:type="spellStart"/>
      <w:r w:rsidRPr="00903186">
        <w:rPr>
          <w:rFonts w:ascii="Arial" w:eastAsia="Arial" w:hAnsi="Arial" w:cs="Arial"/>
          <w:szCs w:val="22"/>
          <w:lang w:val="es-PY"/>
        </w:rPr>
        <w:t>ATMPs</w:t>
      </w:r>
      <w:proofErr w:type="spellEnd"/>
      <w:r w:rsidRPr="00903186">
        <w:rPr>
          <w:rFonts w:ascii="Arial" w:eastAsia="Arial" w:hAnsi="Arial" w:cs="Arial"/>
          <w:szCs w:val="22"/>
          <w:lang w:val="es-PY"/>
        </w:rPr>
        <w:t>. Por lo tanto, evitar la contaminación y minimizar la variabilidad de las materias primas y de los materiales de partida es vital para el proceso de fabricación.</w:t>
      </w:r>
    </w:p>
    <w:p w:rsidR="009641F0" w:rsidRPr="007A1CA1" w:rsidRDefault="009641F0" w:rsidP="009641F0">
      <w:pPr>
        <w:spacing w:after="120"/>
        <w:jc w:val="both"/>
        <w:rPr>
          <w:rFonts w:ascii="Arial" w:eastAsia="Arial" w:hAnsi="Arial" w:cs="Arial"/>
          <w:b/>
          <w:i/>
          <w:szCs w:val="22"/>
          <w:lang w:val="es-PY"/>
        </w:rPr>
      </w:pPr>
      <w:r w:rsidRPr="007A1CA1">
        <w:rPr>
          <w:rFonts w:ascii="Arial" w:eastAsia="Arial" w:hAnsi="Arial" w:cs="Arial"/>
          <w:b/>
          <w:i/>
          <w:szCs w:val="22"/>
          <w:lang w:val="es-PY"/>
        </w:rPr>
        <w:t xml:space="preserve">Materias primas </w:t>
      </w:r>
    </w:p>
    <w:p w:rsidR="009641F0" w:rsidRPr="00B2735A" w:rsidRDefault="009641F0" w:rsidP="009641F0">
      <w:pPr>
        <w:spacing w:after="120"/>
        <w:jc w:val="both"/>
        <w:rPr>
          <w:rFonts w:ascii="Arial" w:eastAsia="Arial" w:hAnsi="Arial" w:cs="Arial"/>
          <w:szCs w:val="22"/>
          <w:lang w:val="es-PY"/>
        </w:rPr>
      </w:pPr>
      <w:r w:rsidRPr="00B2735A">
        <w:rPr>
          <w:rFonts w:ascii="Arial" w:eastAsia="Arial" w:hAnsi="Arial" w:cs="Arial"/>
          <w:szCs w:val="22"/>
          <w:lang w:val="es-PY"/>
        </w:rPr>
        <w:t>Las materias primas son los reactivos que se utilizan durante el proceso de fabricación pero que no forman parte del producto terminado. Ejemplos incluyen suero fetal bovino, suero humano o lisados plaquetarios, tripsina, enzimas de digestión (por ejemplo, colagenasa, DNasa), factores de crecimiento, citocinas, anticuerpos monoclonales, antibióticos, resinas, medios de cultivo y componentes de medios, etc. Preferentemente, deben ser de calidad farmacéutica. Sin embargo, se reconoce que, en algunos casos, solo están disponibles materiales de grado de investigación. Los riesgos de utilizar materiales de grado de investigación deben comprenderse (incluyendo los riesgos para la continuidad del suministro).</w:t>
      </w:r>
    </w:p>
    <w:p w:rsidR="009641F0" w:rsidRPr="00B2735A" w:rsidRDefault="009641F0" w:rsidP="009641F0">
      <w:pPr>
        <w:spacing w:after="120"/>
        <w:jc w:val="both"/>
        <w:rPr>
          <w:rFonts w:ascii="Arial" w:eastAsia="Arial" w:hAnsi="Arial" w:cs="Arial"/>
          <w:szCs w:val="22"/>
          <w:lang w:val="es-PY"/>
        </w:rPr>
      </w:pPr>
      <w:r w:rsidRPr="00B2735A">
        <w:rPr>
          <w:rFonts w:ascii="Arial" w:eastAsia="Arial" w:hAnsi="Arial" w:cs="Arial"/>
          <w:szCs w:val="22"/>
          <w:lang w:val="es-PY"/>
        </w:rPr>
        <w:t>Las características relevantes (composición, función, degradación) de cualquier matriz, fibra, microesferas u otros materiales que se utilicen en la fabricación y que no formen parte del producto terminado deben describirse.</w:t>
      </w:r>
    </w:p>
    <w:p w:rsidR="009641F0" w:rsidRPr="00B2735A" w:rsidRDefault="009641F0" w:rsidP="009641F0">
      <w:pPr>
        <w:spacing w:after="120"/>
        <w:jc w:val="both"/>
        <w:rPr>
          <w:rFonts w:ascii="Arial" w:eastAsia="Arial" w:hAnsi="Arial" w:cs="Arial"/>
          <w:szCs w:val="22"/>
          <w:lang w:val="es-PY"/>
        </w:rPr>
      </w:pPr>
      <w:r w:rsidRPr="00B2735A">
        <w:rPr>
          <w:rFonts w:ascii="Arial" w:eastAsia="Arial" w:hAnsi="Arial" w:cs="Arial"/>
          <w:szCs w:val="22"/>
          <w:lang w:val="es-PY"/>
        </w:rPr>
        <w:t xml:space="preserve">La pureza microbiológica y el bajo nivel de endotoxinas de las materias primas deben garantizarse, según corresponda y de conformidad con </w:t>
      </w:r>
      <w:r w:rsidR="002914B5">
        <w:rPr>
          <w:rFonts w:ascii="Arial" w:eastAsia="Arial" w:hAnsi="Arial" w:cs="Arial"/>
          <w:szCs w:val="22"/>
          <w:lang w:val="es-PY"/>
        </w:rPr>
        <w:t>farmacopeas internacionalmente reconocidas</w:t>
      </w:r>
      <w:r w:rsidRPr="00B2735A">
        <w:rPr>
          <w:rFonts w:ascii="Arial" w:eastAsia="Arial" w:hAnsi="Arial" w:cs="Arial"/>
          <w:szCs w:val="22"/>
          <w:lang w:val="es-PY"/>
        </w:rPr>
        <w:t>.</w:t>
      </w:r>
    </w:p>
    <w:p w:rsidR="009641F0" w:rsidRPr="00B2735A" w:rsidRDefault="009641F0" w:rsidP="009641F0">
      <w:pPr>
        <w:spacing w:after="120"/>
        <w:jc w:val="both"/>
        <w:rPr>
          <w:rFonts w:ascii="Arial" w:eastAsia="Arial" w:hAnsi="Arial" w:cs="Arial"/>
          <w:szCs w:val="22"/>
          <w:lang w:val="es-PY"/>
        </w:rPr>
      </w:pPr>
      <w:r w:rsidRPr="00B2735A">
        <w:rPr>
          <w:rFonts w:ascii="Arial" w:eastAsia="Arial" w:hAnsi="Arial" w:cs="Arial"/>
          <w:szCs w:val="22"/>
          <w:lang w:val="es-PY"/>
        </w:rPr>
        <w:t>Debido a su potencial de introducir agentes adventicios, debe evitarse el uso de reactivos de origen humano/animal y reemplazarse, cuando sea posible, por reactivos de composición definida no derivados de humanos/animales. Para todas las materias primas de origen biológico, debe proporcionarse la información sobre el proveedor o los criterios de selección del material, y debe abordarse el impacto potencial de utilizar varias fuentes o proveedores en la calidad de la sustancia activa. Debe proporcionarse información adicional sobre la etapa respectiva del proceso de fabricación en la que se utiliza el material, resúmenes de la información de seguridad frente a agentes adventicios y una evaluación de riesgos.</w:t>
      </w:r>
    </w:p>
    <w:p w:rsidR="009641F0" w:rsidRDefault="000B7715" w:rsidP="009641F0">
      <w:pPr>
        <w:spacing w:after="120"/>
        <w:jc w:val="both"/>
        <w:rPr>
          <w:rFonts w:ascii="Arial" w:eastAsia="Arial" w:hAnsi="Arial" w:cs="Arial"/>
          <w:szCs w:val="22"/>
          <w:lang w:val="es-PY"/>
        </w:rPr>
      </w:pPr>
      <w:r>
        <w:rPr>
          <w:rFonts w:ascii="Arial" w:eastAsia="Arial" w:hAnsi="Arial" w:cs="Arial"/>
          <w:szCs w:val="22"/>
          <w:lang w:val="es-PY"/>
        </w:rPr>
        <w:t>Las</w:t>
      </w:r>
      <w:r w:rsidR="009641F0" w:rsidRPr="00B2735A">
        <w:rPr>
          <w:rFonts w:ascii="Arial" w:eastAsia="Arial" w:hAnsi="Arial" w:cs="Arial"/>
          <w:szCs w:val="22"/>
          <w:lang w:val="es-PY"/>
        </w:rPr>
        <w:t xml:space="preserve"> </w:t>
      </w:r>
      <w:r>
        <w:rPr>
          <w:rFonts w:ascii="Arial" w:eastAsia="Arial" w:hAnsi="Arial" w:cs="Arial"/>
          <w:szCs w:val="22"/>
          <w:lang w:val="es-PY"/>
        </w:rPr>
        <w:t>m</w:t>
      </w:r>
      <w:r w:rsidR="009641F0" w:rsidRPr="00B2735A">
        <w:rPr>
          <w:rFonts w:ascii="Arial" w:eastAsia="Arial" w:hAnsi="Arial" w:cs="Arial"/>
          <w:szCs w:val="22"/>
          <w:lang w:val="es-PY"/>
        </w:rPr>
        <w:t>aterias primas para la producción de medicamentos de terapia génica y basados en células</w:t>
      </w:r>
      <w:r>
        <w:rPr>
          <w:rFonts w:ascii="Arial" w:eastAsia="Arial" w:hAnsi="Arial" w:cs="Arial"/>
          <w:szCs w:val="22"/>
          <w:lang w:val="es-PY"/>
        </w:rPr>
        <w:t>, deben cumplir con los criterios establecidos en farmacopeas internacionalmente reconocidas</w:t>
      </w:r>
      <w:r w:rsidR="009641F0" w:rsidRPr="00B2735A">
        <w:rPr>
          <w:rFonts w:ascii="Arial" w:eastAsia="Arial" w:hAnsi="Arial" w:cs="Arial"/>
          <w:szCs w:val="22"/>
          <w:lang w:val="es-PY"/>
        </w:rPr>
        <w:t xml:space="preserve">. Los mismos principios de seguridad se aplican a las materias primas críticas generadas en sistemas biológicos que se utilizan para </w:t>
      </w:r>
      <w:r w:rsidR="009641F0" w:rsidRPr="00B2735A">
        <w:rPr>
          <w:rFonts w:ascii="Arial" w:eastAsia="Arial" w:hAnsi="Arial" w:cs="Arial"/>
          <w:szCs w:val="22"/>
          <w:lang w:val="es-PY"/>
        </w:rPr>
        <w:lastRenderedPageBreak/>
        <w:t>la fabricación de materiales de partida tales como vectores virales, herramientas de edición génica o células madre pluripotentes inducidas (</w:t>
      </w:r>
      <w:proofErr w:type="spellStart"/>
      <w:r w:rsidR="009641F0" w:rsidRPr="00B2735A">
        <w:rPr>
          <w:rFonts w:ascii="Arial" w:eastAsia="Arial" w:hAnsi="Arial" w:cs="Arial"/>
          <w:szCs w:val="22"/>
          <w:lang w:val="es-PY"/>
        </w:rPr>
        <w:t>iPS</w:t>
      </w:r>
      <w:proofErr w:type="spellEnd"/>
      <w:r w:rsidR="009641F0" w:rsidRPr="00B2735A">
        <w:rPr>
          <w:rFonts w:ascii="Arial" w:eastAsia="Arial" w:hAnsi="Arial" w:cs="Arial"/>
          <w:szCs w:val="22"/>
          <w:lang w:val="es-PY"/>
        </w:rPr>
        <w:t>).</w:t>
      </w:r>
    </w:p>
    <w:p w:rsidR="009641F0" w:rsidRPr="00DD034F" w:rsidRDefault="009641F0" w:rsidP="009641F0">
      <w:pPr>
        <w:spacing w:after="120"/>
        <w:jc w:val="both"/>
        <w:rPr>
          <w:rFonts w:ascii="Arial" w:eastAsia="Arial" w:hAnsi="Arial" w:cs="Arial"/>
          <w:szCs w:val="22"/>
          <w:lang w:val="es-PY"/>
        </w:rPr>
      </w:pPr>
      <w:r w:rsidRPr="00DD034F">
        <w:rPr>
          <w:rFonts w:ascii="Arial" w:eastAsia="Arial" w:hAnsi="Arial" w:cs="Arial"/>
          <w:szCs w:val="22"/>
          <w:lang w:val="es-PY"/>
        </w:rPr>
        <w:t xml:space="preserve">Las materias primas derivadas de sangre o plasma humano deben cumplir con las normativas y directrices </w:t>
      </w:r>
      <w:r w:rsidR="000B7715">
        <w:rPr>
          <w:rFonts w:ascii="Arial" w:eastAsia="Arial" w:hAnsi="Arial" w:cs="Arial"/>
          <w:szCs w:val="22"/>
          <w:lang w:val="es-PY"/>
        </w:rPr>
        <w:t>internacionales</w:t>
      </w:r>
      <w:r w:rsidRPr="00DD034F">
        <w:rPr>
          <w:rFonts w:ascii="Arial" w:eastAsia="Arial" w:hAnsi="Arial" w:cs="Arial"/>
          <w:szCs w:val="22"/>
          <w:lang w:val="es-PY"/>
        </w:rPr>
        <w:t xml:space="preserve">. Si el material está autorizado como medicamento </w:t>
      </w:r>
      <w:r w:rsidR="000B7715">
        <w:rPr>
          <w:rFonts w:ascii="Arial" w:eastAsia="Arial" w:hAnsi="Arial" w:cs="Arial"/>
          <w:szCs w:val="22"/>
          <w:lang w:val="es-PY"/>
        </w:rPr>
        <w:t>por agencias reguladoras de referencia</w:t>
      </w:r>
      <w:r w:rsidRPr="00DD034F">
        <w:rPr>
          <w:rFonts w:ascii="Arial" w:eastAsia="Arial" w:hAnsi="Arial" w:cs="Arial"/>
          <w:szCs w:val="22"/>
          <w:lang w:val="es-PY"/>
        </w:rPr>
        <w:t xml:space="preserve"> o está vinculado a un Plasma Master File aprobado, deben proporcionarse las referencias correspondientes. Las materias primas derivadas de plasma (incluyendo componentes en medios de cultivo) que no estén autorizadas como medicamentos </w:t>
      </w:r>
      <w:r w:rsidR="000B7715">
        <w:rPr>
          <w:rFonts w:ascii="Arial" w:eastAsia="Arial" w:hAnsi="Arial" w:cs="Arial"/>
          <w:szCs w:val="22"/>
          <w:lang w:val="es-PY"/>
        </w:rPr>
        <w:t>por agencias reguladoras de referencia</w:t>
      </w:r>
      <w:r w:rsidRPr="00DD034F">
        <w:rPr>
          <w:rFonts w:ascii="Arial" w:eastAsia="Arial" w:hAnsi="Arial" w:cs="Arial"/>
          <w:szCs w:val="22"/>
          <w:lang w:val="es-PY"/>
        </w:rPr>
        <w:t xml:space="preserve"> deben producirse conforme a los principios de las directrices aplicables </w:t>
      </w:r>
      <w:r>
        <w:rPr>
          <w:rFonts w:ascii="Arial" w:eastAsia="Arial" w:hAnsi="Arial" w:cs="Arial"/>
          <w:szCs w:val="22"/>
          <w:lang w:val="es-PY"/>
        </w:rPr>
        <w:t>de guías internacionales (ICH, OMS, FDA, entre otros)</w:t>
      </w:r>
      <w:r w:rsidRPr="00DD034F">
        <w:rPr>
          <w:rFonts w:ascii="Arial" w:eastAsia="Arial" w:hAnsi="Arial" w:cs="Arial"/>
          <w:szCs w:val="22"/>
          <w:lang w:val="es-PY"/>
        </w:rPr>
        <w:t>. Debe asegurarse la trazabilidad desde el lote final del ATMP en investigación hasta los donantes de las materias primas derivadas de plasma.</w:t>
      </w:r>
    </w:p>
    <w:p w:rsidR="009641F0" w:rsidRPr="00CA3CAC" w:rsidRDefault="009641F0" w:rsidP="009641F0">
      <w:pPr>
        <w:spacing w:after="120"/>
        <w:jc w:val="both"/>
        <w:rPr>
          <w:rFonts w:ascii="Arial" w:eastAsia="Arial" w:hAnsi="Arial" w:cs="Arial"/>
          <w:szCs w:val="22"/>
          <w:lang w:val="es-PY"/>
        </w:rPr>
      </w:pPr>
      <w:r w:rsidRPr="00CA3CAC">
        <w:rPr>
          <w:rFonts w:ascii="Arial" w:eastAsia="Arial" w:hAnsi="Arial" w:cs="Arial"/>
          <w:szCs w:val="22"/>
          <w:lang w:val="es-PY"/>
        </w:rPr>
        <w:t xml:space="preserve">Las líneas celulares </w:t>
      </w:r>
      <w:r w:rsidR="00B27F60">
        <w:rPr>
          <w:rFonts w:ascii="Arial" w:eastAsia="Arial" w:hAnsi="Arial" w:cs="Arial"/>
          <w:szCs w:val="22"/>
          <w:lang w:val="es-PY"/>
        </w:rPr>
        <w:t>alimentadoras</w:t>
      </w:r>
      <w:r>
        <w:rPr>
          <w:rFonts w:ascii="Arial" w:eastAsia="Arial" w:hAnsi="Arial" w:cs="Arial"/>
          <w:szCs w:val="22"/>
          <w:lang w:val="es-PY"/>
        </w:rPr>
        <w:t xml:space="preserve"> </w:t>
      </w:r>
      <w:r w:rsidRPr="00CA3CAC">
        <w:rPr>
          <w:rFonts w:ascii="Arial" w:eastAsia="Arial" w:hAnsi="Arial" w:cs="Arial"/>
          <w:szCs w:val="22"/>
          <w:lang w:val="es-PY"/>
        </w:rPr>
        <w:t>(</w:t>
      </w:r>
      <w:proofErr w:type="spellStart"/>
      <w:r w:rsidRPr="00CA3CAC">
        <w:rPr>
          <w:rFonts w:ascii="Arial" w:eastAsia="Arial" w:hAnsi="Arial" w:cs="Arial"/>
          <w:szCs w:val="22"/>
          <w:lang w:val="es-PY"/>
        </w:rPr>
        <w:t>feeder</w:t>
      </w:r>
      <w:proofErr w:type="spellEnd"/>
      <w:r w:rsidRPr="00CA3CAC">
        <w:rPr>
          <w:rFonts w:ascii="Arial" w:eastAsia="Arial" w:hAnsi="Arial" w:cs="Arial"/>
          <w:szCs w:val="22"/>
          <w:lang w:val="es-PY"/>
        </w:rPr>
        <w:t xml:space="preserve"> </w:t>
      </w:r>
      <w:proofErr w:type="spellStart"/>
      <w:r w:rsidRPr="00CA3CAC">
        <w:rPr>
          <w:rFonts w:ascii="Arial" w:eastAsia="Arial" w:hAnsi="Arial" w:cs="Arial"/>
          <w:szCs w:val="22"/>
          <w:lang w:val="es-PY"/>
        </w:rPr>
        <w:t>cell</w:t>
      </w:r>
      <w:proofErr w:type="spellEnd"/>
      <w:r w:rsidRPr="00CA3CAC">
        <w:rPr>
          <w:rFonts w:ascii="Arial" w:eastAsia="Arial" w:hAnsi="Arial" w:cs="Arial"/>
          <w:szCs w:val="22"/>
          <w:lang w:val="es-PY"/>
        </w:rPr>
        <w:t xml:space="preserve"> </w:t>
      </w:r>
      <w:proofErr w:type="spellStart"/>
      <w:r w:rsidRPr="00CA3CAC">
        <w:rPr>
          <w:rFonts w:ascii="Arial" w:eastAsia="Arial" w:hAnsi="Arial" w:cs="Arial"/>
          <w:szCs w:val="22"/>
          <w:lang w:val="es-PY"/>
        </w:rPr>
        <w:t>lines</w:t>
      </w:r>
      <w:proofErr w:type="spellEnd"/>
      <w:r w:rsidRPr="00CA3CAC">
        <w:rPr>
          <w:rFonts w:ascii="Arial" w:eastAsia="Arial" w:hAnsi="Arial" w:cs="Arial"/>
          <w:szCs w:val="22"/>
          <w:lang w:val="es-PY"/>
        </w:rPr>
        <w:t>) se consideran materias primas y, cuando se utilicen, deberá establecerse, siempre que sea posible, un Banco Maestro de Células (MCB) y un Banco de Trabajo de Células (WCB) debidamente caracterizados.</w:t>
      </w:r>
    </w:p>
    <w:p w:rsidR="009641F0" w:rsidRDefault="009641F0" w:rsidP="009641F0">
      <w:pPr>
        <w:spacing w:after="120"/>
        <w:jc w:val="both"/>
        <w:rPr>
          <w:rFonts w:ascii="Arial" w:eastAsia="Arial" w:hAnsi="Arial" w:cs="Arial"/>
          <w:szCs w:val="22"/>
          <w:lang w:val="es-PY"/>
        </w:rPr>
      </w:pPr>
      <w:r w:rsidRPr="00CA3CAC">
        <w:rPr>
          <w:rFonts w:ascii="Arial" w:eastAsia="Arial" w:hAnsi="Arial" w:cs="Arial"/>
          <w:szCs w:val="22"/>
          <w:lang w:val="es-PY"/>
        </w:rPr>
        <w:t>Los virus auxiliares (</w:t>
      </w:r>
      <w:proofErr w:type="spellStart"/>
      <w:r w:rsidRPr="00CA3CAC">
        <w:rPr>
          <w:rFonts w:ascii="Arial" w:eastAsia="Arial" w:hAnsi="Arial" w:cs="Arial"/>
          <w:szCs w:val="22"/>
          <w:lang w:val="es-PY"/>
        </w:rPr>
        <w:t>helper</w:t>
      </w:r>
      <w:proofErr w:type="spellEnd"/>
      <w:r w:rsidRPr="00CA3CAC">
        <w:rPr>
          <w:rFonts w:ascii="Arial" w:eastAsia="Arial" w:hAnsi="Arial" w:cs="Arial"/>
          <w:szCs w:val="22"/>
          <w:lang w:val="es-PY"/>
        </w:rPr>
        <w:t xml:space="preserve"> </w:t>
      </w:r>
      <w:proofErr w:type="spellStart"/>
      <w:r w:rsidRPr="00CA3CAC">
        <w:rPr>
          <w:rFonts w:ascii="Arial" w:eastAsia="Arial" w:hAnsi="Arial" w:cs="Arial"/>
          <w:szCs w:val="22"/>
          <w:lang w:val="es-PY"/>
        </w:rPr>
        <w:t>viruses</w:t>
      </w:r>
      <w:proofErr w:type="spellEnd"/>
      <w:r w:rsidRPr="00CA3CAC">
        <w:rPr>
          <w:rFonts w:ascii="Arial" w:eastAsia="Arial" w:hAnsi="Arial" w:cs="Arial"/>
          <w:szCs w:val="22"/>
          <w:lang w:val="es-PY"/>
        </w:rPr>
        <w:t>)</w:t>
      </w:r>
      <w:r>
        <w:rPr>
          <w:rFonts w:ascii="Arial" w:eastAsia="Arial" w:hAnsi="Arial" w:cs="Arial"/>
          <w:szCs w:val="22"/>
          <w:lang w:val="es-PY"/>
        </w:rPr>
        <w:t xml:space="preserve"> </w:t>
      </w:r>
      <w:r w:rsidRPr="00CA3CAC">
        <w:rPr>
          <w:rFonts w:ascii="Arial" w:eastAsia="Arial" w:hAnsi="Arial" w:cs="Arial"/>
          <w:szCs w:val="22"/>
          <w:lang w:val="es-PY"/>
        </w:rPr>
        <w:t>se clasifican, en general, como materias primas. Se deberán proporcionar descripciones detalladas de su diseño, construcción, producción y del sistema de bancos utilizado, con el mismo nivel de detalle que se exige para los materiales de partida.</w:t>
      </w:r>
    </w:p>
    <w:p w:rsidR="009641F0" w:rsidRPr="007A1CA1" w:rsidRDefault="009641F0" w:rsidP="009641F0">
      <w:pPr>
        <w:spacing w:after="120"/>
        <w:jc w:val="both"/>
        <w:rPr>
          <w:rFonts w:ascii="Arial" w:eastAsia="Arial" w:hAnsi="Arial" w:cs="Arial"/>
          <w:b/>
          <w:i/>
          <w:szCs w:val="22"/>
          <w:lang w:val="es-PY"/>
        </w:rPr>
      </w:pPr>
      <w:r w:rsidRPr="007A1CA1">
        <w:rPr>
          <w:rFonts w:ascii="Arial" w:eastAsia="Arial" w:hAnsi="Arial" w:cs="Arial"/>
          <w:b/>
          <w:i/>
          <w:szCs w:val="22"/>
          <w:lang w:val="es-PY"/>
        </w:rPr>
        <w:t>Materiales de partida</w:t>
      </w:r>
    </w:p>
    <w:p w:rsidR="009641F0" w:rsidRPr="004F1629" w:rsidRDefault="009641F0" w:rsidP="009641F0">
      <w:pPr>
        <w:pStyle w:val="Prrafodelista"/>
        <w:numPr>
          <w:ilvl w:val="0"/>
          <w:numId w:val="2"/>
        </w:numPr>
        <w:spacing w:after="120"/>
        <w:ind w:left="567" w:hanging="578"/>
        <w:jc w:val="both"/>
        <w:rPr>
          <w:rFonts w:ascii="Arial" w:eastAsia="Arial" w:hAnsi="Arial" w:cs="Arial"/>
          <w:b/>
          <w:szCs w:val="22"/>
          <w:lang w:val="es-PY"/>
        </w:rPr>
      </w:pPr>
      <w:r w:rsidRPr="004F1629">
        <w:rPr>
          <w:rFonts w:ascii="Arial" w:eastAsia="Arial" w:hAnsi="Arial" w:cs="Arial"/>
          <w:b/>
          <w:szCs w:val="22"/>
          <w:lang w:val="es-PY"/>
        </w:rPr>
        <w:t>Materiales de partida para medicamentos de terapia avanzada en investigación basados en células (</w:t>
      </w:r>
      <w:proofErr w:type="spellStart"/>
      <w:r w:rsidRPr="004F1629">
        <w:rPr>
          <w:rFonts w:ascii="Arial" w:eastAsia="Arial" w:hAnsi="Arial" w:cs="Arial"/>
          <w:b/>
          <w:szCs w:val="22"/>
          <w:lang w:val="es-PY"/>
        </w:rPr>
        <w:t>investigational</w:t>
      </w:r>
      <w:proofErr w:type="spellEnd"/>
      <w:r w:rsidRPr="004F1629">
        <w:rPr>
          <w:rFonts w:ascii="Arial" w:eastAsia="Arial" w:hAnsi="Arial" w:cs="Arial"/>
          <w:b/>
          <w:szCs w:val="22"/>
          <w:lang w:val="es-PY"/>
        </w:rPr>
        <w:t xml:space="preserve"> </w:t>
      </w:r>
      <w:proofErr w:type="spellStart"/>
      <w:r w:rsidRPr="004F1629">
        <w:rPr>
          <w:rFonts w:ascii="Arial" w:eastAsia="Arial" w:hAnsi="Arial" w:cs="Arial"/>
          <w:b/>
          <w:szCs w:val="22"/>
          <w:lang w:val="es-PY"/>
        </w:rPr>
        <w:t>cell-based</w:t>
      </w:r>
      <w:proofErr w:type="spellEnd"/>
      <w:r w:rsidRPr="004F1629">
        <w:rPr>
          <w:rFonts w:ascii="Arial" w:eastAsia="Arial" w:hAnsi="Arial" w:cs="Arial"/>
          <w:b/>
          <w:szCs w:val="22"/>
          <w:lang w:val="es-PY"/>
        </w:rPr>
        <w:t xml:space="preserve"> </w:t>
      </w:r>
      <w:proofErr w:type="spellStart"/>
      <w:r w:rsidRPr="004F1629">
        <w:rPr>
          <w:rFonts w:ascii="Arial" w:eastAsia="Arial" w:hAnsi="Arial" w:cs="Arial"/>
          <w:b/>
          <w:szCs w:val="22"/>
          <w:lang w:val="es-PY"/>
        </w:rPr>
        <w:t>ATMPs</w:t>
      </w:r>
      <w:proofErr w:type="spellEnd"/>
      <w:r w:rsidRPr="004F1629">
        <w:rPr>
          <w:rFonts w:ascii="Arial" w:eastAsia="Arial" w:hAnsi="Arial" w:cs="Arial"/>
          <w:b/>
          <w:szCs w:val="22"/>
          <w:lang w:val="es-PY"/>
        </w:rPr>
        <w:t>)</w:t>
      </w:r>
    </w:p>
    <w:p w:rsidR="009641F0" w:rsidRPr="001C3B18" w:rsidRDefault="009641F0" w:rsidP="009641F0">
      <w:pPr>
        <w:spacing w:after="120"/>
        <w:jc w:val="both"/>
        <w:rPr>
          <w:rFonts w:ascii="Arial" w:eastAsia="Arial" w:hAnsi="Arial" w:cs="Arial"/>
          <w:szCs w:val="22"/>
          <w:lang w:val="es-PY"/>
        </w:rPr>
      </w:pPr>
      <w:r>
        <w:rPr>
          <w:rFonts w:ascii="Arial" w:eastAsia="Arial" w:hAnsi="Arial" w:cs="Arial"/>
          <w:szCs w:val="22"/>
          <w:lang w:val="es-PY"/>
        </w:rPr>
        <w:t>S</w:t>
      </w:r>
      <w:r w:rsidRPr="001C3B18">
        <w:rPr>
          <w:rFonts w:ascii="Arial" w:eastAsia="Arial" w:hAnsi="Arial" w:cs="Arial"/>
          <w:szCs w:val="22"/>
          <w:lang w:val="es-PY"/>
        </w:rPr>
        <w:t xml:space="preserve">e entenderán como </w:t>
      </w:r>
      <w:r>
        <w:rPr>
          <w:rFonts w:ascii="Arial" w:eastAsia="Arial" w:hAnsi="Arial" w:cs="Arial"/>
          <w:szCs w:val="22"/>
          <w:lang w:val="es-PY"/>
        </w:rPr>
        <w:t xml:space="preserve">materiales de partida a </w:t>
      </w:r>
      <w:r w:rsidRPr="001C3B18">
        <w:rPr>
          <w:rFonts w:ascii="Arial" w:eastAsia="Arial" w:hAnsi="Arial" w:cs="Arial"/>
          <w:szCs w:val="22"/>
          <w:lang w:val="es-PY"/>
        </w:rPr>
        <w:t xml:space="preserve">todos aquellos </w:t>
      </w:r>
      <w:r>
        <w:rPr>
          <w:rFonts w:ascii="Arial" w:eastAsia="Arial" w:hAnsi="Arial" w:cs="Arial"/>
          <w:szCs w:val="22"/>
          <w:lang w:val="es-PY"/>
        </w:rPr>
        <w:t xml:space="preserve">materiales </w:t>
      </w:r>
      <w:r w:rsidRPr="001C3B18">
        <w:rPr>
          <w:rFonts w:ascii="Arial" w:eastAsia="Arial" w:hAnsi="Arial" w:cs="Arial"/>
          <w:szCs w:val="22"/>
          <w:lang w:val="es-PY"/>
        </w:rPr>
        <w:t xml:space="preserve">a partir de los cuales se fabrica la sustancia activa. El </w:t>
      </w:r>
      <w:r w:rsidR="00893724">
        <w:rPr>
          <w:rFonts w:ascii="Arial" w:eastAsia="Arial" w:hAnsi="Arial" w:cs="Arial"/>
          <w:szCs w:val="22"/>
          <w:lang w:val="es-PY"/>
        </w:rPr>
        <w:t>expediente del producto en investigación</w:t>
      </w:r>
      <w:r w:rsidRPr="001C3B18">
        <w:rPr>
          <w:rFonts w:ascii="Arial" w:eastAsia="Arial" w:hAnsi="Arial" w:cs="Arial"/>
          <w:szCs w:val="22"/>
          <w:lang w:val="es-PY"/>
        </w:rPr>
        <w:t xml:space="preserve"> deberá incluir la(s) definición(es) de los materiales de partida y el principio del enfoque basado en el riesgo que puede aplicarse para determinar el alcance de los datos de calidad.</w:t>
      </w:r>
    </w:p>
    <w:p w:rsidR="009641F0" w:rsidRPr="001C3B18" w:rsidRDefault="009641F0" w:rsidP="009641F0">
      <w:pPr>
        <w:spacing w:after="120"/>
        <w:jc w:val="both"/>
        <w:rPr>
          <w:rFonts w:ascii="Arial" w:eastAsia="Arial" w:hAnsi="Arial" w:cs="Arial"/>
          <w:szCs w:val="22"/>
          <w:lang w:val="es-PY"/>
        </w:rPr>
      </w:pPr>
      <w:r w:rsidRPr="001C3B18">
        <w:rPr>
          <w:rFonts w:ascii="Arial" w:eastAsia="Arial" w:hAnsi="Arial" w:cs="Arial"/>
          <w:szCs w:val="22"/>
          <w:lang w:val="es-PY"/>
        </w:rPr>
        <w:t>El mismo nivel de información requerido para la sustancia activa deberá proporcionarse para los materiales de partida críticos, y podrá presentarse en una sección dedicada en S.2.3, que podría seguir el formato S, incluyendo los datos de estabilidad.</w:t>
      </w:r>
    </w:p>
    <w:p w:rsidR="009641F0" w:rsidRPr="001C3B18" w:rsidRDefault="009641F0" w:rsidP="009641F0">
      <w:pPr>
        <w:spacing w:after="120"/>
        <w:jc w:val="both"/>
        <w:rPr>
          <w:rFonts w:ascii="Arial" w:eastAsia="Arial" w:hAnsi="Arial" w:cs="Arial"/>
          <w:szCs w:val="22"/>
          <w:lang w:val="es-PY"/>
        </w:rPr>
      </w:pPr>
      <w:r w:rsidRPr="001C3B18">
        <w:rPr>
          <w:rFonts w:ascii="Arial" w:eastAsia="Arial" w:hAnsi="Arial" w:cs="Arial"/>
          <w:szCs w:val="22"/>
          <w:lang w:val="es-PY"/>
        </w:rPr>
        <w:t>Los siguientes tipos de materiales de partida se obtienen del procesamiento de material celular donado (células o tejidos) de uno o varios donantes:</w:t>
      </w:r>
    </w:p>
    <w:p w:rsidR="009641F0" w:rsidRPr="001C3B18" w:rsidRDefault="009641F0" w:rsidP="009641F0">
      <w:pPr>
        <w:spacing w:after="120"/>
        <w:jc w:val="both"/>
        <w:rPr>
          <w:rFonts w:ascii="Arial" w:eastAsia="Arial" w:hAnsi="Arial" w:cs="Arial"/>
          <w:szCs w:val="22"/>
          <w:lang w:val="es-PY"/>
        </w:rPr>
      </w:pPr>
      <w:r w:rsidRPr="001C3B18">
        <w:rPr>
          <w:rFonts w:ascii="Arial" w:eastAsia="Arial" w:hAnsi="Arial" w:cs="Arial"/>
          <w:szCs w:val="22"/>
          <w:lang w:val="es-PY"/>
        </w:rPr>
        <w:lastRenderedPageBreak/>
        <w:t>Un único aislamiento de células primarias o suspensiones celulares que contienen diversos tipos celulares presentes de forma natural, utilizadas directamente para la fabricación del medicamento basado en células.</w:t>
      </w:r>
    </w:p>
    <w:p w:rsidR="009641F0" w:rsidRPr="001C3B18" w:rsidRDefault="009641F0" w:rsidP="009641F0">
      <w:pPr>
        <w:spacing w:after="120"/>
        <w:jc w:val="both"/>
        <w:rPr>
          <w:rFonts w:ascii="Arial" w:eastAsia="Arial" w:hAnsi="Arial" w:cs="Arial"/>
          <w:szCs w:val="22"/>
          <w:lang w:val="es-PY"/>
        </w:rPr>
      </w:pPr>
      <w:r w:rsidRPr="001C3B18">
        <w:rPr>
          <w:rFonts w:ascii="Arial" w:eastAsia="Arial" w:hAnsi="Arial" w:cs="Arial"/>
          <w:szCs w:val="22"/>
          <w:lang w:val="es-PY"/>
        </w:rPr>
        <w:t>Células primarias cultivadas durante unos pocos pases antes de ser utilizadas en la fabricación del medicamento basado en células.</w:t>
      </w:r>
    </w:p>
    <w:p w:rsidR="009641F0" w:rsidRPr="001C3B18" w:rsidRDefault="009641F0" w:rsidP="009641F0">
      <w:pPr>
        <w:spacing w:after="120"/>
        <w:jc w:val="both"/>
        <w:rPr>
          <w:rFonts w:ascii="Arial" w:eastAsia="Arial" w:hAnsi="Arial" w:cs="Arial"/>
          <w:szCs w:val="22"/>
          <w:lang w:val="es-PY"/>
        </w:rPr>
      </w:pPr>
      <w:r w:rsidRPr="001C3B18">
        <w:rPr>
          <w:rFonts w:ascii="Arial" w:eastAsia="Arial" w:hAnsi="Arial" w:cs="Arial"/>
          <w:szCs w:val="22"/>
          <w:lang w:val="es-PY"/>
        </w:rPr>
        <w:t>Células basadas en un sistema de banco celular bien definido, idealmente compuesto por un Banco Maestro de Células (MCB) y un Banco de Trabajo de Células (WCB).</w:t>
      </w:r>
    </w:p>
    <w:p w:rsidR="009641F0" w:rsidRPr="001C3B18" w:rsidRDefault="009641F0" w:rsidP="009641F0">
      <w:pPr>
        <w:spacing w:after="120"/>
        <w:jc w:val="both"/>
        <w:rPr>
          <w:rFonts w:ascii="Arial" w:eastAsia="Arial" w:hAnsi="Arial" w:cs="Arial"/>
          <w:szCs w:val="22"/>
          <w:lang w:val="es-PY"/>
        </w:rPr>
      </w:pPr>
      <w:r w:rsidRPr="001C3B18">
        <w:rPr>
          <w:rFonts w:ascii="Arial" w:eastAsia="Arial" w:hAnsi="Arial" w:cs="Arial"/>
          <w:szCs w:val="22"/>
          <w:lang w:val="es-PY"/>
        </w:rPr>
        <w:t xml:space="preserve">La fuente </w:t>
      </w:r>
      <w:r>
        <w:rPr>
          <w:rFonts w:ascii="Arial" w:eastAsia="Arial" w:hAnsi="Arial" w:cs="Arial"/>
          <w:szCs w:val="22"/>
          <w:lang w:val="es-PY"/>
        </w:rPr>
        <w:t>de las células</w:t>
      </w:r>
      <w:r w:rsidRPr="001C3B18">
        <w:rPr>
          <w:rFonts w:ascii="Arial" w:eastAsia="Arial" w:hAnsi="Arial" w:cs="Arial"/>
          <w:szCs w:val="22"/>
          <w:lang w:val="es-PY"/>
        </w:rPr>
        <w:t xml:space="preserve"> deberá estar documentada, así como el tejido y tipo celular, y cualquier pretratamiento del donante/paciente requerido antes de la donación. El procedimiento para obtener las células de su fuente deberá describirse (en relación con el tipo de enzima, medio, etc.) y se deberá explicar la finalidad de cada paso.</w:t>
      </w:r>
    </w:p>
    <w:p w:rsidR="009641F0" w:rsidRPr="001C3B18" w:rsidRDefault="009641F0" w:rsidP="009641F0">
      <w:pPr>
        <w:spacing w:after="120"/>
        <w:jc w:val="both"/>
        <w:rPr>
          <w:rFonts w:ascii="Arial" w:eastAsia="Arial" w:hAnsi="Arial" w:cs="Arial"/>
          <w:szCs w:val="22"/>
          <w:lang w:val="es-PY"/>
        </w:rPr>
      </w:pPr>
      <w:r w:rsidRPr="001C3B18">
        <w:rPr>
          <w:rFonts w:ascii="Arial" w:eastAsia="Arial" w:hAnsi="Arial" w:cs="Arial"/>
          <w:szCs w:val="22"/>
          <w:lang w:val="es-PY"/>
        </w:rPr>
        <w:t>Cuando se utilicen múltiples métodos de donación (por ejemplo, movilización de células de médula ósea hacia la circulación o no), se necesitarán datos adecuados de caracterización/comparabilidad para evaluar el posible impacto en la calidad del producto. Cualquier diferencia observada deberá justificarse de manera exhaustiva.</w:t>
      </w:r>
    </w:p>
    <w:p w:rsidR="009641F0" w:rsidRDefault="009641F0" w:rsidP="009641F0">
      <w:pPr>
        <w:spacing w:after="120"/>
        <w:jc w:val="both"/>
        <w:rPr>
          <w:rFonts w:ascii="Arial" w:eastAsia="Arial" w:hAnsi="Arial" w:cs="Arial"/>
          <w:szCs w:val="22"/>
          <w:lang w:val="es-PY"/>
        </w:rPr>
      </w:pPr>
      <w:r w:rsidRPr="001C3B18">
        <w:rPr>
          <w:rFonts w:ascii="Arial" w:eastAsia="Arial" w:hAnsi="Arial" w:cs="Arial"/>
          <w:szCs w:val="22"/>
          <w:lang w:val="es-PY"/>
        </w:rPr>
        <w:t>La identidad de las células deberá verificarse mediante marcadores genotípicos y/o fenotípicos, y la proporción de células que expresen dichos marcadores de identidad deberá evaluarse como indicador de la población celular prevista.</w:t>
      </w:r>
    </w:p>
    <w:p w:rsidR="009641F0" w:rsidRPr="00E15B1E" w:rsidRDefault="009641F0" w:rsidP="009641F0">
      <w:pPr>
        <w:spacing w:after="120"/>
        <w:jc w:val="both"/>
        <w:rPr>
          <w:rFonts w:ascii="Arial" w:eastAsia="Arial" w:hAnsi="Arial" w:cs="Arial"/>
          <w:szCs w:val="22"/>
          <w:lang w:val="es-PY"/>
        </w:rPr>
      </w:pPr>
      <w:r w:rsidRPr="00E15B1E">
        <w:rPr>
          <w:rFonts w:ascii="Arial" w:eastAsia="Arial" w:hAnsi="Arial" w:cs="Arial"/>
          <w:szCs w:val="22"/>
          <w:lang w:val="es-PY"/>
        </w:rPr>
        <w:t xml:space="preserve">La información relativa a la donación, obtención y ensayo de materiales de partida basados en células humanas debe incluirse en el </w:t>
      </w:r>
      <w:r w:rsidR="00AE048A">
        <w:rPr>
          <w:rFonts w:ascii="Arial" w:eastAsia="Arial" w:hAnsi="Arial" w:cs="Arial"/>
          <w:szCs w:val="22"/>
          <w:lang w:val="es-PY"/>
        </w:rPr>
        <w:t>expediente del producto en investigación</w:t>
      </w:r>
      <w:r w:rsidRPr="00E15B1E">
        <w:rPr>
          <w:rFonts w:ascii="Arial" w:eastAsia="Arial" w:hAnsi="Arial" w:cs="Arial"/>
          <w:szCs w:val="22"/>
          <w:lang w:val="es-PY"/>
        </w:rPr>
        <w:t xml:space="preserve"> y cumplir con los requisitos legales pertinentes.</w:t>
      </w:r>
    </w:p>
    <w:p w:rsidR="009641F0" w:rsidRPr="00E15B1E" w:rsidRDefault="009641F0" w:rsidP="009641F0">
      <w:pPr>
        <w:spacing w:after="120"/>
        <w:jc w:val="both"/>
        <w:rPr>
          <w:rFonts w:ascii="Arial" w:eastAsia="Arial" w:hAnsi="Arial" w:cs="Arial"/>
          <w:szCs w:val="22"/>
          <w:lang w:val="es-PY"/>
        </w:rPr>
      </w:pPr>
      <w:r w:rsidRPr="00E15B1E">
        <w:rPr>
          <w:rFonts w:ascii="Arial" w:eastAsia="Arial" w:hAnsi="Arial" w:cs="Arial"/>
          <w:szCs w:val="22"/>
          <w:lang w:val="es-PY"/>
        </w:rPr>
        <w:t>En el caso de donantes alogénicos, la aparición de patógenos emergentes debe considerarse como parte de la estrategia global de control, y los requisitos de donación y ensayo deberán adaptarse en consecuencia cuando se requieran nuevas donaciones.</w:t>
      </w:r>
    </w:p>
    <w:p w:rsidR="009641F0" w:rsidRPr="00E15B1E" w:rsidRDefault="009641F0" w:rsidP="009641F0">
      <w:pPr>
        <w:spacing w:after="120"/>
        <w:jc w:val="both"/>
        <w:rPr>
          <w:rFonts w:ascii="Arial" w:eastAsia="Arial" w:hAnsi="Arial" w:cs="Arial"/>
          <w:szCs w:val="22"/>
          <w:lang w:val="es-PY"/>
        </w:rPr>
      </w:pPr>
      <w:r w:rsidRPr="00E15B1E">
        <w:rPr>
          <w:rFonts w:ascii="Arial" w:eastAsia="Arial" w:hAnsi="Arial" w:cs="Arial"/>
          <w:szCs w:val="22"/>
          <w:lang w:val="es-PY"/>
        </w:rPr>
        <w:t>Los procedimientos y estándares empleados para la selección de donantes adecuados y la exclusión de donantes de alto riesgo o no aptos deberán estar claramente definidos y justificados. Si es necesario agrupar células de diferentes donantes, el análisis de riesgos deberá abordar la posibilidad de que la mezcla de poblaciones celulares alogénicas pueda:</w:t>
      </w:r>
      <w:r>
        <w:rPr>
          <w:rFonts w:ascii="Arial" w:eastAsia="Arial" w:hAnsi="Arial" w:cs="Arial"/>
          <w:szCs w:val="22"/>
          <w:lang w:val="es-PY"/>
        </w:rPr>
        <w:t xml:space="preserve"> </w:t>
      </w:r>
      <w:r w:rsidRPr="00E15B1E">
        <w:rPr>
          <w:rFonts w:ascii="Arial" w:eastAsia="Arial" w:hAnsi="Arial" w:cs="Arial"/>
          <w:szCs w:val="22"/>
          <w:lang w:val="es-PY"/>
        </w:rPr>
        <w:t>aumentar el riesgo de transmisión de enfermedades,</w:t>
      </w:r>
      <w:r>
        <w:rPr>
          <w:rFonts w:ascii="Arial" w:eastAsia="Arial" w:hAnsi="Arial" w:cs="Arial"/>
          <w:szCs w:val="22"/>
          <w:lang w:val="es-PY"/>
        </w:rPr>
        <w:t xml:space="preserve"> </w:t>
      </w:r>
      <w:r w:rsidRPr="00E15B1E">
        <w:rPr>
          <w:rFonts w:ascii="Arial" w:eastAsia="Arial" w:hAnsi="Arial" w:cs="Arial"/>
          <w:szCs w:val="22"/>
          <w:lang w:val="es-PY"/>
        </w:rPr>
        <w:t>incrementar el riesgo de respuestas inmunológicas no deseadas en el receptor</w:t>
      </w:r>
      <w:r>
        <w:rPr>
          <w:rFonts w:ascii="Arial" w:eastAsia="Arial" w:hAnsi="Arial" w:cs="Arial"/>
          <w:szCs w:val="22"/>
          <w:lang w:val="es-PY"/>
        </w:rPr>
        <w:t xml:space="preserve"> </w:t>
      </w:r>
      <w:r w:rsidRPr="00E15B1E">
        <w:rPr>
          <w:rFonts w:ascii="Arial" w:eastAsia="Arial" w:hAnsi="Arial" w:cs="Arial"/>
          <w:szCs w:val="22"/>
          <w:lang w:val="es-PY"/>
        </w:rPr>
        <w:t>y comprometer la actividad terapéutica del producto.</w:t>
      </w:r>
    </w:p>
    <w:p w:rsidR="009641F0" w:rsidRPr="00E15B1E" w:rsidRDefault="009641F0" w:rsidP="009641F0">
      <w:pPr>
        <w:spacing w:after="120"/>
        <w:jc w:val="both"/>
        <w:rPr>
          <w:rFonts w:ascii="Arial" w:eastAsia="Arial" w:hAnsi="Arial" w:cs="Arial"/>
          <w:szCs w:val="22"/>
          <w:lang w:val="es-PY"/>
        </w:rPr>
      </w:pPr>
      <w:r>
        <w:rPr>
          <w:rFonts w:ascii="Arial" w:eastAsia="Arial" w:hAnsi="Arial" w:cs="Arial"/>
          <w:szCs w:val="22"/>
          <w:lang w:val="es-PY"/>
        </w:rPr>
        <w:lastRenderedPageBreak/>
        <w:t>Estos</w:t>
      </w:r>
      <w:r w:rsidRPr="00E15B1E">
        <w:rPr>
          <w:rFonts w:ascii="Arial" w:eastAsia="Arial" w:hAnsi="Arial" w:cs="Arial"/>
          <w:szCs w:val="22"/>
          <w:lang w:val="es-PY"/>
        </w:rPr>
        <w:t xml:space="preserve"> aspectos deberán resumirse en el </w:t>
      </w:r>
      <w:r w:rsidR="007A5BF3">
        <w:rPr>
          <w:rFonts w:ascii="Arial" w:eastAsia="Arial" w:hAnsi="Arial" w:cs="Arial"/>
          <w:szCs w:val="22"/>
          <w:lang w:val="es-PY"/>
        </w:rPr>
        <w:t>expediente del producto en investigación</w:t>
      </w:r>
      <w:r w:rsidRPr="00E15B1E">
        <w:rPr>
          <w:rFonts w:ascii="Arial" w:eastAsia="Arial" w:hAnsi="Arial" w:cs="Arial"/>
          <w:szCs w:val="22"/>
          <w:lang w:val="es-PY"/>
        </w:rPr>
        <w:t xml:space="preserve"> y discutirse más ampliamente en las secciones preclínicas/clínicas. Dependiendo de la naturaleza de la fuente de las células y tejidos, deberán considerarse y abordarse otros factores de riesgo, por ejemplo, exposición previa a radiación.</w:t>
      </w:r>
    </w:p>
    <w:p w:rsidR="009641F0" w:rsidRPr="00E15B1E" w:rsidRDefault="009641F0" w:rsidP="009641F0">
      <w:pPr>
        <w:spacing w:after="120"/>
        <w:jc w:val="both"/>
        <w:rPr>
          <w:rFonts w:ascii="Arial" w:eastAsia="Arial" w:hAnsi="Arial" w:cs="Arial"/>
          <w:szCs w:val="22"/>
          <w:lang w:val="es-PY"/>
        </w:rPr>
      </w:pPr>
      <w:r w:rsidRPr="00E15B1E">
        <w:rPr>
          <w:rFonts w:ascii="Arial" w:eastAsia="Arial" w:hAnsi="Arial" w:cs="Arial"/>
          <w:szCs w:val="22"/>
          <w:lang w:val="es-PY"/>
        </w:rPr>
        <w:t>Para los materiales de partida celulares obtenidos mediante tecnologías específicas (</w:t>
      </w:r>
      <w:proofErr w:type="spellStart"/>
      <w:r w:rsidRPr="00E15B1E">
        <w:rPr>
          <w:rFonts w:ascii="Arial" w:eastAsia="Arial" w:hAnsi="Arial" w:cs="Arial"/>
          <w:szCs w:val="22"/>
          <w:lang w:val="es-PY"/>
        </w:rPr>
        <w:t>e.g</w:t>
      </w:r>
      <w:proofErr w:type="spellEnd"/>
      <w:r w:rsidRPr="00E15B1E">
        <w:rPr>
          <w:rFonts w:ascii="Arial" w:eastAsia="Arial" w:hAnsi="Arial" w:cs="Arial"/>
          <w:szCs w:val="22"/>
          <w:lang w:val="es-PY"/>
        </w:rPr>
        <w:t xml:space="preserve">. </w:t>
      </w:r>
      <w:proofErr w:type="spellStart"/>
      <w:r w:rsidRPr="00E15B1E">
        <w:rPr>
          <w:rFonts w:ascii="Arial" w:eastAsia="Arial" w:hAnsi="Arial" w:cs="Arial"/>
          <w:szCs w:val="22"/>
          <w:lang w:val="es-PY"/>
        </w:rPr>
        <w:t>iPS</w:t>
      </w:r>
      <w:proofErr w:type="spellEnd"/>
      <w:r w:rsidRPr="00E15B1E">
        <w:rPr>
          <w:rFonts w:ascii="Arial" w:eastAsia="Arial" w:hAnsi="Arial" w:cs="Arial"/>
          <w:szCs w:val="22"/>
          <w:lang w:val="es-PY"/>
        </w:rPr>
        <w:t xml:space="preserve"> </w:t>
      </w:r>
      <w:proofErr w:type="spellStart"/>
      <w:r w:rsidRPr="00E15B1E">
        <w:rPr>
          <w:rFonts w:ascii="Arial" w:eastAsia="Arial" w:hAnsi="Arial" w:cs="Arial"/>
          <w:szCs w:val="22"/>
          <w:lang w:val="es-PY"/>
        </w:rPr>
        <w:t>cells</w:t>
      </w:r>
      <w:proofErr w:type="spellEnd"/>
      <w:r w:rsidRPr="00E15B1E">
        <w:rPr>
          <w:rFonts w:ascii="Arial" w:eastAsia="Arial" w:hAnsi="Arial" w:cs="Arial"/>
          <w:szCs w:val="22"/>
          <w:lang w:val="es-PY"/>
        </w:rPr>
        <w:t xml:space="preserve"> – células madre pluripotentes inducidas), se deberá proporcionar información sobre el origen y tipo de células originales, así como sobre la técnica de procesamiento utilizada.</w:t>
      </w:r>
    </w:p>
    <w:p w:rsidR="009641F0" w:rsidRPr="00E15B1E" w:rsidRDefault="009641F0" w:rsidP="009641F0">
      <w:pPr>
        <w:spacing w:after="120"/>
        <w:jc w:val="both"/>
        <w:rPr>
          <w:rFonts w:ascii="Arial" w:eastAsia="Arial" w:hAnsi="Arial" w:cs="Arial"/>
          <w:szCs w:val="22"/>
          <w:lang w:val="es-PY"/>
        </w:rPr>
      </w:pPr>
      <w:r w:rsidRPr="00E15B1E">
        <w:rPr>
          <w:rFonts w:ascii="Arial" w:eastAsia="Arial" w:hAnsi="Arial" w:cs="Arial"/>
          <w:szCs w:val="22"/>
          <w:lang w:val="es-PY"/>
        </w:rPr>
        <w:t>Cuando las células se almacenen, deberá proporcionarse información sobre la vida útil</w:t>
      </w:r>
      <w:r>
        <w:rPr>
          <w:rFonts w:ascii="Arial" w:eastAsia="Arial" w:hAnsi="Arial" w:cs="Arial"/>
          <w:szCs w:val="22"/>
          <w:lang w:val="es-PY"/>
        </w:rPr>
        <w:t xml:space="preserve"> </w:t>
      </w:r>
      <w:r w:rsidRPr="00E15B1E">
        <w:rPr>
          <w:rFonts w:ascii="Arial" w:eastAsia="Arial" w:hAnsi="Arial" w:cs="Arial"/>
          <w:szCs w:val="22"/>
          <w:lang w:val="es-PY"/>
        </w:rPr>
        <w:t>y, en su caso, el método/material de preservación y los datos de estabilidad, a fin de garantizar el mantenimiento y recuperación de las células sin alteración de sus características previstas. Las condiciones de almacenamiento deberán optimizarse para asegurar la viabilidad, pureza, calidad microbiológica y funcionalidad de las células.</w:t>
      </w:r>
    </w:p>
    <w:p w:rsidR="009641F0" w:rsidRDefault="009641F0" w:rsidP="009641F0">
      <w:pPr>
        <w:spacing w:after="120"/>
        <w:jc w:val="both"/>
        <w:rPr>
          <w:rFonts w:ascii="Arial" w:eastAsia="Arial" w:hAnsi="Arial" w:cs="Arial"/>
          <w:szCs w:val="22"/>
          <w:lang w:val="es-PY"/>
        </w:rPr>
      </w:pPr>
      <w:r w:rsidRPr="00E15B1E">
        <w:rPr>
          <w:rFonts w:ascii="Arial" w:eastAsia="Arial" w:hAnsi="Arial" w:cs="Arial"/>
          <w:szCs w:val="22"/>
          <w:lang w:val="es-PY"/>
        </w:rPr>
        <w:t>Las sustancias adicionales</w:t>
      </w:r>
      <w:r>
        <w:rPr>
          <w:rFonts w:ascii="Arial" w:eastAsia="Arial" w:hAnsi="Arial" w:cs="Arial"/>
          <w:szCs w:val="22"/>
          <w:lang w:val="es-PY"/>
        </w:rPr>
        <w:t>,</w:t>
      </w:r>
      <w:r w:rsidRPr="00E15B1E">
        <w:rPr>
          <w:rFonts w:ascii="Arial" w:eastAsia="Arial" w:hAnsi="Arial" w:cs="Arial"/>
          <w:szCs w:val="22"/>
          <w:lang w:val="es-PY"/>
        </w:rPr>
        <w:t xml:space="preserve"> por ejemplo, </w:t>
      </w:r>
      <w:r w:rsidR="00B26BFB">
        <w:rPr>
          <w:rFonts w:ascii="Arial" w:eastAsia="Arial" w:hAnsi="Arial" w:cs="Arial"/>
          <w:szCs w:val="22"/>
          <w:lang w:val="es-PY"/>
        </w:rPr>
        <w:t>estructuras de soporte</w:t>
      </w:r>
      <w:r w:rsidRPr="00E15B1E">
        <w:rPr>
          <w:rFonts w:ascii="Arial" w:eastAsia="Arial" w:hAnsi="Arial" w:cs="Arial"/>
          <w:szCs w:val="22"/>
          <w:lang w:val="es-PY"/>
        </w:rPr>
        <w:t xml:space="preserve"> (</w:t>
      </w:r>
      <w:proofErr w:type="spellStart"/>
      <w:r w:rsidRPr="00E15B1E">
        <w:rPr>
          <w:rFonts w:ascii="Arial" w:eastAsia="Arial" w:hAnsi="Arial" w:cs="Arial"/>
          <w:szCs w:val="22"/>
          <w:lang w:val="es-PY"/>
        </w:rPr>
        <w:t>scaffolds</w:t>
      </w:r>
      <w:proofErr w:type="spellEnd"/>
      <w:r w:rsidRPr="00E15B1E">
        <w:rPr>
          <w:rFonts w:ascii="Arial" w:eastAsia="Arial" w:hAnsi="Arial" w:cs="Arial"/>
          <w:szCs w:val="22"/>
          <w:lang w:val="es-PY"/>
        </w:rPr>
        <w:t>), matrices, dispositivos, biomateriales, biomoléculas u otros componentes</w:t>
      </w:r>
      <w:r>
        <w:rPr>
          <w:rFonts w:ascii="Arial" w:eastAsia="Arial" w:hAnsi="Arial" w:cs="Arial"/>
          <w:szCs w:val="22"/>
          <w:lang w:val="es-PY"/>
        </w:rPr>
        <w:t>,</w:t>
      </w:r>
      <w:r w:rsidRPr="00E15B1E">
        <w:rPr>
          <w:rFonts w:ascii="Arial" w:eastAsia="Arial" w:hAnsi="Arial" w:cs="Arial"/>
          <w:szCs w:val="22"/>
          <w:lang w:val="es-PY"/>
        </w:rPr>
        <w:t xml:space="preserve"> cuando se combinen como parte integral con las células, forman parte de la sustancia activa y, por tanto, se consideran materiales de partida, incluso si no son de origen biológico. Se deberá proporcionar información sobre los aspectos relevantes de fabricación, control y seguridad viral de estas sustancias adicionales.</w:t>
      </w:r>
    </w:p>
    <w:p w:rsidR="009641F0" w:rsidRPr="004F1629" w:rsidRDefault="009641F0" w:rsidP="009641F0">
      <w:pPr>
        <w:spacing w:after="120"/>
        <w:jc w:val="both"/>
        <w:rPr>
          <w:rFonts w:ascii="Arial" w:eastAsia="Arial" w:hAnsi="Arial" w:cs="Arial"/>
          <w:b/>
          <w:i/>
          <w:szCs w:val="22"/>
          <w:lang w:val="es-PY"/>
        </w:rPr>
      </w:pPr>
      <w:r w:rsidRPr="004F1629">
        <w:rPr>
          <w:rFonts w:ascii="Arial" w:eastAsia="Arial" w:hAnsi="Arial" w:cs="Arial"/>
          <w:b/>
          <w:i/>
          <w:szCs w:val="22"/>
          <w:lang w:val="es-PY"/>
        </w:rPr>
        <w:t xml:space="preserve">A. Células de origen primario </w:t>
      </w:r>
    </w:p>
    <w:p w:rsidR="009641F0" w:rsidRPr="00012FA2" w:rsidRDefault="009641F0" w:rsidP="009641F0">
      <w:pPr>
        <w:spacing w:after="120"/>
        <w:jc w:val="both"/>
        <w:rPr>
          <w:rFonts w:ascii="Arial" w:eastAsia="Arial" w:hAnsi="Arial" w:cs="Arial"/>
          <w:szCs w:val="22"/>
          <w:lang w:val="es-PY"/>
        </w:rPr>
      </w:pPr>
      <w:r w:rsidRPr="00012FA2">
        <w:rPr>
          <w:rFonts w:ascii="Arial" w:eastAsia="Arial" w:hAnsi="Arial" w:cs="Arial"/>
          <w:szCs w:val="22"/>
          <w:lang w:val="es-PY"/>
        </w:rPr>
        <w:t>La calidad microbiológica de las células obtenidas deberá evaluarse mediante métodos compendia</w:t>
      </w:r>
      <w:r>
        <w:rPr>
          <w:rFonts w:ascii="Arial" w:eastAsia="Arial" w:hAnsi="Arial" w:cs="Arial"/>
          <w:szCs w:val="22"/>
          <w:lang w:val="es-PY"/>
        </w:rPr>
        <w:t>dos</w:t>
      </w:r>
      <w:r w:rsidRPr="00012FA2">
        <w:rPr>
          <w:rFonts w:ascii="Arial" w:eastAsia="Arial" w:hAnsi="Arial" w:cs="Arial"/>
          <w:szCs w:val="22"/>
          <w:lang w:val="es-PY"/>
        </w:rPr>
        <w:t>/validados. Los componentes del medio que puedan interferir en los ensayos (por ejemplo, antibióticos) deberán tenerse en cuenta para garantizar la sensibilidad de las pruebas. Cuando las células provengan de tejidos no sanos, deberán definirse criterios de aceptación adicionales y específicos, de acuerdo con el uso previsto.</w:t>
      </w:r>
    </w:p>
    <w:p w:rsidR="009641F0" w:rsidRPr="00012FA2" w:rsidRDefault="009641F0" w:rsidP="009641F0">
      <w:pPr>
        <w:spacing w:after="120"/>
        <w:jc w:val="both"/>
        <w:rPr>
          <w:rFonts w:ascii="Arial" w:eastAsia="Arial" w:hAnsi="Arial" w:cs="Arial"/>
          <w:szCs w:val="22"/>
          <w:lang w:val="es-PY"/>
        </w:rPr>
      </w:pPr>
      <w:r w:rsidRPr="00012FA2">
        <w:rPr>
          <w:rFonts w:ascii="Arial" w:eastAsia="Arial" w:hAnsi="Arial" w:cs="Arial"/>
          <w:szCs w:val="22"/>
          <w:lang w:val="es-PY"/>
        </w:rPr>
        <w:t>Los parámetros de calidad destinados a la definición de criterios de aceptación para el material de partida deberán especificarse, considerando aspectos generales como las condiciones de envío y almacenamiento. El origen y la obtención del material de partida para aislar células se consideran críticos para el rendimiento y la identidad/pureza de la población celular final, y deberá establecerse una adecuada estandarización de las condiciones de aislamiento para controlar las poblaciones celulares, su heterogeneidad y el rendimiento.</w:t>
      </w:r>
    </w:p>
    <w:p w:rsidR="009641F0" w:rsidRDefault="009641F0" w:rsidP="009641F0">
      <w:pPr>
        <w:spacing w:after="120"/>
        <w:jc w:val="both"/>
        <w:rPr>
          <w:rFonts w:ascii="Arial" w:eastAsia="Arial" w:hAnsi="Arial" w:cs="Arial"/>
          <w:szCs w:val="22"/>
          <w:lang w:val="es-PY"/>
        </w:rPr>
      </w:pPr>
      <w:r w:rsidRPr="00012FA2">
        <w:rPr>
          <w:rFonts w:ascii="Arial" w:eastAsia="Arial" w:hAnsi="Arial" w:cs="Arial"/>
          <w:szCs w:val="22"/>
          <w:lang w:val="es-PY"/>
        </w:rPr>
        <w:t>El uso de antimicrobianos deberá mantenerse al mínimo, y el uso de reactivos con potencial de sensibilización</w:t>
      </w:r>
      <w:r>
        <w:rPr>
          <w:rFonts w:ascii="Arial" w:eastAsia="Arial" w:hAnsi="Arial" w:cs="Arial"/>
          <w:szCs w:val="22"/>
          <w:lang w:val="es-PY"/>
        </w:rPr>
        <w:t>;</w:t>
      </w:r>
      <w:r w:rsidRPr="00012FA2">
        <w:rPr>
          <w:rFonts w:ascii="Arial" w:eastAsia="Arial" w:hAnsi="Arial" w:cs="Arial"/>
          <w:szCs w:val="22"/>
          <w:lang w:val="es-PY"/>
        </w:rPr>
        <w:t xml:space="preserve"> por ejemplo, antibióticos β-</w:t>
      </w:r>
      <w:proofErr w:type="spellStart"/>
      <w:r w:rsidRPr="00012FA2">
        <w:rPr>
          <w:rFonts w:ascii="Arial" w:eastAsia="Arial" w:hAnsi="Arial" w:cs="Arial"/>
          <w:szCs w:val="22"/>
          <w:lang w:val="es-PY"/>
        </w:rPr>
        <w:t>lactámicos</w:t>
      </w:r>
      <w:proofErr w:type="spellEnd"/>
      <w:r>
        <w:rPr>
          <w:rFonts w:ascii="Arial" w:eastAsia="Arial" w:hAnsi="Arial" w:cs="Arial"/>
          <w:szCs w:val="22"/>
          <w:lang w:val="es-PY"/>
        </w:rPr>
        <w:t>,</w:t>
      </w:r>
      <w:r w:rsidRPr="00012FA2">
        <w:rPr>
          <w:rFonts w:ascii="Arial" w:eastAsia="Arial" w:hAnsi="Arial" w:cs="Arial"/>
          <w:szCs w:val="22"/>
          <w:lang w:val="es-PY"/>
        </w:rPr>
        <w:t xml:space="preserve"> deberá </w:t>
      </w:r>
      <w:r w:rsidRPr="00012FA2">
        <w:rPr>
          <w:rFonts w:ascii="Arial" w:eastAsia="Arial" w:hAnsi="Arial" w:cs="Arial"/>
          <w:szCs w:val="22"/>
          <w:lang w:val="es-PY"/>
        </w:rPr>
        <w:lastRenderedPageBreak/>
        <w:t>evitarse. El requisito de fabricación aséptica se mantiene en los casos en que el uso de antimicrobianos sea necesario. Cuando se empleen antimicrobianos, deberán eliminarse lo antes posible, salvo que estén destinados a contribuir al mecanismo de acción. Es importante garantizar que las pruebas de seguridad microbiológica no se vean afectadas por su presencia.</w:t>
      </w:r>
    </w:p>
    <w:p w:rsidR="009641F0" w:rsidRPr="004F1629" w:rsidRDefault="009641F0" w:rsidP="009641F0">
      <w:pPr>
        <w:spacing w:after="120"/>
        <w:jc w:val="both"/>
        <w:rPr>
          <w:rFonts w:ascii="Arial" w:eastAsia="Arial" w:hAnsi="Arial" w:cs="Arial"/>
          <w:b/>
          <w:i/>
          <w:szCs w:val="22"/>
          <w:lang w:val="es-PY"/>
        </w:rPr>
      </w:pPr>
      <w:r w:rsidRPr="004F1629">
        <w:rPr>
          <w:rFonts w:ascii="Arial" w:eastAsia="Arial" w:hAnsi="Arial" w:cs="Arial"/>
          <w:b/>
          <w:i/>
          <w:szCs w:val="22"/>
          <w:lang w:val="es-PY"/>
        </w:rPr>
        <w:t xml:space="preserve">B. Stocks celulares </w:t>
      </w:r>
    </w:p>
    <w:p w:rsidR="009641F0" w:rsidRPr="00CC5418" w:rsidRDefault="009641F0" w:rsidP="009641F0">
      <w:pPr>
        <w:spacing w:after="120"/>
        <w:jc w:val="both"/>
        <w:rPr>
          <w:rFonts w:ascii="Arial" w:eastAsia="Arial" w:hAnsi="Arial" w:cs="Arial"/>
          <w:szCs w:val="22"/>
          <w:lang w:val="es-PY"/>
        </w:rPr>
      </w:pPr>
      <w:r w:rsidRPr="00CC5418">
        <w:rPr>
          <w:rFonts w:ascii="Arial" w:eastAsia="Arial" w:hAnsi="Arial" w:cs="Arial"/>
          <w:szCs w:val="22"/>
          <w:lang w:val="es-PY"/>
        </w:rPr>
        <w:t>Las células primarias pueden organizarse como stocks celulares mediante su expansión hasta alcanzar un número determinado de células y su almacenamiento en alícuotas, que posteriormente se utilizan para la producción de un medicamento de terapia avanzada basado en células.</w:t>
      </w:r>
    </w:p>
    <w:p w:rsidR="009641F0" w:rsidRPr="00CC5418" w:rsidRDefault="009641F0" w:rsidP="009641F0">
      <w:pPr>
        <w:spacing w:after="120"/>
        <w:jc w:val="both"/>
        <w:rPr>
          <w:rFonts w:ascii="Arial" w:eastAsia="Arial" w:hAnsi="Arial" w:cs="Arial"/>
          <w:szCs w:val="22"/>
          <w:lang w:val="es-PY"/>
        </w:rPr>
      </w:pPr>
      <w:r w:rsidRPr="00CC5418">
        <w:rPr>
          <w:rFonts w:ascii="Arial" w:eastAsia="Arial" w:hAnsi="Arial" w:cs="Arial"/>
          <w:szCs w:val="22"/>
          <w:lang w:val="es-PY"/>
        </w:rPr>
        <w:t>A diferencia del sistema de dos niveles de Banco Maestro de Células (MCB) y Banco de Trabajo de Células (WCB), el número de lotes de producción derivados de un stock celular está limitado por el número de alícuotas obtenidas tras la expansión y no cubre todo el ciclo de vida del producto.</w:t>
      </w:r>
    </w:p>
    <w:p w:rsidR="009641F0" w:rsidRPr="00CC5418" w:rsidRDefault="009641F0" w:rsidP="009641F0">
      <w:pPr>
        <w:spacing w:after="120"/>
        <w:jc w:val="both"/>
        <w:rPr>
          <w:rFonts w:ascii="Arial" w:eastAsia="Arial" w:hAnsi="Arial" w:cs="Arial"/>
          <w:szCs w:val="22"/>
          <w:lang w:val="es-PY"/>
        </w:rPr>
      </w:pPr>
      <w:r w:rsidRPr="00CC5418">
        <w:rPr>
          <w:rFonts w:ascii="Arial" w:eastAsia="Arial" w:hAnsi="Arial" w:cs="Arial"/>
          <w:szCs w:val="22"/>
          <w:lang w:val="es-PY"/>
        </w:rPr>
        <w:t>Los stocks celulares primarios deberán estar debidamente caracterizados, y el mismo programa de caracterización y criterios de aceptación deberá aplicarse a cada nuevo stock celular. La estrategia para cambios en los stocks celulares (por ejemplo, reemplazos frecuentes de donantes) deberá abordarse en la autorización de ensayo clínico y cumplirse conforme a las condiciones allí establecidas.</w:t>
      </w:r>
    </w:p>
    <w:p w:rsidR="009641F0" w:rsidRPr="00CC5418" w:rsidRDefault="009641F0" w:rsidP="009641F0">
      <w:pPr>
        <w:spacing w:after="120"/>
        <w:jc w:val="both"/>
        <w:rPr>
          <w:rFonts w:ascii="Arial" w:eastAsia="Arial" w:hAnsi="Arial" w:cs="Arial"/>
          <w:szCs w:val="22"/>
          <w:lang w:val="es-PY"/>
        </w:rPr>
      </w:pPr>
      <w:r w:rsidRPr="00CC5418">
        <w:rPr>
          <w:rFonts w:ascii="Arial" w:eastAsia="Arial" w:hAnsi="Arial" w:cs="Arial"/>
          <w:szCs w:val="22"/>
          <w:lang w:val="es-PY"/>
        </w:rPr>
        <w:t>Cuando se utilicen stocks celulares, la manipulación, almacenamiento, fabricación y ensayo de las células deberán realizarse de acuerdo con los principios establecidos para los bancos celulares.</w:t>
      </w:r>
    </w:p>
    <w:p w:rsidR="009641F0" w:rsidRDefault="009641F0" w:rsidP="009641F0">
      <w:pPr>
        <w:spacing w:after="120"/>
        <w:jc w:val="both"/>
        <w:rPr>
          <w:rFonts w:ascii="Arial" w:eastAsia="Arial" w:hAnsi="Arial" w:cs="Arial"/>
          <w:szCs w:val="22"/>
          <w:lang w:val="es-PY"/>
        </w:rPr>
      </w:pPr>
      <w:r w:rsidRPr="00CC5418">
        <w:rPr>
          <w:rFonts w:ascii="Arial" w:eastAsia="Arial" w:hAnsi="Arial" w:cs="Arial"/>
          <w:szCs w:val="22"/>
          <w:lang w:val="es-PY"/>
        </w:rPr>
        <w:t xml:space="preserve">La estrategia para establecer, controlar, introducir y modificar un stock celular (incluida la introducción de células de nuevos donantes) deberá abordarse en el </w:t>
      </w:r>
      <w:r w:rsidR="009F71CA">
        <w:rPr>
          <w:rFonts w:ascii="Arial" w:eastAsia="Arial" w:hAnsi="Arial" w:cs="Arial"/>
          <w:szCs w:val="22"/>
          <w:lang w:val="es-PY"/>
        </w:rPr>
        <w:t>expediente del producto en investigación</w:t>
      </w:r>
      <w:r w:rsidRPr="00CC5418">
        <w:rPr>
          <w:rFonts w:ascii="Arial" w:eastAsia="Arial" w:hAnsi="Arial" w:cs="Arial"/>
          <w:szCs w:val="22"/>
          <w:lang w:val="es-PY"/>
        </w:rPr>
        <w:t>.</w:t>
      </w:r>
    </w:p>
    <w:p w:rsidR="009641F0" w:rsidRPr="004F1629" w:rsidRDefault="009641F0" w:rsidP="009641F0">
      <w:pPr>
        <w:spacing w:after="120"/>
        <w:jc w:val="both"/>
        <w:rPr>
          <w:rFonts w:ascii="Arial" w:eastAsia="Arial" w:hAnsi="Arial" w:cs="Arial"/>
          <w:b/>
          <w:i/>
          <w:szCs w:val="22"/>
          <w:lang w:val="es-PY"/>
        </w:rPr>
      </w:pPr>
      <w:r w:rsidRPr="004F1629">
        <w:rPr>
          <w:rFonts w:ascii="Arial" w:eastAsia="Arial" w:hAnsi="Arial" w:cs="Arial"/>
          <w:b/>
          <w:i/>
          <w:szCs w:val="22"/>
          <w:lang w:val="es-PY"/>
        </w:rPr>
        <w:t xml:space="preserve">C. Sistema de bancos para líneas celulares establecidas  </w:t>
      </w:r>
    </w:p>
    <w:p w:rsidR="009641F0" w:rsidRPr="00CA7613" w:rsidRDefault="009641F0" w:rsidP="009641F0">
      <w:pPr>
        <w:spacing w:after="120"/>
        <w:jc w:val="both"/>
        <w:rPr>
          <w:rFonts w:ascii="Arial" w:eastAsia="Arial" w:hAnsi="Arial" w:cs="Arial"/>
          <w:szCs w:val="22"/>
          <w:lang w:val="es-PY"/>
        </w:rPr>
      </w:pPr>
      <w:r w:rsidRPr="00CA7613">
        <w:rPr>
          <w:rFonts w:ascii="Arial" w:eastAsia="Arial" w:hAnsi="Arial" w:cs="Arial"/>
          <w:szCs w:val="22"/>
          <w:lang w:val="es-PY"/>
        </w:rPr>
        <w:t xml:space="preserve">Cuando se utilicen líneas celulares como materiales de partida, deberá establecerse, siempre que sea posible, un Banco Maestro de Células (MCB) y un Banco de Trabajo de Células (WCB) debidamente caracterizados. Se deberá proporcionar información sobre el proceso de creación de bancos celulares, así como sobre la caracterización y los ensayos realizados en los bancos establecidos, junto con la información disponible sobre la estabilidad del sustrato celular. La </w:t>
      </w:r>
      <w:r w:rsidRPr="009F71CA">
        <w:rPr>
          <w:rFonts w:ascii="Arial" w:eastAsia="Arial" w:hAnsi="Arial" w:cs="Arial"/>
          <w:szCs w:val="22"/>
          <w:lang w:val="es-PY"/>
        </w:rPr>
        <w:t xml:space="preserve">generación y caracterización de los bancos celulares deberá realizarse de acuerdo con los principios </w:t>
      </w:r>
      <w:r w:rsidR="009F71CA" w:rsidRPr="009F71CA">
        <w:rPr>
          <w:rFonts w:ascii="Arial" w:eastAsia="Arial" w:hAnsi="Arial" w:cs="Arial"/>
          <w:szCs w:val="22"/>
          <w:lang w:val="es-PY"/>
        </w:rPr>
        <w:t>guías internacionales</w:t>
      </w:r>
      <w:r w:rsidR="009F71CA">
        <w:rPr>
          <w:rFonts w:ascii="Arial" w:eastAsia="Arial" w:hAnsi="Arial" w:cs="Arial"/>
          <w:szCs w:val="22"/>
          <w:lang w:val="es-PY"/>
        </w:rPr>
        <w:t xml:space="preserve"> (ICH, OMS, entre otras)</w:t>
      </w:r>
      <w:r w:rsidRPr="00CA7613">
        <w:rPr>
          <w:rFonts w:ascii="Arial" w:eastAsia="Arial" w:hAnsi="Arial" w:cs="Arial"/>
          <w:szCs w:val="22"/>
          <w:lang w:val="es-PY"/>
        </w:rPr>
        <w:t xml:space="preserve"> y Farmacopea</w:t>
      </w:r>
      <w:r w:rsidR="009F71CA">
        <w:rPr>
          <w:rFonts w:ascii="Arial" w:eastAsia="Arial" w:hAnsi="Arial" w:cs="Arial"/>
          <w:szCs w:val="22"/>
          <w:lang w:val="es-PY"/>
        </w:rPr>
        <w:t>s</w:t>
      </w:r>
      <w:r w:rsidRPr="00CA7613">
        <w:rPr>
          <w:rFonts w:ascii="Arial" w:eastAsia="Arial" w:hAnsi="Arial" w:cs="Arial"/>
          <w:szCs w:val="22"/>
          <w:lang w:val="es-PY"/>
        </w:rPr>
        <w:t xml:space="preserve"> </w:t>
      </w:r>
      <w:r w:rsidR="009F71CA">
        <w:rPr>
          <w:rFonts w:ascii="Arial" w:eastAsia="Arial" w:hAnsi="Arial" w:cs="Arial"/>
          <w:szCs w:val="22"/>
          <w:lang w:val="es-PY"/>
        </w:rPr>
        <w:t>internacionalmente reconocidas</w:t>
      </w:r>
      <w:r w:rsidRPr="00CA7613">
        <w:rPr>
          <w:rFonts w:ascii="Arial" w:eastAsia="Arial" w:hAnsi="Arial" w:cs="Arial"/>
          <w:szCs w:val="22"/>
          <w:lang w:val="es-PY"/>
        </w:rPr>
        <w:t xml:space="preserve">. Mientras que un MCB debe </w:t>
      </w:r>
      <w:r w:rsidRPr="00CA7613">
        <w:rPr>
          <w:rFonts w:ascii="Arial" w:eastAsia="Arial" w:hAnsi="Arial" w:cs="Arial"/>
          <w:szCs w:val="22"/>
          <w:lang w:val="es-PY"/>
        </w:rPr>
        <w:lastRenderedPageBreak/>
        <w:t>establecerse antes del inicio de los ensayos exploratorios, el WCB puede no estar siempre disponible en las primeras fases.</w:t>
      </w:r>
    </w:p>
    <w:p w:rsidR="009641F0" w:rsidRPr="00CA7613" w:rsidRDefault="009641F0" w:rsidP="009641F0">
      <w:pPr>
        <w:spacing w:after="120"/>
        <w:jc w:val="both"/>
        <w:rPr>
          <w:rFonts w:ascii="Arial" w:eastAsia="Arial" w:hAnsi="Arial" w:cs="Arial"/>
          <w:szCs w:val="22"/>
          <w:lang w:val="es-PY"/>
        </w:rPr>
      </w:pPr>
      <w:r>
        <w:rPr>
          <w:rFonts w:ascii="Arial" w:eastAsia="Arial" w:hAnsi="Arial" w:cs="Arial"/>
          <w:szCs w:val="22"/>
          <w:lang w:val="es-PY"/>
        </w:rPr>
        <w:t>El historial</w:t>
      </w:r>
      <w:r w:rsidRPr="00CA7613">
        <w:rPr>
          <w:rFonts w:ascii="Arial" w:eastAsia="Arial" w:hAnsi="Arial" w:cs="Arial"/>
          <w:szCs w:val="22"/>
          <w:lang w:val="es-PY"/>
        </w:rPr>
        <w:t xml:space="preserve"> de la derivación de la línea celular y del proceso </w:t>
      </w:r>
      <w:r>
        <w:rPr>
          <w:rFonts w:ascii="Arial" w:eastAsia="Arial" w:hAnsi="Arial" w:cs="Arial"/>
          <w:szCs w:val="22"/>
          <w:lang w:val="es-PY"/>
        </w:rPr>
        <w:t>para el</w:t>
      </w:r>
      <w:r w:rsidRPr="00CA7613">
        <w:rPr>
          <w:rFonts w:ascii="Arial" w:eastAsia="Arial" w:hAnsi="Arial" w:cs="Arial"/>
          <w:szCs w:val="22"/>
          <w:lang w:val="es-PY"/>
        </w:rPr>
        <w:t xml:space="preserve"> </w:t>
      </w:r>
      <w:r>
        <w:rPr>
          <w:rFonts w:ascii="Arial" w:eastAsia="Arial" w:hAnsi="Arial" w:cs="Arial"/>
          <w:szCs w:val="22"/>
          <w:lang w:val="es-PY"/>
        </w:rPr>
        <w:t>almacenaje en bancos</w:t>
      </w:r>
      <w:r w:rsidRPr="00CA7613">
        <w:rPr>
          <w:rFonts w:ascii="Arial" w:eastAsia="Arial" w:hAnsi="Arial" w:cs="Arial"/>
          <w:szCs w:val="22"/>
          <w:lang w:val="es-PY"/>
        </w:rPr>
        <w:t>, incluyendo las materias primas utilizadas durante la producción, debe documentarse cuidadosamente. Esto resulta particularmente importante en el caso de las células madre embrionarias humanas (</w:t>
      </w:r>
      <w:proofErr w:type="spellStart"/>
      <w:r w:rsidRPr="00CA7613">
        <w:rPr>
          <w:rFonts w:ascii="Arial" w:eastAsia="Arial" w:hAnsi="Arial" w:cs="Arial"/>
          <w:szCs w:val="22"/>
          <w:lang w:val="es-PY"/>
        </w:rPr>
        <w:t>ESCs</w:t>
      </w:r>
      <w:proofErr w:type="spellEnd"/>
      <w:r w:rsidRPr="00CA7613">
        <w:rPr>
          <w:rFonts w:ascii="Arial" w:eastAsia="Arial" w:hAnsi="Arial" w:cs="Arial"/>
          <w:szCs w:val="22"/>
          <w:lang w:val="es-PY"/>
        </w:rPr>
        <w:t>). Cuando no se disponga de resultados de pruebas de los donantes, se espera que se realicen ensayos de seguridad viral de dichas líneas celulares conforme a una evaluación de riesgos integral.</w:t>
      </w:r>
    </w:p>
    <w:p w:rsidR="009641F0" w:rsidRPr="00CA7613" w:rsidRDefault="009641F0" w:rsidP="009641F0">
      <w:pPr>
        <w:spacing w:after="120"/>
        <w:jc w:val="both"/>
        <w:rPr>
          <w:rFonts w:ascii="Arial" w:eastAsia="Arial" w:hAnsi="Arial" w:cs="Arial"/>
          <w:szCs w:val="22"/>
          <w:lang w:val="es-PY"/>
        </w:rPr>
      </w:pPr>
      <w:r w:rsidRPr="00CA7613">
        <w:rPr>
          <w:rFonts w:ascii="Arial" w:eastAsia="Arial" w:hAnsi="Arial" w:cs="Arial"/>
          <w:szCs w:val="22"/>
          <w:lang w:val="es-PY"/>
        </w:rPr>
        <w:t>Para los medicamentos de terapia avanzada en investigación basados en células madre pluripotentes inducidas (</w:t>
      </w:r>
      <w:proofErr w:type="spellStart"/>
      <w:r w:rsidRPr="00CA7613">
        <w:rPr>
          <w:rFonts w:ascii="Arial" w:eastAsia="Arial" w:hAnsi="Arial" w:cs="Arial"/>
          <w:szCs w:val="22"/>
          <w:lang w:val="es-PY"/>
        </w:rPr>
        <w:t>iPS</w:t>
      </w:r>
      <w:proofErr w:type="spellEnd"/>
      <w:r w:rsidRPr="00CA7613">
        <w:rPr>
          <w:rFonts w:ascii="Arial" w:eastAsia="Arial" w:hAnsi="Arial" w:cs="Arial"/>
          <w:szCs w:val="22"/>
          <w:lang w:val="es-PY"/>
        </w:rPr>
        <w:t xml:space="preserve"> </w:t>
      </w:r>
      <w:proofErr w:type="spellStart"/>
      <w:r w:rsidRPr="00CA7613">
        <w:rPr>
          <w:rFonts w:ascii="Arial" w:eastAsia="Arial" w:hAnsi="Arial" w:cs="Arial"/>
          <w:szCs w:val="22"/>
          <w:lang w:val="es-PY"/>
        </w:rPr>
        <w:t>cells</w:t>
      </w:r>
      <w:proofErr w:type="spellEnd"/>
      <w:r w:rsidRPr="00CA7613">
        <w:rPr>
          <w:rFonts w:ascii="Arial" w:eastAsia="Arial" w:hAnsi="Arial" w:cs="Arial"/>
          <w:szCs w:val="22"/>
          <w:lang w:val="es-PY"/>
        </w:rPr>
        <w:t xml:space="preserve">), deberán aplicarse los principios de </w:t>
      </w:r>
      <w:r w:rsidRPr="00BF5001">
        <w:rPr>
          <w:rFonts w:ascii="Arial" w:eastAsia="Arial" w:hAnsi="Arial" w:cs="Arial"/>
          <w:szCs w:val="22"/>
          <w:lang w:val="es-PY"/>
        </w:rPr>
        <w:t xml:space="preserve">Buenas Prácticas de Fabricación específicas para </w:t>
      </w:r>
      <w:proofErr w:type="spellStart"/>
      <w:r w:rsidRPr="00BF5001">
        <w:rPr>
          <w:rFonts w:ascii="Arial" w:eastAsia="Arial" w:hAnsi="Arial" w:cs="Arial"/>
          <w:szCs w:val="22"/>
          <w:lang w:val="es-PY"/>
        </w:rPr>
        <w:t>ATMPs</w:t>
      </w:r>
      <w:proofErr w:type="spellEnd"/>
      <w:r>
        <w:rPr>
          <w:rFonts w:ascii="Arial" w:eastAsia="Arial" w:hAnsi="Arial" w:cs="Arial"/>
          <w:szCs w:val="22"/>
          <w:lang w:val="es-PY"/>
        </w:rPr>
        <w:t xml:space="preserve"> </w:t>
      </w:r>
      <w:r w:rsidRPr="00CA7613">
        <w:rPr>
          <w:rFonts w:ascii="Arial" w:eastAsia="Arial" w:hAnsi="Arial" w:cs="Arial"/>
          <w:szCs w:val="22"/>
          <w:lang w:val="es-PY"/>
        </w:rPr>
        <w:t xml:space="preserve">y las recomendaciones científicas </w:t>
      </w:r>
      <w:r>
        <w:rPr>
          <w:rFonts w:ascii="Arial" w:eastAsia="Arial" w:hAnsi="Arial" w:cs="Arial"/>
          <w:szCs w:val="22"/>
          <w:lang w:val="es-PY"/>
        </w:rPr>
        <w:t>de la presente</w:t>
      </w:r>
      <w:r w:rsidRPr="00CA7613">
        <w:rPr>
          <w:rFonts w:ascii="Arial" w:eastAsia="Arial" w:hAnsi="Arial" w:cs="Arial"/>
          <w:szCs w:val="22"/>
          <w:lang w:val="es-PY"/>
        </w:rPr>
        <w:t xml:space="preserve"> guía tras la obtención de las células, incluyendo la generación de </w:t>
      </w:r>
      <w:proofErr w:type="spellStart"/>
      <w:r w:rsidRPr="00CA7613">
        <w:rPr>
          <w:rFonts w:ascii="Arial" w:eastAsia="Arial" w:hAnsi="Arial" w:cs="Arial"/>
          <w:szCs w:val="22"/>
          <w:lang w:val="es-PY"/>
        </w:rPr>
        <w:t>iPS</w:t>
      </w:r>
      <w:proofErr w:type="spellEnd"/>
      <w:r w:rsidRPr="00CA7613">
        <w:rPr>
          <w:rFonts w:ascii="Arial" w:eastAsia="Arial" w:hAnsi="Arial" w:cs="Arial"/>
          <w:szCs w:val="22"/>
          <w:lang w:val="es-PY"/>
        </w:rPr>
        <w:t xml:space="preserve"> </w:t>
      </w:r>
      <w:proofErr w:type="spellStart"/>
      <w:r w:rsidRPr="00CA7613">
        <w:rPr>
          <w:rFonts w:ascii="Arial" w:eastAsia="Arial" w:hAnsi="Arial" w:cs="Arial"/>
          <w:szCs w:val="22"/>
          <w:lang w:val="es-PY"/>
        </w:rPr>
        <w:t>cells</w:t>
      </w:r>
      <w:proofErr w:type="spellEnd"/>
      <w:r w:rsidRPr="00CA7613">
        <w:rPr>
          <w:rFonts w:ascii="Arial" w:eastAsia="Arial" w:hAnsi="Arial" w:cs="Arial"/>
          <w:szCs w:val="22"/>
          <w:lang w:val="es-PY"/>
        </w:rPr>
        <w:t xml:space="preserve"> y el proceso de selección subsiguiente. Se reconoce que, en las primeras etapas de la generación de </w:t>
      </w:r>
      <w:proofErr w:type="spellStart"/>
      <w:r w:rsidRPr="00CA7613">
        <w:rPr>
          <w:rFonts w:ascii="Arial" w:eastAsia="Arial" w:hAnsi="Arial" w:cs="Arial"/>
          <w:szCs w:val="22"/>
          <w:lang w:val="es-PY"/>
        </w:rPr>
        <w:t>iPS</w:t>
      </w:r>
      <w:proofErr w:type="spellEnd"/>
      <w:r w:rsidRPr="00CA7613">
        <w:rPr>
          <w:rFonts w:ascii="Arial" w:eastAsia="Arial" w:hAnsi="Arial" w:cs="Arial"/>
          <w:szCs w:val="22"/>
          <w:lang w:val="es-PY"/>
        </w:rPr>
        <w:t xml:space="preserve"> </w:t>
      </w:r>
      <w:proofErr w:type="spellStart"/>
      <w:r w:rsidRPr="00CA7613">
        <w:rPr>
          <w:rFonts w:ascii="Arial" w:eastAsia="Arial" w:hAnsi="Arial" w:cs="Arial"/>
          <w:szCs w:val="22"/>
          <w:lang w:val="es-PY"/>
        </w:rPr>
        <w:t>cells</w:t>
      </w:r>
      <w:proofErr w:type="spellEnd"/>
      <w:r w:rsidRPr="00CA7613">
        <w:rPr>
          <w:rFonts w:ascii="Arial" w:eastAsia="Arial" w:hAnsi="Arial" w:cs="Arial"/>
          <w:szCs w:val="22"/>
          <w:lang w:val="es-PY"/>
        </w:rPr>
        <w:t>, el material celular puede ser limitado y la disponibilidad de muestras puede afectar al alcance de los ensayos y a la cualificación del proceso.</w:t>
      </w:r>
    </w:p>
    <w:p w:rsidR="009641F0" w:rsidRPr="00CA7613" w:rsidRDefault="009641F0" w:rsidP="009641F0">
      <w:pPr>
        <w:spacing w:after="120"/>
        <w:jc w:val="both"/>
        <w:rPr>
          <w:rFonts w:ascii="Arial" w:eastAsia="Arial" w:hAnsi="Arial" w:cs="Arial"/>
          <w:szCs w:val="22"/>
          <w:lang w:val="es-PY"/>
        </w:rPr>
      </w:pPr>
      <w:r w:rsidRPr="00CA7613">
        <w:rPr>
          <w:rFonts w:ascii="Arial" w:eastAsia="Arial" w:hAnsi="Arial" w:cs="Arial"/>
          <w:szCs w:val="22"/>
          <w:lang w:val="es-PY"/>
        </w:rPr>
        <w:t xml:space="preserve">Asimismo, en casos excepcionales, cuando los primeros pasos para la generación de bancos de ESC o </w:t>
      </w:r>
      <w:proofErr w:type="spellStart"/>
      <w:r w:rsidRPr="00CA7613">
        <w:rPr>
          <w:rFonts w:ascii="Arial" w:eastAsia="Arial" w:hAnsi="Arial" w:cs="Arial"/>
          <w:szCs w:val="22"/>
          <w:lang w:val="es-PY"/>
        </w:rPr>
        <w:t>iPSC</w:t>
      </w:r>
      <w:proofErr w:type="spellEnd"/>
      <w:r w:rsidRPr="00CA7613">
        <w:rPr>
          <w:rFonts w:ascii="Arial" w:eastAsia="Arial" w:hAnsi="Arial" w:cs="Arial"/>
          <w:szCs w:val="22"/>
          <w:lang w:val="es-PY"/>
        </w:rPr>
        <w:t xml:space="preserve"> se hayan llevado a cabo antes de que existiera un concepto claro de producto, el rigor de la supervisión y la documentación podría haber sido menor en comparación con la guía regulatoria. Como mínimo, deberán seguirse los principios de </w:t>
      </w:r>
      <w:proofErr w:type="spellStart"/>
      <w:r>
        <w:rPr>
          <w:rFonts w:ascii="Arial" w:eastAsia="Arial" w:hAnsi="Arial" w:cs="Arial"/>
          <w:szCs w:val="22"/>
          <w:lang w:val="es-PY"/>
        </w:rPr>
        <w:t>BPFyC</w:t>
      </w:r>
      <w:proofErr w:type="spellEnd"/>
      <w:r w:rsidRPr="00CA7613">
        <w:rPr>
          <w:rFonts w:ascii="Arial" w:eastAsia="Arial" w:hAnsi="Arial" w:cs="Arial"/>
          <w:szCs w:val="22"/>
          <w:lang w:val="es-PY"/>
        </w:rPr>
        <w:t xml:space="preserve"> en esta situación excepcional</w:t>
      </w:r>
      <w:r w:rsidRPr="00BF5001">
        <w:rPr>
          <w:rFonts w:ascii="Arial" w:eastAsia="Arial" w:hAnsi="Arial" w:cs="Arial"/>
          <w:szCs w:val="22"/>
          <w:lang w:val="es-PY"/>
        </w:rPr>
        <w:t xml:space="preserve">, </w:t>
      </w:r>
      <w:r w:rsidR="00BF5001" w:rsidRPr="00BF5001">
        <w:rPr>
          <w:rFonts w:ascii="Arial" w:eastAsia="Arial" w:hAnsi="Arial" w:cs="Arial"/>
          <w:szCs w:val="22"/>
          <w:lang w:val="es-PY"/>
        </w:rPr>
        <w:t>conforme a</w:t>
      </w:r>
      <w:r w:rsidRPr="00BF5001">
        <w:rPr>
          <w:rFonts w:ascii="Arial" w:eastAsia="Arial" w:hAnsi="Arial" w:cs="Arial"/>
          <w:szCs w:val="22"/>
          <w:lang w:val="es-PY"/>
        </w:rPr>
        <w:t xml:space="preserve"> las Directrices </w:t>
      </w:r>
      <w:r w:rsidR="00BF5001" w:rsidRPr="00BF5001">
        <w:rPr>
          <w:rFonts w:ascii="Arial" w:eastAsia="Arial" w:hAnsi="Arial" w:cs="Arial"/>
          <w:szCs w:val="22"/>
          <w:lang w:val="es-PY"/>
        </w:rPr>
        <w:t>de</w:t>
      </w:r>
      <w:r w:rsidRPr="00BF5001">
        <w:rPr>
          <w:rFonts w:ascii="Arial" w:eastAsia="Arial" w:hAnsi="Arial" w:cs="Arial"/>
          <w:szCs w:val="22"/>
          <w:lang w:val="es-PY"/>
        </w:rPr>
        <w:t xml:space="preserve"> Buenas Prácticas de Fabricación específicas para Medicamentos de Terapias Avanzadas.</w:t>
      </w:r>
    </w:p>
    <w:p w:rsidR="009641F0" w:rsidRDefault="009641F0" w:rsidP="009641F0">
      <w:pPr>
        <w:spacing w:after="120"/>
        <w:jc w:val="both"/>
        <w:rPr>
          <w:rFonts w:ascii="Arial" w:eastAsia="Arial" w:hAnsi="Arial" w:cs="Arial"/>
          <w:szCs w:val="22"/>
          <w:lang w:val="es-PY"/>
        </w:rPr>
      </w:pPr>
      <w:r w:rsidRPr="00CA7613">
        <w:rPr>
          <w:rFonts w:ascii="Arial" w:eastAsia="Arial" w:hAnsi="Arial" w:cs="Arial"/>
          <w:szCs w:val="22"/>
          <w:lang w:val="es-PY"/>
        </w:rPr>
        <w:t>La seguridad viral y frente a encefalopatías espongiformes transmisibles (TSE) de las células y de las materias primas deberá abordarse durante la cualificación de los bancos celulares y/o de los materiales de partida, o en las primeras fases del proceso de producción, con el fin de minimizar el riesgo de contaminación.</w:t>
      </w:r>
    </w:p>
    <w:p w:rsidR="009641F0" w:rsidRPr="003B5D14" w:rsidRDefault="009641F0" w:rsidP="009641F0">
      <w:pPr>
        <w:pStyle w:val="Prrafodelista"/>
        <w:numPr>
          <w:ilvl w:val="0"/>
          <w:numId w:val="2"/>
        </w:numPr>
        <w:spacing w:after="120"/>
        <w:jc w:val="both"/>
        <w:rPr>
          <w:rFonts w:ascii="Arial" w:eastAsia="Arial" w:hAnsi="Arial" w:cs="Arial"/>
          <w:b/>
          <w:szCs w:val="22"/>
          <w:lang w:val="es-PY"/>
        </w:rPr>
      </w:pPr>
      <w:r w:rsidRPr="003B5D14">
        <w:rPr>
          <w:rFonts w:ascii="Arial" w:eastAsia="Arial" w:hAnsi="Arial" w:cs="Arial"/>
          <w:b/>
          <w:szCs w:val="22"/>
          <w:lang w:val="es-PY"/>
        </w:rPr>
        <w:t>Materiales de partida para medicamentos de terapia génica en investigación (</w:t>
      </w:r>
      <w:proofErr w:type="spellStart"/>
      <w:r w:rsidRPr="003B5D14">
        <w:rPr>
          <w:rFonts w:ascii="Arial" w:eastAsia="Arial" w:hAnsi="Arial" w:cs="Arial"/>
          <w:b/>
          <w:szCs w:val="22"/>
          <w:lang w:val="es-PY"/>
        </w:rPr>
        <w:t>GTMPs</w:t>
      </w:r>
      <w:proofErr w:type="spellEnd"/>
      <w:r w:rsidRPr="003B5D14">
        <w:rPr>
          <w:rFonts w:ascii="Arial" w:eastAsia="Arial" w:hAnsi="Arial" w:cs="Arial"/>
          <w:b/>
          <w:szCs w:val="22"/>
          <w:lang w:val="es-PY"/>
        </w:rPr>
        <w:t>)</w:t>
      </w:r>
    </w:p>
    <w:p w:rsidR="009641F0" w:rsidRPr="00833B26" w:rsidRDefault="009641F0" w:rsidP="009641F0">
      <w:pPr>
        <w:spacing w:after="120"/>
        <w:jc w:val="both"/>
        <w:rPr>
          <w:rFonts w:ascii="Arial" w:eastAsia="Arial" w:hAnsi="Arial" w:cs="Arial"/>
          <w:szCs w:val="22"/>
          <w:lang w:val="es-PY"/>
        </w:rPr>
      </w:pPr>
      <w:r w:rsidRPr="00833B26">
        <w:rPr>
          <w:rFonts w:ascii="Arial" w:eastAsia="Arial" w:hAnsi="Arial" w:cs="Arial"/>
          <w:szCs w:val="22"/>
          <w:lang w:val="es-PY"/>
        </w:rPr>
        <w:t>Los materiales de partida para medicamentos de terapia génica en investigación (</w:t>
      </w:r>
      <w:proofErr w:type="spellStart"/>
      <w:r w:rsidRPr="00833B26">
        <w:rPr>
          <w:rFonts w:ascii="Arial" w:eastAsia="Arial" w:hAnsi="Arial" w:cs="Arial"/>
          <w:szCs w:val="22"/>
          <w:lang w:val="es-PY"/>
        </w:rPr>
        <w:t>GTMPs</w:t>
      </w:r>
      <w:proofErr w:type="spellEnd"/>
      <w:r w:rsidRPr="00833B26">
        <w:rPr>
          <w:rFonts w:ascii="Arial" w:eastAsia="Arial" w:hAnsi="Arial" w:cs="Arial"/>
          <w:szCs w:val="22"/>
          <w:lang w:val="es-PY"/>
        </w:rPr>
        <w:t xml:space="preserve">) dependen de la naturaleza del producto: pueden ser un </w:t>
      </w:r>
      <w:r>
        <w:rPr>
          <w:rFonts w:ascii="Arial" w:eastAsia="Arial" w:hAnsi="Arial" w:cs="Arial"/>
          <w:szCs w:val="22"/>
          <w:lang w:val="es-PY"/>
        </w:rPr>
        <w:t>lote</w:t>
      </w:r>
      <w:r w:rsidRPr="00833B26">
        <w:rPr>
          <w:rFonts w:ascii="Arial" w:eastAsia="Arial" w:hAnsi="Arial" w:cs="Arial"/>
          <w:szCs w:val="22"/>
          <w:lang w:val="es-PY"/>
        </w:rPr>
        <w:t xml:space="preserve"> maestr</w:t>
      </w:r>
      <w:r>
        <w:rPr>
          <w:rFonts w:ascii="Arial" w:eastAsia="Arial" w:hAnsi="Arial" w:cs="Arial"/>
          <w:szCs w:val="22"/>
          <w:lang w:val="es-PY"/>
        </w:rPr>
        <w:t>o</w:t>
      </w:r>
      <w:r w:rsidRPr="00833B26">
        <w:rPr>
          <w:rFonts w:ascii="Arial" w:eastAsia="Arial" w:hAnsi="Arial" w:cs="Arial"/>
          <w:szCs w:val="22"/>
          <w:lang w:val="es-PY"/>
        </w:rPr>
        <w:t xml:space="preserve"> bacterian</w:t>
      </w:r>
      <w:r>
        <w:rPr>
          <w:rFonts w:ascii="Arial" w:eastAsia="Arial" w:hAnsi="Arial" w:cs="Arial"/>
          <w:szCs w:val="22"/>
          <w:lang w:val="es-PY"/>
        </w:rPr>
        <w:t>o</w:t>
      </w:r>
      <w:r w:rsidRPr="00833B26">
        <w:rPr>
          <w:rFonts w:ascii="Arial" w:eastAsia="Arial" w:hAnsi="Arial" w:cs="Arial"/>
          <w:szCs w:val="22"/>
          <w:lang w:val="es-PY"/>
        </w:rPr>
        <w:t xml:space="preserve">/viral o uno o varios bancos maestros de células (MCB), así como los plásmidos utilizados para </w:t>
      </w:r>
      <w:proofErr w:type="spellStart"/>
      <w:r w:rsidRPr="00833B26">
        <w:rPr>
          <w:rFonts w:ascii="Arial" w:eastAsia="Arial" w:hAnsi="Arial" w:cs="Arial"/>
          <w:szCs w:val="22"/>
          <w:lang w:val="es-PY"/>
        </w:rPr>
        <w:t>transfectar</w:t>
      </w:r>
      <w:proofErr w:type="spellEnd"/>
      <w:r w:rsidRPr="00833B26">
        <w:rPr>
          <w:rFonts w:ascii="Arial" w:eastAsia="Arial" w:hAnsi="Arial" w:cs="Arial"/>
          <w:szCs w:val="22"/>
          <w:lang w:val="es-PY"/>
        </w:rPr>
        <w:t xml:space="preserve"> las células de empaquetamiento o productoras.</w:t>
      </w:r>
    </w:p>
    <w:p w:rsidR="009641F0" w:rsidRPr="00833B26" w:rsidRDefault="009641F0" w:rsidP="009641F0">
      <w:pPr>
        <w:spacing w:after="120"/>
        <w:jc w:val="both"/>
        <w:rPr>
          <w:rFonts w:ascii="Arial" w:eastAsia="Arial" w:hAnsi="Arial" w:cs="Arial"/>
          <w:szCs w:val="22"/>
          <w:lang w:val="es-PY"/>
        </w:rPr>
      </w:pPr>
      <w:r w:rsidRPr="00833B26">
        <w:rPr>
          <w:rFonts w:ascii="Arial" w:eastAsia="Arial" w:hAnsi="Arial" w:cs="Arial"/>
          <w:szCs w:val="22"/>
          <w:lang w:val="es-PY"/>
        </w:rPr>
        <w:lastRenderedPageBreak/>
        <w:t xml:space="preserve">En el caso de la terapia génica </w:t>
      </w:r>
      <w:r w:rsidRPr="0018661F">
        <w:rPr>
          <w:rFonts w:ascii="Arial" w:eastAsia="Arial" w:hAnsi="Arial" w:cs="Arial"/>
          <w:i/>
          <w:szCs w:val="22"/>
          <w:lang w:val="es-PY"/>
        </w:rPr>
        <w:t>ex vivo</w:t>
      </w:r>
      <w:r w:rsidRPr="00833B26">
        <w:rPr>
          <w:rFonts w:ascii="Arial" w:eastAsia="Arial" w:hAnsi="Arial" w:cs="Arial"/>
          <w:szCs w:val="22"/>
          <w:lang w:val="es-PY"/>
        </w:rPr>
        <w:t>, es decir, células modificadas genéticamente, las células no modificadas, los vectores virales o no virales y cualquier otro ácido nucleico y/o proteína utilizada en la modificación genética de las células, junto con los componentes necesarios para producirlos, se consideran materiales de partida.</w:t>
      </w:r>
    </w:p>
    <w:p w:rsidR="009641F0" w:rsidRPr="00833B26" w:rsidRDefault="009641F0" w:rsidP="009641F0">
      <w:pPr>
        <w:spacing w:after="120"/>
        <w:jc w:val="both"/>
        <w:rPr>
          <w:rFonts w:ascii="Arial" w:eastAsia="Arial" w:hAnsi="Arial" w:cs="Arial"/>
          <w:szCs w:val="22"/>
          <w:lang w:val="es-PY"/>
        </w:rPr>
      </w:pPr>
      <w:r w:rsidRPr="00833B26">
        <w:rPr>
          <w:rFonts w:ascii="Arial" w:eastAsia="Arial" w:hAnsi="Arial" w:cs="Arial"/>
          <w:szCs w:val="22"/>
          <w:lang w:val="es-PY"/>
        </w:rPr>
        <w:t xml:space="preserve">En el caso de vectores virales deficientes en replicación utilizados para la generación de células modificadas genéticamente, si se demuestra la ausencia de RCV en el material de partida del vector viral mediante un método validado, no se requiere ensayo adicional a nivel de sustancia activa o producto terminado, siempre que se descarte la generación de </w:t>
      </w:r>
      <w:proofErr w:type="spellStart"/>
      <w:r w:rsidRPr="00833B26">
        <w:rPr>
          <w:rFonts w:ascii="Arial" w:eastAsia="Arial" w:hAnsi="Arial" w:cs="Arial"/>
          <w:szCs w:val="22"/>
          <w:lang w:val="es-PY"/>
        </w:rPr>
        <w:t>RCVs</w:t>
      </w:r>
      <w:proofErr w:type="spellEnd"/>
      <w:r w:rsidRPr="00833B26">
        <w:rPr>
          <w:rFonts w:ascii="Arial" w:eastAsia="Arial" w:hAnsi="Arial" w:cs="Arial"/>
          <w:szCs w:val="22"/>
          <w:lang w:val="es-PY"/>
        </w:rPr>
        <w:t xml:space="preserve"> durante la fabricación mediante una evaluación de riesgos adecuada. El ensayo para RCV deberá tener un límite de detección apropiado, justificado en la evaluación de riesgos considerando el peor escenario y expresado en relación con la dosis máxima del paciente.</w:t>
      </w:r>
    </w:p>
    <w:p w:rsidR="009641F0" w:rsidRPr="00833B26" w:rsidRDefault="009641F0" w:rsidP="009641F0">
      <w:pPr>
        <w:spacing w:after="120"/>
        <w:jc w:val="both"/>
        <w:rPr>
          <w:rFonts w:ascii="Arial" w:eastAsia="Arial" w:hAnsi="Arial" w:cs="Arial"/>
          <w:szCs w:val="22"/>
          <w:lang w:val="es-PY"/>
        </w:rPr>
      </w:pPr>
      <w:r w:rsidRPr="00833B26">
        <w:rPr>
          <w:rFonts w:ascii="Arial" w:eastAsia="Arial" w:hAnsi="Arial" w:cs="Arial"/>
          <w:szCs w:val="22"/>
          <w:lang w:val="es-PY"/>
        </w:rPr>
        <w:t xml:space="preserve">Para los enfoques de edición génica </w:t>
      </w:r>
      <w:r w:rsidRPr="00E45689">
        <w:rPr>
          <w:rFonts w:ascii="Arial" w:eastAsia="Arial" w:hAnsi="Arial" w:cs="Arial"/>
          <w:i/>
          <w:szCs w:val="22"/>
          <w:lang w:val="es-PY"/>
        </w:rPr>
        <w:t>ex vivo</w:t>
      </w:r>
      <w:r w:rsidRPr="00833B26">
        <w:rPr>
          <w:rFonts w:ascii="Arial" w:eastAsia="Arial" w:hAnsi="Arial" w:cs="Arial"/>
          <w:szCs w:val="22"/>
          <w:lang w:val="es-PY"/>
        </w:rPr>
        <w:t>, los materiales de partida deberán ser, según corresponda:</w:t>
      </w:r>
    </w:p>
    <w:p w:rsidR="009641F0" w:rsidRDefault="009641F0" w:rsidP="009641F0">
      <w:pPr>
        <w:spacing w:after="120"/>
        <w:jc w:val="both"/>
        <w:rPr>
          <w:rFonts w:ascii="Arial" w:eastAsia="Arial" w:hAnsi="Arial" w:cs="Arial"/>
          <w:szCs w:val="22"/>
          <w:lang w:val="es-PY"/>
        </w:rPr>
      </w:pPr>
      <w:r w:rsidRPr="00833B26">
        <w:rPr>
          <w:rFonts w:ascii="Arial" w:eastAsia="Arial" w:hAnsi="Arial" w:cs="Arial"/>
          <w:szCs w:val="22"/>
          <w:lang w:val="es-PY"/>
        </w:rPr>
        <w:t>células no modificadas,</w:t>
      </w:r>
      <w:r>
        <w:rPr>
          <w:rFonts w:ascii="Arial" w:eastAsia="Arial" w:hAnsi="Arial" w:cs="Arial"/>
          <w:szCs w:val="22"/>
          <w:lang w:val="es-PY"/>
        </w:rPr>
        <w:t xml:space="preserve"> </w:t>
      </w:r>
      <w:r w:rsidRPr="00833B26">
        <w:rPr>
          <w:rFonts w:ascii="Arial" w:eastAsia="Arial" w:hAnsi="Arial" w:cs="Arial"/>
          <w:szCs w:val="22"/>
          <w:lang w:val="es-PY"/>
        </w:rPr>
        <w:t xml:space="preserve">el vector (viral o </w:t>
      </w:r>
      <w:r>
        <w:rPr>
          <w:rFonts w:ascii="Arial" w:eastAsia="Arial" w:hAnsi="Arial" w:cs="Arial"/>
          <w:szCs w:val="22"/>
          <w:lang w:val="es-PY"/>
        </w:rPr>
        <w:t xml:space="preserve">no </w:t>
      </w:r>
      <w:r w:rsidRPr="00833B26">
        <w:rPr>
          <w:rFonts w:ascii="Arial" w:eastAsia="Arial" w:hAnsi="Arial" w:cs="Arial"/>
          <w:szCs w:val="22"/>
          <w:lang w:val="es-PY"/>
        </w:rPr>
        <w:t>viral) que porta las secuencias de ácido nucleico que codifican la enzima modificadora,</w:t>
      </w:r>
      <w:r>
        <w:rPr>
          <w:rFonts w:ascii="Arial" w:eastAsia="Arial" w:hAnsi="Arial" w:cs="Arial"/>
          <w:szCs w:val="22"/>
          <w:lang w:val="es-PY"/>
        </w:rPr>
        <w:t xml:space="preserve"> </w:t>
      </w:r>
      <w:r w:rsidRPr="00833B26">
        <w:rPr>
          <w:rFonts w:ascii="Arial" w:eastAsia="Arial" w:hAnsi="Arial" w:cs="Arial"/>
          <w:szCs w:val="22"/>
          <w:lang w:val="es-PY"/>
        </w:rPr>
        <w:t>el ARNm (mRNA) que expresa la enzima modificadora,</w:t>
      </w:r>
      <w:r>
        <w:rPr>
          <w:rFonts w:ascii="Arial" w:eastAsia="Arial" w:hAnsi="Arial" w:cs="Arial"/>
          <w:szCs w:val="22"/>
          <w:lang w:val="es-PY"/>
        </w:rPr>
        <w:t xml:space="preserve"> </w:t>
      </w:r>
      <w:r w:rsidRPr="00833B26">
        <w:rPr>
          <w:rFonts w:ascii="Arial" w:eastAsia="Arial" w:hAnsi="Arial" w:cs="Arial"/>
          <w:szCs w:val="22"/>
          <w:lang w:val="es-PY"/>
        </w:rPr>
        <w:t>la propia enzima modificadora,</w:t>
      </w:r>
      <w:r>
        <w:rPr>
          <w:rFonts w:ascii="Arial" w:eastAsia="Arial" w:hAnsi="Arial" w:cs="Arial"/>
          <w:szCs w:val="22"/>
          <w:lang w:val="es-PY"/>
        </w:rPr>
        <w:t xml:space="preserve"> </w:t>
      </w:r>
      <w:r w:rsidRPr="00833B26">
        <w:rPr>
          <w:rFonts w:ascii="Arial" w:eastAsia="Arial" w:hAnsi="Arial" w:cs="Arial"/>
          <w:szCs w:val="22"/>
          <w:lang w:val="es-PY"/>
        </w:rPr>
        <w:t>la secuencia genética para la modificación del genoma celular (por ejemplo, un ARN guía regulador o una secuencia a insertar),</w:t>
      </w:r>
      <w:r>
        <w:rPr>
          <w:rFonts w:ascii="Arial" w:eastAsia="Arial" w:hAnsi="Arial" w:cs="Arial"/>
          <w:szCs w:val="22"/>
          <w:lang w:val="es-PY"/>
        </w:rPr>
        <w:t xml:space="preserve"> </w:t>
      </w:r>
      <w:r w:rsidRPr="00833B26">
        <w:rPr>
          <w:rFonts w:ascii="Arial" w:eastAsia="Arial" w:hAnsi="Arial" w:cs="Arial"/>
          <w:szCs w:val="22"/>
          <w:lang w:val="es-PY"/>
        </w:rPr>
        <w:t xml:space="preserve">una proteína (por ejemplo, </w:t>
      </w:r>
      <w:r w:rsidR="00756B23">
        <w:rPr>
          <w:rFonts w:ascii="Arial" w:eastAsia="Arial" w:hAnsi="Arial" w:cs="Arial"/>
          <w:szCs w:val="22"/>
          <w:lang w:val="es-PY"/>
        </w:rPr>
        <w:t>l</w:t>
      </w:r>
      <w:r w:rsidR="00756B23" w:rsidRPr="00756B23">
        <w:rPr>
          <w:rFonts w:ascii="Arial" w:eastAsia="Arial" w:hAnsi="Arial" w:cs="Arial"/>
          <w:szCs w:val="22"/>
          <w:lang w:val="es-PY"/>
        </w:rPr>
        <w:t xml:space="preserve">a proteína Cas9 </w:t>
      </w:r>
      <w:proofErr w:type="spellStart"/>
      <w:r w:rsidR="00756B23" w:rsidRPr="00756B23">
        <w:rPr>
          <w:rFonts w:ascii="Arial" w:eastAsia="Arial" w:hAnsi="Arial" w:cs="Arial"/>
          <w:szCs w:val="22"/>
          <w:lang w:val="es-PY"/>
        </w:rPr>
        <w:t>precomplejada</w:t>
      </w:r>
      <w:proofErr w:type="spellEnd"/>
      <w:r w:rsidR="00756B23" w:rsidRPr="00756B23">
        <w:rPr>
          <w:rFonts w:ascii="Arial" w:eastAsia="Arial" w:hAnsi="Arial" w:cs="Arial"/>
          <w:szCs w:val="22"/>
          <w:lang w:val="es-PY"/>
        </w:rPr>
        <w:t xml:space="preserve"> con </w:t>
      </w:r>
      <w:proofErr w:type="spellStart"/>
      <w:r w:rsidR="00756B23" w:rsidRPr="00756B23">
        <w:rPr>
          <w:rFonts w:ascii="Arial" w:eastAsia="Arial" w:hAnsi="Arial" w:cs="Arial"/>
          <w:szCs w:val="22"/>
          <w:lang w:val="es-PY"/>
        </w:rPr>
        <w:t>gRNA</w:t>
      </w:r>
      <w:proofErr w:type="spellEnd"/>
      <w:r w:rsidR="00756B23" w:rsidRPr="00756B23">
        <w:rPr>
          <w:rFonts w:ascii="Arial" w:eastAsia="Arial" w:hAnsi="Arial" w:cs="Arial"/>
          <w:szCs w:val="22"/>
          <w:lang w:val="es-PY"/>
        </w:rPr>
        <w:t xml:space="preserve"> utilizada en editores de bases</w:t>
      </w:r>
      <w:r w:rsidRPr="00833B26">
        <w:rPr>
          <w:rFonts w:ascii="Arial" w:eastAsia="Arial" w:hAnsi="Arial" w:cs="Arial"/>
          <w:szCs w:val="22"/>
          <w:lang w:val="es-PY"/>
        </w:rPr>
        <w:t>),</w:t>
      </w:r>
      <w:r>
        <w:rPr>
          <w:rFonts w:ascii="Arial" w:eastAsia="Arial" w:hAnsi="Arial" w:cs="Arial"/>
          <w:szCs w:val="22"/>
          <w:lang w:val="es-PY"/>
        </w:rPr>
        <w:t xml:space="preserve"> el </w:t>
      </w:r>
      <w:proofErr w:type="spellStart"/>
      <w:r w:rsidRPr="00833B26">
        <w:rPr>
          <w:rFonts w:ascii="Arial" w:eastAsia="Arial" w:hAnsi="Arial" w:cs="Arial"/>
          <w:szCs w:val="22"/>
          <w:lang w:val="es-PY"/>
        </w:rPr>
        <w:t>template</w:t>
      </w:r>
      <w:proofErr w:type="spellEnd"/>
      <w:r w:rsidRPr="00833B26">
        <w:rPr>
          <w:rFonts w:ascii="Arial" w:eastAsia="Arial" w:hAnsi="Arial" w:cs="Arial"/>
          <w:szCs w:val="22"/>
          <w:lang w:val="es-PY"/>
        </w:rPr>
        <w:t xml:space="preserve"> para los ARNm</w:t>
      </w:r>
      <w:r>
        <w:rPr>
          <w:rFonts w:ascii="Arial" w:eastAsia="Arial" w:hAnsi="Arial" w:cs="Arial"/>
          <w:szCs w:val="22"/>
          <w:lang w:val="es-PY"/>
        </w:rPr>
        <w:t xml:space="preserve"> (</w:t>
      </w:r>
      <w:r w:rsidRPr="00833B26">
        <w:rPr>
          <w:rFonts w:ascii="Arial" w:eastAsia="Arial" w:hAnsi="Arial" w:cs="Arial"/>
          <w:szCs w:val="22"/>
          <w:lang w:val="es-PY"/>
        </w:rPr>
        <w:t>por ejemplo, un fragmento de ADN lineal o un plásmido</w:t>
      </w:r>
      <w:r>
        <w:rPr>
          <w:rFonts w:ascii="Arial" w:eastAsia="Arial" w:hAnsi="Arial" w:cs="Arial"/>
          <w:szCs w:val="22"/>
          <w:lang w:val="es-PY"/>
        </w:rPr>
        <w:t>)</w:t>
      </w:r>
      <w:r w:rsidRPr="00833B26">
        <w:rPr>
          <w:rFonts w:ascii="Arial" w:eastAsia="Arial" w:hAnsi="Arial" w:cs="Arial"/>
          <w:szCs w:val="22"/>
          <w:lang w:val="es-PY"/>
        </w:rPr>
        <w:t>,</w:t>
      </w:r>
      <w:r>
        <w:rPr>
          <w:rFonts w:ascii="Arial" w:eastAsia="Arial" w:hAnsi="Arial" w:cs="Arial"/>
          <w:szCs w:val="22"/>
          <w:lang w:val="es-PY"/>
        </w:rPr>
        <w:t xml:space="preserve"> </w:t>
      </w:r>
      <w:r w:rsidRPr="00833B26">
        <w:rPr>
          <w:rFonts w:ascii="Arial" w:eastAsia="Arial" w:hAnsi="Arial" w:cs="Arial"/>
          <w:szCs w:val="22"/>
          <w:lang w:val="es-PY"/>
        </w:rPr>
        <w:t>y los componentes necesarios para producirlos.</w:t>
      </w:r>
    </w:p>
    <w:p w:rsidR="009641F0" w:rsidRPr="00365FC5" w:rsidRDefault="009641F0" w:rsidP="009641F0">
      <w:pPr>
        <w:spacing w:after="120"/>
        <w:jc w:val="both"/>
        <w:rPr>
          <w:rFonts w:ascii="Arial" w:eastAsia="Arial" w:hAnsi="Arial" w:cs="Arial"/>
          <w:szCs w:val="22"/>
          <w:lang w:val="es-PY"/>
        </w:rPr>
      </w:pPr>
      <w:r w:rsidRPr="00365FC5">
        <w:rPr>
          <w:rFonts w:ascii="Arial" w:eastAsia="Arial" w:hAnsi="Arial" w:cs="Arial"/>
          <w:szCs w:val="22"/>
          <w:lang w:val="es-PY"/>
        </w:rPr>
        <w:t xml:space="preserve">En los enfoques de edición génica </w:t>
      </w:r>
      <w:r w:rsidRPr="000511DC">
        <w:rPr>
          <w:rFonts w:ascii="Arial" w:eastAsia="Arial" w:hAnsi="Arial" w:cs="Arial"/>
          <w:i/>
          <w:szCs w:val="22"/>
          <w:lang w:val="es-PY"/>
        </w:rPr>
        <w:t>in vivo</w:t>
      </w:r>
      <w:r w:rsidRPr="00365FC5">
        <w:rPr>
          <w:rFonts w:ascii="Arial" w:eastAsia="Arial" w:hAnsi="Arial" w:cs="Arial"/>
          <w:szCs w:val="22"/>
          <w:lang w:val="es-PY"/>
        </w:rPr>
        <w:t xml:space="preserve"> normalmente se utiliza una combinación de diferentes herramientas, por ejemplo: una proteína recombinante más un ARN guía, un ARNm (mRNA) más un ARN guía, o un vector recombinante que codifique uno o dos de los anteriores, etc. La identificación de los materiales de partida deberá seguir las reglas aplicables a cada tipo de producto. Cuando, por ejemplo, se utilicen nanopartículas lipídicas como vehículos de administración no virales, los componentes lipídicos de estos vehículos deberán considerarse como excipientes.</w:t>
      </w:r>
    </w:p>
    <w:p w:rsidR="009641F0" w:rsidRPr="00365FC5" w:rsidRDefault="009641F0" w:rsidP="009641F0">
      <w:pPr>
        <w:spacing w:after="120"/>
        <w:jc w:val="both"/>
        <w:rPr>
          <w:rFonts w:ascii="Arial" w:eastAsia="Arial" w:hAnsi="Arial" w:cs="Arial"/>
          <w:szCs w:val="22"/>
          <w:lang w:val="es-PY"/>
        </w:rPr>
      </w:pPr>
      <w:r w:rsidRPr="00365FC5">
        <w:rPr>
          <w:rFonts w:ascii="Arial" w:eastAsia="Arial" w:hAnsi="Arial" w:cs="Arial"/>
          <w:szCs w:val="22"/>
          <w:lang w:val="es-PY"/>
        </w:rPr>
        <w:t>Cuando se empleen vectores virales, ARNm o proteínas para generar células modificadas genéticamente, los principios de Buenas Prácticas de Fabricación</w:t>
      </w:r>
      <w:r>
        <w:rPr>
          <w:rFonts w:ascii="Arial" w:eastAsia="Arial" w:hAnsi="Arial" w:cs="Arial"/>
          <w:szCs w:val="22"/>
          <w:lang w:val="es-PY"/>
        </w:rPr>
        <w:t xml:space="preserve"> específicos</w:t>
      </w:r>
      <w:r w:rsidRPr="00365FC5">
        <w:rPr>
          <w:rFonts w:ascii="Arial" w:eastAsia="Arial" w:hAnsi="Arial" w:cs="Arial"/>
          <w:szCs w:val="22"/>
          <w:lang w:val="es-PY"/>
        </w:rPr>
        <w:t xml:space="preserve"> para ATMP, deberán aplicarse desde los sistemas de bancos celulares utilizados para producir los materiales de partida, cuando corresponda.</w:t>
      </w:r>
    </w:p>
    <w:p w:rsidR="009641F0" w:rsidRPr="00365FC5" w:rsidRDefault="009641F0" w:rsidP="009641F0">
      <w:pPr>
        <w:spacing w:after="120"/>
        <w:jc w:val="both"/>
        <w:rPr>
          <w:rFonts w:ascii="Arial" w:eastAsia="Arial" w:hAnsi="Arial" w:cs="Arial"/>
          <w:szCs w:val="22"/>
          <w:lang w:val="es-PY"/>
        </w:rPr>
      </w:pPr>
      <w:r w:rsidRPr="00365FC5">
        <w:rPr>
          <w:rFonts w:ascii="Arial" w:eastAsia="Arial" w:hAnsi="Arial" w:cs="Arial"/>
          <w:szCs w:val="22"/>
          <w:lang w:val="es-PY"/>
        </w:rPr>
        <w:lastRenderedPageBreak/>
        <w:t>Para la fabricación de sustancias activas</w:t>
      </w:r>
      <w:r>
        <w:rPr>
          <w:rFonts w:ascii="Arial" w:eastAsia="Arial" w:hAnsi="Arial" w:cs="Arial"/>
          <w:szCs w:val="22"/>
          <w:lang w:val="es-PY"/>
        </w:rPr>
        <w:t xml:space="preserve"> </w:t>
      </w:r>
      <w:r w:rsidRPr="00365FC5">
        <w:rPr>
          <w:rFonts w:ascii="Arial" w:eastAsia="Arial" w:hAnsi="Arial" w:cs="Arial"/>
          <w:szCs w:val="22"/>
          <w:lang w:val="es-PY"/>
        </w:rPr>
        <w:t xml:space="preserve">consistentes en células modificadas genéticamente derivadas de animales modificados genéticamente, las </w:t>
      </w:r>
      <w:r>
        <w:rPr>
          <w:rFonts w:ascii="Arial" w:eastAsia="Arial" w:hAnsi="Arial" w:cs="Arial"/>
          <w:szCs w:val="22"/>
          <w:lang w:val="es-PY"/>
        </w:rPr>
        <w:t>BPF</w:t>
      </w:r>
      <w:r w:rsidRPr="00365FC5">
        <w:rPr>
          <w:rFonts w:ascii="Arial" w:eastAsia="Arial" w:hAnsi="Arial" w:cs="Arial"/>
          <w:szCs w:val="22"/>
          <w:lang w:val="es-PY"/>
        </w:rPr>
        <w:t xml:space="preserve"> deberán aplicarse tras su obtención y ensay</w:t>
      </w:r>
      <w:r w:rsidRPr="00E00AE7">
        <w:rPr>
          <w:rFonts w:ascii="Arial" w:eastAsia="Arial" w:hAnsi="Arial" w:cs="Arial"/>
          <w:szCs w:val="22"/>
          <w:lang w:val="es-PY"/>
        </w:rPr>
        <w:t>o.</w:t>
      </w:r>
    </w:p>
    <w:p w:rsidR="009641F0" w:rsidRPr="00365FC5" w:rsidRDefault="009641F0" w:rsidP="009641F0">
      <w:pPr>
        <w:spacing w:after="120"/>
        <w:jc w:val="both"/>
        <w:rPr>
          <w:rFonts w:ascii="Arial" w:eastAsia="Arial" w:hAnsi="Arial" w:cs="Arial"/>
          <w:szCs w:val="22"/>
          <w:lang w:val="es-PY"/>
        </w:rPr>
      </w:pPr>
      <w:r w:rsidRPr="00365FC5">
        <w:rPr>
          <w:rFonts w:ascii="Arial" w:eastAsia="Arial" w:hAnsi="Arial" w:cs="Arial"/>
          <w:szCs w:val="22"/>
          <w:lang w:val="es-PY"/>
        </w:rPr>
        <w:t xml:space="preserve">Los materiales de </w:t>
      </w:r>
      <w:proofErr w:type="spellStart"/>
      <w:r w:rsidRPr="00365FC5">
        <w:rPr>
          <w:rFonts w:ascii="Arial" w:eastAsia="Arial" w:hAnsi="Arial" w:cs="Arial"/>
          <w:szCs w:val="22"/>
          <w:lang w:val="es-PY"/>
        </w:rPr>
        <w:t>complejación</w:t>
      </w:r>
      <w:proofErr w:type="spellEnd"/>
      <w:r w:rsidRPr="00365FC5">
        <w:rPr>
          <w:rFonts w:ascii="Arial" w:eastAsia="Arial" w:hAnsi="Arial" w:cs="Arial"/>
          <w:szCs w:val="22"/>
          <w:lang w:val="es-PY"/>
        </w:rPr>
        <w:t xml:space="preserve"> que formen parte integral de la sustancia activa se consideran materiales de partida y deberán ser cualificados para su propósito previsto. El nivel de información a proporcionar dependerá de la naturaleza del material de </w:t>
      </w:r>
      <w:proofErr w:type="spellStart"/>
      <w:r w:rsidRPr="00365FC5">
        <w:rPr>
          <w:rFonts w:ascii="Arial" w:eastAsia="Arial" w:hAnsi="Arial" w:cs="Arial"/>
          <w:szCs w:val="22"/>
          <w:lang w:val="es-PY"/>
        </w:rPr>
        <w:t>complejación</w:t>
      </w:r>
      <w:proofErr w:type="spellEnd"/>
      <w:r w:rsidRPr="00365FC5">
        <w:rPr>
          <w:rFonts w:ascii="Arial" w:eastAsia="Arial" w:hAnsi="Arial" w:cs="Arial"/>
          <w:szCs w:val="22"/>
          <w:lang w:val="es-PY"/>
        </w:rPr>
        <w:t xml:space="preserve"> y de la sustancia activa resultante. Todos los elementos genéticos de los materiales de partida utilizados para el GTMP en investigación deberán describirse, incluyendo aquellos destinados a la terapia, la administración, el control y la producción, y deberá justificarse su inclusión. Lo mismo aplica a los virus auxiliares cuando se consideren materiales de partida.</w:t>
      </w:r>
    </w:p>
    <w:p w:rsidR="009641F0" w:rsidRPr="00365FC5" w:rsidRDefault="009641F0" w:rsidP="009641F0">
      <w:pPr>
        <w:spacing w:after="120"/>
        <w:jc w:val="both"/>
        <w:rPr>
          <w:rFonts w:ascii="Arial" w:eastAsia="Arial" w:hAnsi="Arial" w:cs="Arial"/>
          <w:szCs w:val="22"/>
          <w:lang w:val="es-PY"/>
        </w:rPr>
      </w:pPr>
      <w:r w:rsidRPr="00365FC5">
        <w:rPr>
          <w:rFonts w:ascii="Arial" w:eastAsia="Arial" w:hAnsi="Arial" w:cs="Arial"/>
          <w:szCs w:val="22"/>
          <w:lang w:val="es-PY"/>
        </w:rPr>
        <w:t xml:space="preserve">Los elementos de ADN utilizados para la selección deberán estar justificados. La presencia de genes de resistencia a antibióticos en un GTMP en investigación deberá evitarse, </w:t>
      </w:r>
      <w:r>
        <w:rPr>
          <w:rFonts w:ascii="Arial" w:eastAsia="Arial" w:hAnsi="Arial" w:cs="Arial"/>
          <w:szCs w:val="22"/>
          <w:lang w:val="es-PY"/>
        </w:rPr>
        <w:t>considerando</w:t>
      </w:r>
      <w:r w:rsidRPr="00365FC5">
        <w:rPr>
          <w:rFonts w:ascii="Arial" w:eastAsia="Arial" w:hAnsi="Arial" w:cs="Arial"/>
          <w:szCs w:val="22"/>
          <w:lang w:val="es-PY"/>
        </w:rPr>
        <w:t xml:space="preserve"> el problema de la </w:t>
      </w:r>
      <w:proofErr w:type="spellStart"/>
      <w:r w:rsidRPr="00365FC5">
        <w:rPr>
          <w:rFonts w:ascii="Arial" w:eastAsia="Arial" w:hAnsi="Arial" w:cs="Arial"/>
          <w:szCs w:val="22"/>
          <w:lang w:val="es-PY"/>
        </w:rPr>
        <w:t>multirresistencia</w:t>
      </w:r>
      <w:proofErr w:type="spellEnd"/>
      <w:r w:rsidRPr="00365FC5">
        <w:rPr>
          <w:rFonts w:ascii="Arial" w:eastAsia="Arial" w:hAnsi="Arial" w:cs="Arial"/>
          <w:szCs w:val="22"/>
          <w:lang w:val="es-PY"/>
        </w:rPr>
        <w:t xml:space="preserve"> bacteriana a antibióticos y la existencia de métodos alternativos de selección. Si fuera inevitable, deberá proporcionarse un análisis de riesgos. La presencia de genes de resistencia a antibióticos en plásmidos utilizados en la producción de materiales de partida (es decir, ARNm, vectores virales, proteínas recombinantes) se considera generalmente justificable, siempre que el fabricante pueda demostrar una eliminación adecuada del ADN que contiene genes de resistencia a antibióticos durante el proceso de fabricación.</w:t>
      </w:r>
    </w:p>
    <w:p w:rsidR="009641F0" w:rsidRPr="00365FC5" w:rsidRDefault="009641F0" w:rsidP="009641F0">
      <w:pPr>
        <w:spacing w:after="120"/>
        <w:jc w:val="both"/>
        <w:rPr>
          <w:rFonts w:ascii="Arial" w:eastAsia="Arial" w:hAnsi="Arial" w:cs="Arial"/>
          <w:szCs w:val="22"/>
          <w:lang w:val="es-PY"/>
        </w:rPr>
      </w:pPr>
      <w:r w:rsidRPr="00365FC5">
        <w:rPr>
          <w:rFonts w:ascii="Arial" w:eastAsia="Arial" w:hAnsi="Arial" w:cs="Arial"/>
          <w:szCs w:val="22"/>
          <w:lang w:val="es-PY"/>
        </w:rPr>
        <w:t>Las células utilizadas para la amplificación del material genético deberán caracterizarse en relación con su posible impacto en el medicamento en investigación.</w:t>
      </w:r>
      <w:r>
        <w:rPr>
          <w:rFonts w:ascii="Arial" w:eastAsia="Arial" w:hAnsi="Arial" w:cs="Arial"/>
          <w:szCs w:val="22"/>
          <w:lang w:val="es-PY"/>
        </w:rPr>
        <w:t xml:space="preserve"> </w:t>
      </w:r>
      <w:r w:rsidRPr="00365FC5">
        <w:rPr>
          <w:rFonts w:ascii="Arial" w:eastAsia="Arial" w:hAnsi="Arial" w:cs="Arial"/>
          <w:szCs w:val="22"/>
          <w:lang w:val="es-PY"/>
        </w:rPr>
        <w:t>Se deberán proporcionar detalles sobre la construcción de cualquier línea celular de empaquetamiento/productora o virus auxiliar.</w:t>
      </w:r>
    </w:p>
    <w:p w:rsidR="009641F0" w:rsidRDefault="009641F0" w:rsidP="009641F0">
      <w:pPr>
        <w:pStyle w:val="Prrafodelista"/>
        <w:numPr>
          <w:ilvl w:val="0"/>
          <w:numId w:val="3"/>
        </w:numPr>
        <w:spacing w:after="120"/>
        <w:jc w:val="both"/>
        <w:rPr>
          <w:rFonts w:ascii="Arial" w:eastAsia="Arial" w:hAnsi="Arial" w:cs="Arial"/>
          <w:b/>
          <w:i/>
          <w:szCs w:val="22"/>
          <w:lang w:val="es-PY"/>
        </w:rPr>
      </w:pPr>
      <w:r w:rsidRPr="00E11B49">
        <w:rPr>
          <w:rFonts w:ascii="Arial" w:eastAsia="Arial" w:hAnsi="Arial" w:cs="Arial"/>
          <w:b/>
          <w:i/>
          <w:szCs w:val="22"/>
          <w:lang w:val="es-PY"/>
        </w:rPr>
        <w:t xml:space="preserve">Bancos virales (Virus </w:t>
      </w:r>
      <w:proofErr w:type="spellStart"/>
      <w:r w:rsidRPr="00E11B49">
        <w:rPr>
          <w:rFonts w:ascii="Arial" w:eastAsia="Arial" w:hAnsi="Arial" w:cs="Arial"/>
          <w:b/>
          <w:i/>
          <w:szCs w:val="22"/>
          <w:lang w:val="es-PY"/>
        </w:rPr>
        <w:t>seed</w:t>
      </w:r>
      <w:proofErr w:type="spellEnd"/>
      <w:r w:rsidRPr="00E11B49">
        <w:rPr>
          <w:rFonts w:ascii="Arial" w:eastAsia="Arial" w:hAnsi="Arial" w:cs="Arial"/>
          <w:b/>
          <w:i/>
          <w:szCs w:val="22"/>
          <w:lang w:val="es-PY"/>
        </w:rPr>
        <w:t xml:space="preserve"> </w:t>
      </w:r>
      <w:proofErr w:type="spellStart"/>
      <w:r w:rsidRPr="00E11B49">
        <w:rPr>
          <w:rFonts w:ascii="Arial" w:eastAsia="Arial" w:hAnsi="Arial" w:cs="Arial"/>
          <w:b/>
          <w:i/>
          <w:szCs w:val="22"/>
          <w:lang w:val="es-PY"/>
        </w:rPr>
        <w:t>banks</w:t>
      </w:r>
      <w:proofErr w:type="spellEnd"/>
      <w:r w:rsidRPr="00E11B49">
        <w:rPr>
          <w:rFonts w:ascii="Arial" w:eastAsia="Arial" w:hAnsi="Arial" w:cs="Arial"/>
          <w:b/>
          <w:i/>
          <w:szCs w:val="22"/>
          <w:lang w:val="es-PY"/>
        </w:rPr>
        <w:t>)</w:t>
      </w:r>
    </w:p>
    <w:p w:rsidR="009641F0" w:rsidRPr="004361B6" w:rsidRDefault="009641F0" w:rsidP="009641F0">
      <w:pPr>
        <w:spacing w:after="120"/>
        <w:jc w:val="both"/>
        <w:rPr>
          <w:rFonts w:ascii="Arial" w:eastAsia="Arial" w:hAnsi="Arial" w:cs="Arial"/>
          <w:szCs w:val="22"/>
          <w:lang w:val="es-PY"/>
        </w:rPr>
      </w:pPr>
      <w:r w:rsidRPr="004361B6">
        <w:rPr>
          <w:rFonts w:ascii="Arial" w:eastAsia="Arial" w:hAnsi="Arial" w:cs="Arial"/>
          <w:szCs w:val="22"/>
          <w:lang w:val="es-PY"/>
        </w:rPr>
        <w:t>El control de los bancos de virus</w:t>
      </w:r>
      <w:r>
        <w:rPr>
          <w:rFonts w:ascii="Arial" w:eastAsia="Arial" w:hAnsi="Arial" w:cs="Arial"/>
          <w:szCs w:val="22"/>
          <w:lang w:val="es-PY"/>
        </w:rPr>
        <w:t xml:space="preserve">, </w:t>
      </w:r>
      <w:r w:rsidRPr="004361B6">
        <w:rPr>
          <w:rFonts w:ascii="Arial" w:eastAsia="Arial" w:hAnsi="Arial" w:cs="Arial"/>
          <w:szCs w:val="22"/>
          <w:lang w:val="es-PY"/>
        </w:rPr>
        <w:t>incluyendo fagos modificados genéticamente o partículas similares a fagos diseñadas para transducir secuencias terapéuticas en bacterias</w:t>
      </w:r>
      <w:r>
        <w:rPr>
          <w:rFonts w:ascii="Arial" w:eastAsia="Arial" w:hAnsi="Arial" w:cs="Arial"/>
          <w:szCs w:val="22"/>
          <w:lang w:val="es-PY"/>
        </w:rPr>
        <w:t xml:space="preserve">, </w:t>
      </w:r>
      <w:r w:rsidRPr="004361B6">
        <w:rPr>
          <w:rFonts w:ascii="Arial" w:eastAsia="Arial" w:hAnsi="Arial" w:cs="Arial"/>
          <w:szCs w:val="22"/>
          <w:lang w:val="es-PY"/>
        </w:rPr>
        <w:t>deberá incluir:</w:t>
      </w:r>
    </w:p>
    <w:p w:rsidR="009641F0" w:rsidRPr="004361B6"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4361B6">
        <w:rPr>
          <w:rFonts w:ascii="Arial" w:eastAsia="Arial" w:hAnsi="Arial" w:cs="Arial"/>
          <w:szCs w:val="22"/>
          <w:lang w:val="es-PY"/>
        </w:rPr>
        <w:t>Identidad genética e inmunológica.</w:t>
      </w:r>
    </w:p>
    <w:p w:rsidR="009641F0" w:rsidRPr="004361B6"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4361B6">
        <w:rPr>
          <w:rFonts w:ascii="Arial" w:eastAsia="Arial" w:hAnsi="Arial" w:cs="Arial"/>
          <w:szCs w:val="22"/>
          <w:lang w:val="es-PY"/>
        </w:rPr>
        <w:t>Concentración viral y título infeccioso.</w:t>
      </w:r>
    </w:p>
    <w:p w:rsidR="009641F0" w:rsidRPr="004361B6"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4361B6">
        <w:rPr>
          <w:rFonts w:ascii="Arial" w:eastAsia="Arial" w:hAnsi="Arial" w:cs="Arial"/>
          <w:szCs w:val="22"/>
          <w:lang w:val="es-PY"/>
        </w:rPr>
        <w:t>Integridad del genoma.</w:t>
      </w:r>
    </w:p>
    <w:p w:rsidR="009641F0" w:rsidRPr="004361B6"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4361B6">
        <w:rPr>
          <w:rFonts w:ascii="Arial" w:eastAsia="Arial" w:hAnsi="Arial" w:cs="Arial"/>
          <w:szCs w:val="22"/>
          <w:lang w:val="es-PY"/>
        </w:rPr>
        <w:t>Características fenotípicas.</w:t>
      </w:r>
    </w:p>
    <w:p w:rsidR="009641F0" w:rsidRPr="004361B6"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4361B6">
        <w:rPr>
          <w:rFonts w:ascii="Arial" w:eastAsia="Arial" w:hAnsi="Arial" w:cs="Arial"/>
          <w:szCs w:val="22"/>
          <w:lang w:val="es-PY"/>
        </w:rPr>
        <w:t>Transcripción/expresión/actividad biológica de la secuencia terapéutica, según corresponda.</w:t>
      </w:r>
    </w:p>
    <w:p w:rsidR="009641F0" w:rsidRPr="004361B6" w:rsidRDefault="009641F0" w:rsidP="009641F0">
      <w:pPr>
        <w:spacing w:after="120"/>
        <w:jc w:val="both"/>
        <w:rPr>
          <w:rFonts w:ascii="Arial" w:eastAsia="Arial" w:hAnsi="Arial" w:cs="Arial"/>
          <w:szCs w:val="22"/>
          <w:lang w:val="es-PY"/>
        </w:rPr>
      </w:pPr>
      <w:r>
        <w:rPr>
          <w:rFonts w:ascii="Arial" w:eastAsia="Arial" w:hAnsi="Arial" w:cs="Arial"/>
          <w:szCs w:val="22"/>
          <w:lang w:val="es-PY"/>
        </w:rPr>
        <w:lastRenderedPageBreak/>
        <w:t>-</w:t>
      </w:r>
      <w:r w:rsidRPr="004361B6">
        <w:rPr>
          <w:rFonts w:ascii="Arial" w:eastAsia="Arial" w:hAnsi="Arial" w:cs="Arial"/>
          <w:szCs w:val="22"/>
          <w:lang w:val="es-PY"/>
        </w:rPr>
        <w:t>Esterilidad frente a bacterias y hongos.</w:t>
      </w:r>
    </w:p>
    <w:p w:rsidR="009641F0" w:rsidRPr="004361B6"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4361B6">
        <w:rPr>
          <w:rFonts w:ascii="Arial" w:eastAsia="Arial" w:hAnsi="Arial" w:cs="Arial"/>
          <w:szCs w:val="22"/>
          <w:lang w:val="es-PY"/>
        </w:rPr>
        <w:t>Ausencia de micoplasma.</w:t>
      </w:r>
    </w:p>
    <w:p w:rsidR="009641F0" w:rsidRPr="004361B6"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4361B6">
        <w:rPr>
          <w:rFonts w:ascii="Arial" w:eastAsia="Arial" w:hAnsi="Arial" w:cs="Arial"/>
          <w:szCs w:val="22"/>
          <w:lang w:val="es-PY"/>
        </w:rPr>
        <w:t>Ausencia de virus extraños/contaminantes.</w:t>
      </w:r>
    </w:p>
    <w:p w:rsidR="009641F0" w:rsidRPr="004361B6"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4361B6">
        <w:rPr>
          <w:rFonts w:ascii="Arial" w:eastAsia="Arial" w:hAnsi="Arial" w:cs="Arial"/>
          <w:szCs w:val="22"/>
          <w:lang w:val="es-PY"/>
        </w:rPr>
        <w:t>Ausencia de virus competentes para replicación en los casos en que el producto sea deficiente o condicional en replicación.</w:t>
      </w:r>
    </w:p>
    <w:p w:rsidR="009641F0" w:rsidRPr="004361B6"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4361B6">
        <w:rPr>
          <w:rFonts w:ascii="Arial" w:eastAsia="Arial" w:hAnsi="Arial" w:cs="Arial"/>
          <w:szCs w:val="22"/>
          <w:lang w:val="es-PY"/>
        </w:rPr>
        <w:t>Ausencia de bacteriófagos cuando los vectores se produzcan en sustratos bacterianos.</w:t>
      </w:r>
    </w:p>
    <w:p w:rsidR="009641F0"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4361B6">
        <w:rPr>
          <w:rFonts w:ascii="Arial" w:eastAsia="Arial" w:hAnsi="Arial" w:cs="Arial"/>
          <w:szCs w:val="22"/>
          <w:lang w:val="es-PY"/>
        </w:rPr>
        <w:t>La secuencia de los elementos clave, tales como los elementos terapéuticos y regulatorios, deberá confirmarse.</w:t>
      </w:r>
    </w:p>
    <w:p w:rsidR="009641F0" w:rsidRPr="00F05936" w:rsidRDefault="009641F0" w:rsidP="009641F0">
      <w:pPr>
        <w:pStyle w:val="Prrafodelista"/>
        <w:numPr>
          <w:ilvl w:val="0"/>
          <w:numId w:val="3"/>
        </w:numPr>
        <w:spacing w:after="120"/>
        <w:jc w:val="both"/>
        <w:rPr>
          <w:rFonts w:ascii="Arial" w:eastAsia="Arial" w:hAnsi="Arial" w:cs="Arial"/>
          <w:b/>
          <w:i/>
          <w:szCs w:val="22"/>
          <w:lang w:val="es-PY"/>
        </w:rPr>
      </w:pPr>
      <w:r w:rsidRPr="00F05936">
        <w:rPr>
          <w:rFonts w:ascii="Arial" w:eastAsia="Arial" w:hAnsi="Arial" w:cs="Arial"/>
          <w:b/>
          <w:i/>
          <w:szCs w:val="22"/>
          <w:lang w:val="es-PY"/>
        </w:rPr>
        <w:t xml:space="preserve">Vectores de ARN o ADN y plásmidos (RNA </w:t>
      </w:r>
      <w:proofErr w:type="spellStart"/>
      <w:r w:rsidRPr="00F05936">
        <w:rPr>
          <w:rFonts w:ascii="Arial" w:eastAsia="Arial" w:hAnsi="Arial" w:cs="Arial"/>
          <w:b/>
          <w:i/>
          <w:szCs w:val="22"/>
          <w:lang w:val="es-PY"/>
        </w:rPr>
        <w:t>or</w:t>
      </w:r>
      <w:proofErr w:type="spellEnd"/>
      <w:r w:rsidRPr="00F05936">
        <w:rPr>
          <w:rFonts w:ascii="Arial" w:eastAsia="Arial" w:hAnsi="Arial" w:cs="Arial"/>
          <w:b/>
          <w:i/>
          <w:szCs w:val="22"/>
          <w:lang w:val="es-PY"/>
        </w:rPr>
        <w:t xml:space="preserve"> DNA </w:t>
      </w:r>
      <w:proofErr w:type="spellStart"/>
      <w:r w:rsidRPr="00F05936">
        <w:rPr>
          <w:rFonts w:ascii="Arial" w:eastAsia="Arial" w:hAnsi="Arial" w:cs="Arial"/>
          <w:b/>
          <w:i/>
          <w:szCs w:val="22"/>
          <w:lang w:val="es-PY"/>
        </w:rPr>
        <w:t>vectors</w:t>
      </w:r>
      <w:proofErr w:type="spellEnd"/>
      <w:r w:rsidRPr="00F05936">
        <w:rPr>
          <w:rFonts w:ascii="Arial" w:eastAsia="Arial" w:hAnsi="Arial" w:cs="Arial"/>
          <w:b/>
          <w:i/>
          <w:szCs w:val="22"/>
          <w:lang w:val="es-PY"/>
        </w:rPr>
        <w:t xml:space="preserve"> and </w:t>
      </w:r>
      <w:proofErr w:type="spellStart"/>
      <w:r w:rsidRPr="00F05936">
        <w:rPr>
          <w:rFonts w:ascii="Arial" w:eastAsia="Arial" w:hAnsi="Arial" w:cs="Arial"/>
          <w:b/>
          <w:i/>
          <w:szCs w:val="22"/>
          <w:lang w:val="es-PY"/>
        </w:rPr>
        <w:t>plasmids</w:t>
      </w:r>
      <w:proofErr w:type="spellEnd"/>
      <w:r w:rsidRPr="00F05936">
        <w:rPr>
          <w:rFonts w:ascii="Arial" w:eastAsia="Arial" w:hAnsi="Arial" w:cs="Arial"/>
          <w:b/>
          <w:i/>
          <w:szCs w:val="22"/>
          <w:lang w:val="es-PY"/>
        </w:rPr>
        <w:t>)</w:t>
      </w:r>
    </w:p>
    <w:p w:rsidR="009641F0" w:rsidRDefault="009641F0" w:rsidP="009641F0">
      <w:pPr>
        <w:spacing w:after="120"/>
        <w:jc w:val="both"/>
        <w:rPr>
          <w:rFonts w:ascii="Arial" w:eastAsia="Arial" w:hAnsi="Arial" w:cs="Arial"/>
          <w:szCs w:val="22"/>
          <w:lang w:val="es-PY"/>
        </w:rPr>
      </w:pPr>
      <w:r w:rsidRPr="00AF20DA">
        <w:rPr>
          <w:rFonts w:ascii="Arial" w:eastAsia="Arial" w:hAnsi="Arial" w:cs="Arial"/>
          <w:szCs w:val="22"/>
          <w:lang w:val="es-PY"/>
        </w:rPr>
        <w:t>Las pruebas de vectores de ARN y ADN, plásmidos o ADN de cromosomas artificiales deben incluir ensayos de identidad e integridad genética, incluyendo la confirmación de la secuencia terapéutica y de las secuencias regulatorias/controladoras, pureza, concentración (potencia), conformidad estructural y ausencia de agentes extraños mediante una variedad de ensayos, incluyendo esterilidad y niveles de endotoxinas. Se deberán proporcionar, según corresponda, descripciones de su diseño, construcción, producción y del sistema de bancos utilizado.</w:t>
      </w:r>
    </w:p>
    <w:p w:rsidR="009641F0" w:rsidRPr="00A86D0F" w:rsidRDefault="009641F0" w:rsidP="00A86D0F">
      <w:pPr>
        <w:pStyle w:val="Prrafodelista"/>
        <w:numPr>
          <w:ilvl w:val="0"/>
          <w:numId w:val="3"/>
        </w:numPr>
        <w:spacing w:after="120"/>
        <w:jc w:val="both"/>
        <w:rPr>
          <w:rFonts w:ascii="Arial" w:eastAsia="Arial" w:hAnsi="Arial" w:cs="Arial"/>
          <w:b/>
          <w:i/>
          <w:szCs w:val="22"/>
          <w:lang w:val="es-PY"/>
        </w:rPr>
      </w:pPr>
      <w:r w:rsidRPr="00A86D0F">
        <w:rPr>
          <w:rFonts w:ascii="Arial" w:eastAsia="Arial" w:hAnsi="Arial" w:cs="Arial"/>
          <w:b/>
          <w:i/>
          <w:szCs w:val="22"/>
          <w:lang w:val="es-PY"/>
        </w:rPr>
        <w:t xml:space="preserve">Bancos celulares eucariotas </w:t>
      </w:r>
    </w:p>
    <w:p w:rsidR="009641F0" w:rsidRPr="00292AFA" w:rsidRDefault="009641F0" w:rsidP="009641F0">
      <w:pPr>
        <w:spacing w:after="120"/>
        <w:jc w:val="both"/>
        <w:rPr>
          <w:rFonts w:ascii="Arial" w:eastAsia="Arial" w:hAnsi="Arial" w:cs="Arial"/>
          <w:szCs w:val="22"/>
          <w:lang w:val="es-PY"/>
        </w:rPr>
      </w:pPr>
      <w:r w:rsidRPr="00292AFA">
        <w:rPr>
          <w:rFonts w:ascii="Arial" w:eastAsia="Arial" w:hAnsi="Arial" w:cs="Arial"/>
          <w:szCs w:val="22"/>
          <w:lang w:val="es-PY"/>
        </w:rPr>
        <w:t>Las pruebas realizadas en las líneas celulares productoras/empaquetadoras (organizadas en un sistema de bancos celulares) deben incluir identidad, pureza, número de células, viabilidad, caracterización de la cepa, genotipificación/</w:t>
      </w:r>
      <w:proofErr w:type="spellStart"/>
      <w:r w:rsidRPr="00292AFA">
        <w:rPr>
          <w:rFonts w:ascii="Arial" w:eastAsia="Arial" w:hAnsi="Arial" w:cs="Arial"/>
          <w:szCs w:val="22"/>
          <w:lang w:val="es-PY"/>
        </w:rPr>
        <w:t>fenotipificación</w:t>
      </w:r>
      <w:proofErr w:type="spellEnd"/>
      <w:r w:rsidRPr="00292AFA">
        <w:rPr>
          <w:rFonts w:ascii="Arial" w:eastAsia="Arial" w:hAnsi="Arial" w:cs="Arial"/>
          <w:szCs w:val="22"/>
          <w:lang w:val="es-PY"/>
        </w:rPr>
        <w:t>, verificación de la estructura de la secuencia plasmídica/transgénica/de ayuda (p. ej., análisis de restricción o secuenciación), estabilidad genética, número de copias, identidad e integridad de las secuencias introducidas.</w:t>
      </w:r>
    </w:p>
    <w:p w:rsidR="009641F0" w:rsidRPr="00292AFA" w:rsidRDefault="009641F0" w:rsidP="009641F0">
      <w:pPr>
        <w:spacing w:after="120"/>
        <w:jc w:val="both"/>
        <w:rPr>
          <w:rFonts w:ascii="Arial" w:eastAsia="Arial" w:hAnsi="Arial" w:cs="Arial"/>
          <w:szCs w:val="22"/>
          <w:lang w:val="es-PY"/>
        </w:rPr>
      </w:pPr>
      <w:r w:rsidRPr="00292AFA">
        <w:rPr>
          <w:rFonts w:ascii="Arial" w:eastAsia="Arial" w:hAnsi="Arial" w:cs="Arial"/>
          <w:szCs w:val="22"/>
          <w:lang w:val="es-PY"/>
        </w:rPr>
        <w:t xml:space="preserve">Las pruebas del banco celular productor/empaquetador para la presencia de virus </w:t>
      </w:r>
      <w:r>
        <w:rPr>
          <w:rFonts w:ascii="Arial" w:eastAsia="Arial" w:hAnsi="Arial" w:cs="Arial"/>
          <w:szCs w:val="22"/>
          <w:lang w:val="es-PY"/>
        </w:rPr>
        <w:t>adventicios o extraños</w:t>
      </w:r>
      <w:r w:rsidRPr="00292AFA">
        <w:rPr>
          <w:rFonts w:ascii="Arial" w:eastAsia="Arial" w:hAnsi="Arial" w:cs="Arial"/>
          <w:szCs w:val="22"/>
          <w:lang w:val="es-PY"/>
        </w:rPr>
        <w:t xml:space="preserve"> deben realizarse de acuerdo </w:t>
      </w:r>
      <w:r w:rsidRPr="00D66568">
        <w:rPr>
          <w:rFonts w:ascii="Arial" w:eastAsia="Arial" w:hAnsi="Arial" w:cs="Arial"/>
          <w:szCs w:val="22"/>
          <w:lang w:val="es-PY"/>
        </w:rPr>
        <w:t>con los principios de la ICH Q5A.</w:t>
      </w:r>
      <w:r w:rsidRPr="00292AFA">
        <w:rPr>
          <w:rFonts w:ascii="Arial" w:eastAsia="Arial" w:hAnsi="Arial" w:cs="Arial"/>
          <w:szCs w:val="22"/>
          <w:lang w:val="es-PY"/>
        </w:rPr>
        <w:t xml:space="preserve"> Se deberán seguir los textos pertinentes de </w:t>
      </w:r>
      <w:r w:rsidR="00D66568">
        <w:rPr>
          <w:rFonts w:ascii="Arial" w:eastAsia="Arial" w:hAnsi="Arial" w:cs="Arial"/>
          <w:szCs w:val="22"/>
          <w:lang w:val="es-PY"/>
        </w:rPr>
        <w:t>farmacopeas internacionalmente reconocidas</w:t>
      </w:r>
      <w:r w:rsidRPr="00292AFA">
        <w:rPr>
          <w:rFonts w:ascii="Arial" w:eastAsia="Arial" w:hAnsi="Arial" w:cs="Arial"/>
          <w:szCs w:val="22"/>
          <w:lang w:val="es-PY"/>
        </w:rPr>
        <w:t xml:space="preserve">, incluyendo ensayos para virus contaminantes y endógenos. La presencia de contaminación bacteriana y fúngica, así como de micoplasmas y </w:t>
      </w:r>
      <w:proofErr w:type="spellStart"/>
      <w:r w:rsidRPr="00292AFA">
        <w:rPr>
          <w:rFonts w:ascii="Arial" w:eastAsia="Arial" w:hAnsi="Arial" w:cs="Arial"/>
          <w:szCs w:val="22"/>
          <w:lang w:val="es-PY"/>
        </w:rPr>
        <w:t>espiroplasmas</w:t>
      </w:r>
      <w:proofErr w:type="spellEnd"/>
      <w:r w:rsidRPr="00292AFA">
        <w:rPr>
          <w:rFonts w:ascii="Arial" w:eastAsia="Arial" w:hAnsi="Arial" w:cs="Arial"/>
          <w:szCs w:val="22"/>
          <w:lang w:val="es-PY"/>
        </w:rPr>
        <w:t xml:space="preserve"> (en células de insecto), debe </w:t>
      </w:r>
      <w:r>
        <w:rPr>
          <w:rFonts w:ascii="Arial" w:eastAsia="Arial" w:hAnsi="Arial" w:cs="Arial"/>
          <w:szCs w:val="22"/>
          <w:lang w:val="es-PY"/>
        </w:rPr>
        <w:t>descartarse</w:t>
      </w:r>
      <w:r w:rsidRPr="00292AFA">
        <w:rPr>
          <w:rFonts w:ascii="Arial" w:eastAsia="Arial" w:hAnsi="Arial" w:cs="Arial"/>
          <w:szCs w:val="22"/>
          <w:lang w:val="es-PY"/>
        </w:rPr>
        <w:t>. También se deberá realizar microscopía electrónica de células de insecto, salvo que se justifique lo contrario.</w:t>
      </w:r>
    </w:p>
    <w:p w:rsidR="009641F0" w:rsidRDefault="009641F0" w:rsidP="009641F0">
      <w:pPr>
        <w:spacing w:after="120"/>
        <w:jc w:val="both"/>
        <w:rPr>
          <w:rFonts w:ascii="Arial" w:eastAsia="Arial" w:hAnsi="Arial" w:cs="Arial"/>
          <w:szCs w:val="22"/>
          <w:lang w:val="es-PY"/>
        </w:rPr>
      </w:pPr>
      <w:r w:rsidRPr="00292AFA">
        <w:rPr>
          <w:rFonts w:ascii="Arial" w:eastAsia="Arial" w:hAnsi="Arial" w:cs="Arial"/>
          <w:szCs w:val="22"/>
          <w:lang w:val="es-PY"/>
        </w:rPr>
        <w:lastRenderedPageBreak/>
        <w:t>Para las líneas celulares empaquetadoras, se deberán proporcionar descripciones de su diseño, construcción, producción y del sistema de bancos utilizado.</w:t>
      </w:r>
    </w:p>
    <w:p w:rsidR="009641F0" w:rsidRPr="00A86D0F" w:rsidRDefault="009641F0" w:rsidP="00A86D0F">
      <w:pPr>
        <w:pStyle w:val="Prrafodelista"/>
        <w:numPr>
          <w:ilvl w:val="0"/>
          <w:numId w:val="3"/>
        </w:numPr>
        <w:spacing w:after="120"/>
        <w:jc w:val="both"/>
        <w:rPr>
          <w:rFonts w:ascii="Arial" w:eastAsia="Arial" w:hAnsi="Arial" w:cs="Arial"/>
          <w:b/>
          <w:i/>
          <w:szCs w:val="22"/>
          <w:lang w:val="es-PY"/>
        </w:rPr>
      </w:pPr>
      <w:r w:rsidRPr="00A86D0F">
        <w:rPr>
          <w:rFonts w:ascii="Arial" w:eastAsia="Arial" w:hAnsi="Arial" w:cs="Arial"/>
          <w:b/>
          <w:i/>
          <w:szCs w:val="22"/>
          <w:lang w:val="es-PY"/>
        </w:rPr>
        <w:t xml:space="preserve">Bancos celulares bacterianos </w:t>
      </w:r>
    </w:p>
    <w:p w:rsidR="009641F0" w:rsidRPr="00B176BF" w:rsidRDefault="009641F0" w:rsidP="009641F0">
      <w:pPr>
        <w:spacing w:after="120"/>
        <w:jc w:val="both"/>
        <w:rPr>
          <w:rFonts w:ascii="Arial" w:eastAsia="Arial" w:hAnsi="Arial" w:cs="Arial"/>
          <w:szCs w:val="22"/>
          <w:lang w:val="es-PY"/>
        </w:rPr>
      </w:pPr>
      <w:r w:rsidRPr="00B176BF">
        <w:rPr>
          <w:rFonts w:ascii="Arial" w:eastAsia="Arial" w:hAnsi="Arial" w:cs="Arial"/>
          <w:szCs w:val="22"/>
          <w:lang w:val="es-PY"/>
        </w:rPr>
        <w:t xml:space="preserve">Los bancos celulares bacterianos utilizados para la fabricación de la sustancia activa y de materiales de partida críticos deben someterse a pruebas de identidad fenotípica y genómica. Se debe confirmar la presencia/ausencia de secuencias insertadas/eliminadas necesarias para el uso seguro del medicamento de terapia génica en investigación (GTMP). La identidad inmunológica, incluyendo los componentes modificados genéticamente, debe determinarse, por ejemplo, mediante </w:t>
      </w:r>
      <w:proofErr w:type="spellStart"/>
      <w:r w:rsidRPr="00B176BF">
        <w:rPr>
          <w:rFonts w:ascii="Arial" w:eastAsia="Arial" w:hAnsi="Arial" w:cs="Arial"/>
          <w:szCs w:val="22"/>
          <w:lang w:val="es-PY"/>
        </w:rPr>
        <w:t>serotipificación</w:t>
      </w:r>
      <w:proofErr w:type="spellEnd"/>
      <w:r w:rsidRPr="00B176BF">
        <w:rPr>
          <w:rFonts w:ascii="Arial" w:eastAsia="Arial" w:hAnsi="Arial" w:cs="Arial"/>
          <w:szCs w:val="22"/>
          <w:lang w:val="es-PY"/>
        </w:rPr>
        <w:t>.</w:t>
      </w:r>
    </w:p>
    <w:p w:rsidR="009641F0" w:rsidRPr="00B176BF" w:rsidRDefault="009641F0" w:rsidP="009641F0">
      <w:pPr>
        <w:spacing w:after="120"/>
        <w:jc w:val="both"/>
        <w:rPr>
          <w:rFonts w:ascii="Arial" w:eastAsia="Arial" w:hAnsi="Arial" w:cs="Arial"/>
          <w:szCs w:val="22"/>
          <w:lang w:val="es-PY"/>
        </w:rPr>
      </w:pPr>
      <w:r w:rsidRPr="00B176BF">
        <w:rPr>
          <w:rFonts w:ascii="Arial" w:eastAsia="Arial" w:hAnsi="Arial" w:cs="Arial"/>
          <w:szCs w:val="22"/>
          <w:lang w:val="es-PY"/>
        </w:rPr>
        <w:t>Se debe garantizar la eficiencia de transformación, la ausencia de bacterias contaminantes, bacteriófagos y hongos. Para los bancos celulares bacterianos transformados, las pruebas deben incluir la presencia de secuencias plasmídicas o genómicas que contengan la secuencia terapéutica y los elementos regulatorios/controladores asociados, el número de copias del plásmido y la proporción de células con/sin plásmidos.</w:t>
      </w:r>
    </w:p>
    <w:p w:rsidR="009641F0" w:rsidRDefault="009641F0" w:rsidP="009641F0">
      <w:pPr>
        <w:spacing w:after="120"/>
        <w:jc w:val="both"/>
        <w:rPr>
          <w:rFonts w:ascii="Arial" w:eastAsia="Arial" w:hAnsi="Arial" w:cs="Arial"/>
          <w:szCs w:val="22"/>
          <w:lang w:val="es-PY"/>
        </w:rPr>
      </w:pPr>
      <w:r w:rsidRPr="00B176BF">
        <w:rPr>
          <w:rFonts w:ascii="Arial" w:eastAsia="Arial" w:hAnsi="Arial" w:cs="Arial"/>
          <w:szCs w:val="22"/>
          <w:lang w:val="es-PY"/>
        </w:rPr>
        <w:t xml:space="preserve">También deben considerarse los principios descritos </w:t>
      </w:r>
      <w:r w:rsidRPr="00A86D0F">
        <w:rPr>
          <w:rFonts w:ascii="Arial" w:eastAsia="Arial" w:hAnsi="Arial" w:cs="Arial"/>
          <w:szCs w:val="22"/>
          <w:lang w:val="es-PY"/>
        </w:rPr>
        <w:t>en la guía ICH Q5D</w:t>
      </w:r>
      <w:r w:rsidRPr="00B176BF">
        <w:rPr>
          <w:rFonts w:ascii="Arial" w:eastAsia="Arial" w:hAnsi="Arial" w:cs="Arial"/>
          <w:szCs w:val="22"/>
          <w:lang w:val="es-PY"/>
        </w:rPr>
        <w:t xml:space="preserve"> y en </w:t>
      </w:r>
      <w:r w:rsidR="00E51BD1">
        <w:rPr>
          <w:rFonts w:ascii="Arial" w:eastAsia="Arial" w:hAnsi="Arial" w:cs="Arial"/>
          <w:szCs w:val="22"/>
          <w:lang w:val="es-PY"/>
        </w:rPr>
        <w:t>farmacopeas internacionalmente reconocidas</w:t>
      </w:r>
      <w:r w:rsidRPr="00B176BF">
        <w:rPr>
          <w:rFonts w:ascii="Arial" w:eastAsia="Arial" w:hAnsi="Arial" w:cs="Arial"/>
          <w:szCs w:val="22"/>
          <w:lang w:val="es-PY"/>
        </w:rPr>
        <w:t xml:space="preserve"> sobre la derivación y caracterización de sustratos celulares.</w:t>
      </w:r>
    </w:p>
    <w:p w:rsidR="009641F0" w:rsidRDefault="009641F0" w:rsidP="009641F0">
      <w:pPr>
        <w:pStyle w:val="Prrafodelista"/>
        <w:numPr>
          <w:ilvl w:val="0"/>
          <w:numId w:val="2"/>
        </w:numPr>
        <w:spacing w:after="120"/>
        <w:jc w:val="both"/>
        <w:rPr>
          <w:rFonts w:ascii="Arial" w:eastAsia="Arial" w:hAnsi="Arial" w:cs="Arial"/>
          <w:b/>
          <w:szCs w:val="22"/>
          <w:lang w:val="es-PY"/>
        </w:rPr>
      </w:pPr>
      <w:r w:rsidRPr="00B75799">
        <w:rPr>
          <w:rFonts w:ascii="Arial" w:eastAsia="Arial" w:hAnsi="Arial" w:cs="Arial"/>
          <w:b/>
          <w:szCs w:val="22"/>
          <w:lang w:val="es-PY"/>
        </w:rPr>
        <w:t>Componentes estructurales</w:t>
      </w:r>
    </w:p>
    <w:p w:rsidR="009641F0" w:rsidRPr="00237928" w:rsidRDefault="009641F0" w:rsidP="009641F0">
      <w:pPr>
        <w:spacing w:after="120"/>
        <w:jc w:val="both"/>
        <w:rPr>
          <w:rFonts w:ascii="Arial" w:eastAsia="Arial" w:hAnsi="Arial" w:cs="Arial"/>
          <w:szCs w:val="22"/>
          <w:lang w:val="es-PY"/>
        </w:rPr>
      </w:pPr>
      <w:r w:rsidRPr="00237928">
        <w:rPr>
          <w:rFonts w:ascii="Arial" w:eastAsia="Arial" w:hAnsi="Arial" w:cs="Arial"/>
          <w:szCs w:val="22"/>
          <w:lang w:val="es-PY"/>
        </w:rPr>
        <w:t xml:space="preserve">Los </w:t>
      </w:r>
      <w:r w:rsidRPr="00EB6090">
        <w:rPr>
          <w:rFonts w:ascii="Arial" w:eastAsia="Arial" w:hAnsi="Arial" w:cs="Arial"/>
          <w:szCs w:val="22"/>
          <w:lang w:val="es-PY"/>
        </w:rPr>
        <w:t>medicamentos de terapia avanzada en investigación</w:t>
      </w:r>
      <w:r w:rsidRPr="00237928">
        <w:rPr>
          <w:rFonts w:ascii="Arial" w:eastAsia="Arial" w:hAnsi="Arial" w:cs="Arial"/>
          <w:szCs w:val="22"/>
          <w:lang w:val="es-PY"/>
        </w:rPr>
        <w:t xml:space="preserve"> pueden incorporar componentes adicionales como materiales de partida, los cuales pueden ser dispositivos médicos o dispositivos médicos implantables activos. Los componentes del dispositivo pueden estar o no certificados de manera independiente, o bien estar certificados pero utilizados fuera de su uso previsto. Ejemplos incluyen matrices que proporcionan una estructura tridimensional para el crecimiento celular y su posterior implantación.</w:t>
      </w:r>
    </w:p>
    <w:p w:rsidR="009641F0" w:rsidRPr="00237928" w:rsidRDefault="009641F0" w:rsidP="009641F0">
      <w:pPr>
        <w:spacing w:after="120"/>
        <w:jc w:val="both"/>
        <w:rPr>
          <w:rFonts w:ascii="Arial" w:eastAsia="Arial" w:hAnsi="Arial" w:cs="Arial"/>
          <w:szCs w:val="22"/>
          <w:lang w:val="es-PY"/>
        </w:rPr>
      </w:pPr>
      <w:r w:rsidRPr="00237928">
        <w:rPr>
          <w:rFonts w:ascii="Arial" w:eastAsia="Arial" w:hAnsi="Arial" w:cs="Arial"/>
          <w:szCs w:val="22"/>
          <w:lang w:val="es-PY"/>
        </w:rPr>
        <w:t xml:space="preserve">Los </w:t>
      </w:r>
      <w:proofErr w:type="spellStart"/>
      <w:r w:rsidRPr="00237928">
        <w:rPr>
          <w:rFonts w:ascii="Arial" w:eastAsia="Arial" w:hAnsi="Arial" w:cs="Arial"/>
          <w:szCs w:val="22"/>
          <w:lang w:val="es-PY"/>
        </w:rPr>
        <w:t>ATMPs</w:t>
      </w:r>
      <w:proofErr w:type="spellEnd"/>
      <w:r w:rsidRPr="00237928">
        <w:rPr>
          <w:rFonts w:ascii="Arial" w:eastAsia="Arial" w:hAnsi="Arial" w:cs="Arial"/>
          <w:szCs w:val="22"/>
          <w:lang w:val="es-PY"/>
        </w:rPr>
        <w:t xml:space="preserve"> que incorporan dispositivos médicos integrales se clasifican y evalúan como medicamentos. Los componentes del dispositivo deben cumplir con los requisitos generales de seguridad y rendimiento sobre dispositivos médicos, y se deberá proporcionar información de apoyo en el </w:t>
      </w:r>
      <w:r w:rsidR="00A86D0F">
        <w:rPr>
          <w:rFonts w:ascii="Arial" w:eastAsia="Arial" w:hAnsi="Arial" w:cs="Arial"/>
          <w:szCs w:val="22"/>
          <w:lang w:val="es-PY"/>
        </w:rPr>
        <w:t>expediente del producto en investigación</w:t>
      </w:r>
      <w:r w:rsidRPr="00237928">
        <w:rPr>
          <w:rFonts w:ascii="Arial" w:eastAsia="Arial" w:hAnsi="Arial" w:cs="Arial"/>
          <w:szCs w:val="22"/>
          <w:lang w:val="es-PY"/>
        </w:rPr>
        <w:t xml:space="preserve">. No se requiere la certificación independiente del componente del dispositivo, pero cuando exista un </w:t>
      </w:r>
      <w:r w:rsidRPr="00EB6090">
        <w:rPr>
          <w:rFonts w:ascii="Arial" w:eastAsia="Arial" w:hAnsi="Arial" w:cs="Arial"/>
          <w:szCs w:val="22"/>
          <w:lang w:val="es-PY"/>
        </w:rPr>
        <w:t>certificado p</w:t>
      </w:r>
      <w:r w:rsidRPr="00237928">
        <w:rPr>
          <w:rFonts w:ascii="Arial" w:eastAsia="Arial" w:hAnsi="Arial" w:cs="Arial"/>
          <w:szCs w:val="22"/>
          <w:lang w:val="es-PY"/>
        </w:rPr>
        <w:t>ara el uso previsto, esta información deberá incluirse en el expediente. La idoneidad para el uso previsto en el contexto del medicamento debe ser demostrada.</w:t>
      </w:r>
    </w:p>
    <w:p w:rsidR="009641F0" w:rsidRPr="004F0F91" w:rsidRDefault="009641F0" w:rsidP="009641F0">
      <w:pPr>
        <w:spacing w:after="120"/>
        <w:jc w:val="both"/>
        <w:rPr>
          <w:rFonts w:ascii="Arial" w:eastAsia="Arial" w:hAnsi="Arial" w:cs="Arial"/>
          <w:b/>
          <w:i/>
          <w:szCs w:val="22"/>
          <w:lang w:val="es-PY"/>
        </w:rPr>
      </w:pPr>
      <w:r w:rsidRPr="004F0F91">
        <w:rPr>
          <w:rFonts w:ascii="Arial" w:eastAsia="Arial" w:hAnsi="Arial" w:cs="Arial"/>
          <w:b/>
          <w:i/>
          <w:szCs w:val="22"/>
          <w:lang w:val="es-PY"/>
        </w:rPr>
        <w:t xml:space="preserve">S.2.4. Control de </w:t>
      </w:r>
      <w:r>
        <w:rPr>
          <w:rFonts w:ascii="Arial" w:eastAsia="Arial" w:hAnsi="Arial" w:cs="Arial"/>
          <w:b/>
          <w:i/>
          <w:szCs w:val="22"/>
          <w:lang w:val="es-PY"/>
        </w:rPr>
        <w:t>pasos</w:t>
      </w:r>
      <w:r w:rsidRPr="004F0F91">
        <w:rPr>
          <w:rFonts w:ascii="Arial" w:eastAsia="Arial" w:hAnsi="Arial" w:cs="Arial"/>
          <w:b/>
          <w:i/>
          <w:szCs w:val="22"/>
          <w:lang w:val="es-PY"/>
        </w:rPr>
        <w:t xml:space="preserve"> crític</w:t>
      </w:r>
      <w:r>
        <w:rPr>
          <w:rFonts w:ascii="Arial" w:eastAsia="Arial" w:hAnsi="Arial" w:cs="Arial"/>
          <w:b/>
          <w:i/>
          <w:szCs w:val="22"/>
          <w:lang w:val="es-PY"/>
        </w:rPr>
        <w:t>o</w:t>
      </w:r>
      <w:r w:rsidRPr="004F0F91">
        <w:rPr>
          <w:rFonts w:ascii="Arial" w:eastAsia="Arial" w:hAnsi="Arial" w:cs="Arial"/>
          <w:b/>
          <w:i/>
          <w:szCs w:val="22"/>
          <w:lang w:val="es-PY"/>
        </w:rPr>
        <w:t>s e intermediarios</w:t>
      </w:r>
    </w:p>
    <w:p w:rsidR="009641F0" w:rsidRPr="00B437B3" w:rsidRDefault="009641F0" w:rsidP="009641F0">
      <w:pPr>
        <w:spacing w:after="120"/>
        <w:jc w:val="both"/>
        <w:rPr>
          <w:rFonts w:ascii="Arial" w:eastAsia="Arial" w:hAnsi="Arial" w:cs="Arial"/>
          <w:szCs w:val="22"/>
          <w:lang w:val="es-PY"/>
        </w:rPr>
      </w:pPr>
      <w:r w:rsidRPr="00B437B3">
        <w:rPr>
          <w:rFonts w:ascii="Arial" w:eastAsia="Arial" w:hAnsi="Arial" w:cs="Arial"/>
          <w:szCs w:val="22"/>
          <w:lang w:val="es-PY"/>
        </w:rPr>
        <w:lastRenderedPageBreak/>
        <w:t>Los parámetros de proceso, las pruebas de control de proceso y los criterios de aceptación o límites de acción asociados deben establecerse en función de los datos de desarrollo y del conocimiento actual. Los productos celulares intermedios son productos que pueden aislarse durante el proceso; se deben establecer especificaciones para estos intermedios a fin de asegurar la reproducibilidad del proceso y la consistencia del producto terminado.</w:t>
      </w:r>
    </w:p>
    <w:p w:rsidR="009641F0" w:rsidRPr="00B437B3" w:rsidRDefault="009641F0" w:rsidP="009641F0">
      <w:pPr>
        <w:spacing w:after="120"/>
        <w:jc w:val="both"/>
        <w:rPr>
          <w:rFonts w:ascii="Arial" w:eastAsia="Arial" w:hAnsi="Arial" w:cs="Arial"/>
          <w:szCs w:val="22"/>
          <w:lang w:val="es-PY"/>
        </w:rPr>
      </w:pPr>
      <w:r w:rsidRPr="00B437B3">
        <w:rPr>
          <w:rFonts w:ascii="Arial" w:eastAsia="Arial" w:hAnsi="Arial" w:cs="Arial"/>
          <w:szCs w:val="22"/>
          <w:lang w:val="es-PY"/>
        </w:rPr>
        <w:t>Se deben proporcionar pruebas y criterios de aceptación para el control de las etapas críticas en el proceso de fabricación. Una referencia cruzada a la sección S2.2 puede ser suficiente para los criterios de aceptación o límites de acción. Los tiempos de retención y las condiciones de almacenamiento de los intermedios de proceso deben estar justificados y respaldados por datos.</w:t>
      </w:r>
    </w:p>
    <w:p w:rsidR="009641F0" w:rsidRPr="00B437B3" w:rsidRDefault="009641F0" w:rsidP="009641F0">
      <w:pPr>
        <w:spacing w:after="120"/>
        <w:jc w:val="both"/>
        <w:rPr>
          <w:rFonts w:ascii="Arial" w:eastAsia="Arial" w:hAnsi="Arial" w:cs="Arial"/>
          <w:szCs w:val="22"/>
          <w:lang w:val="es-PY"/>
        </w:rPr>
      </w:pPr>
      <w:r w:rsidRPr="00B437B3">
        <w:rPr>
          <w:rFonts w:ascii="Arial" w:eastAsia="Arial" w:hAnsi="Arial" w:cs="Arial"/>
          <w:szCs w:val="22"/>
          <w:lang w:val="es-PY"/>
        </w:rPr>
        <w:t xml:space="preserve">El monitoreo del cultivo celular </w:t>
      </w:r>
      <w:r w:rsidRPr="00EF1037">
        <w:rPr>
          <w:rFonts w:ascii="Arial" w:eastAsia="Arial" w:hAnsi="Arial" w:cs="Arial"/>
          <w:i/>
          <w:szCs w:val="22"/>
          <w:lang w:val="es-PY"/>
        </w:rPr>
        <w:t>in vitro</w:t>
      </w:r>
      <w:r w:rsidRPr="00B437B3">
        <w:rPr>
          <w:rFonts w:ascii="Arial" w:eastAsia="Arial" w:hAnsi="Arial" w:cs="Arial"/>
          <w:szCs w:val="22"/>
          <w:lang w:val="es-PY"/>
        </w:rPr>
        <w:t xml:space="preserve"> en etapas seleccionadas de la producción debe realizarse cuando sea factible, y la edad celular </w:t>
      </w:r>
      <w:r w:rsidRPr="00EF1037">
        <w:rPr>
          <w:rFonts w:ascii="Arial" w:eastAsia="Arial" w:hAnsi="Arial" w:cs="Arial"/>
          <w:i/>
          <w:szCs w:val="22"/>
          <w:lang w:val="es-PY"/>
        </w:rPr>
        <w:t>in vitro</w:t>
      </w:r>
      <w:r w:rsidRPr="00B437B3">
        <w:rPr>
          <w:rFonts w:ascii="Arial" w:eastAsia="Arial" w:hAnsi="Arial" w:cs="Arial"/>
          <w:szCs w:val="22"/>
          <w:lang w:val="es-PY"/>
        </w:rPr>
        <w:t xml:space="preserve"> (número de duplicaciones poblacionales) debe ser controlada. El cultivo debe examinarse para detectar contaminación microbiana.</w:t>
      </w:r>
    </w:p>
    <w:p w:rsidR="009641F0" w:rsidRDefault="009641F0" w:rsidP="009641F0">
      <w:pPr>
        <w:spacing w:after="120"/>
        <w:jc w:val="both"/>
        <w:rPr>
          <w:rFonts w:ascii="Arial" w:eastAsia="Arial" w:hAnsi="Arial" w:cs="Arial"/>
          <w:szCs w:val="22"/>
          <w:lang w:val="es-PY"/>
        </w:rPr>
      </w:pPr>
      <w:r w:rsidRPr="00B437B3">
        <w:rPr>
          <w:rFonts w:ascii="Arial" w:eastAsia="Arial" w:hAnsi="Arial" w:cs="Arial"/>
          <w:szCs w:val="22"/>
          <w:lang w:val="es-PY"/>
        </w:rPr>
        <w:t>Se reconoce que, debido a la limitada disponibilidad de datos en una etapa temprana del desarrollo, puede no estar disponible la información completa sobre la criticidad de las etapas del proceso.</w:t>
      </w:r>
    </w:p>
    <w:p w:rsidR="009641F0" w:rsidRPr="003D30E9" w:rsidRDefault="009641F0" w:rsidP="009641F0">
      <w:pPr>
        <w:spacing w:after="120"/>
        <w:jc w:val="both"/>
        <w:rPr>
          <w:rFonts w:ascii="Arial" w:eastAsia="Arial" w:hAnsi="Arial" w:cs="Arial"/>
          <w:b/>
          <w:i/>
          <w:szCs w:val="22"/>
          <w:lang w:val="es-PY"/>
        </w:rPr>
      </w:pPr>
      <w:r w:rsidRPr="003D30E9">
        <w:rPr>
          <w:rFonts w:ascii="Arial" w:eastAsia="Arial" w:hAnsi="Arial" w:cs="Arial"/>
          <w:b/>
          <w:i/>
          <w:szCs w:val="22"/>
          <w:lang w:val="es-PY"/>
        </w:rPr>
        <w:t>S.2.5. Evaluación / validación del proceso</w:t>
      </w:r>
    </w:p>
    <w:p w:rsidR="009641F0" w:rsidRPr="003D30E9" w:rsidRDefault="009641F0" w:rsidP="009641F0">
      <w:pPr>
        <w:spacing w:after="120"/>
        <w:jc w:val="both"/>
        <w:rPr>
          <w:rFonts w:ascii="Arial" w:eastAsia="Arial" w:hAnsi="Arial" w:cs="Arial"/>
          <w:szCs w:val="22"/>
          <w:lang w:val="es-PY"/>
        </w:rPr>
      </w:pPr>
      <w:r w:rsidRPr="003D30E9">
        <w:rPr>
          <w:rFonts w:ascii="Arial" w:eastAsia="Arial" w:hAnsi="Arial" w:cs="Arial"/>
          <w:szCs w:val="22"/>
          <w:lang w:val="es-PY"/>
        </w:rPr>
        <w:t xml:space="preserve">Con excepción de los aspectos relacionados con la asepsia, no se espera que el proceso de fabricación de las sustancias activas de </w:t>
      </w:r>
      <w:proofErr w:type="spellStart"/>
      <w:r w:rsidRPr="003D30E9">
        <w:rPr>
          <w:rFonts w:ascii="Arial" w:eastAsia="Arial" w:hAnsi="Arial" w:cs="Arial"/>
          <w:szCs w:val="22"/>
          <w:lang w:val="es-PY"/>
        </w:rPr>
        <w:t>ATMPs</w:t>
      </w:r>
      <w:proofErr w:type="spellEnd"/>
      <w:r w:rsidRPr="003D30E9">
        <w:rPr>
          <w:rFonts w:ascii="Arial" w:eastAsia="Arial" w:hAnsi="Arial" w:cs="Arial"/>
          <w:szCs w:val="22"/>
          <w:lang w:val="es-PY"/>
        </w:rPr>
        <w:t xml:space="preserve"> en investigación esté validado desde la perspectiva de la aprobación de ensayos clínicos; sin embargo, deben implementarse medidas adecuadas de monitoreo y control. La validación del proceso aséptico (y, cuando corresponda, de los procesos de esterilización) y de las etapas para la eliminación/inactivación de posibles agentes adventicios es, no obstante, requerida antes de los ensayos clínicos de primera administración en humanos (FIH).</w:t>
      </w:r>
    </w:p>
    <w:p w:rsidR="009641F0" w:rsidRPr="003D30E9" w:rsidRDefault="009641F0" w:rsidP="009641F0">
      <w:pPr>
        <w:spacing w:after="120"/>
        <w:jc w:val="both"/>
        <w:rPr>
          <w:rFonts w:ascii="Arial" w:eastAsia="Arial" w:hAnsi="Arial" w:cs="Arial"/>
          <w:szCs w:val="22"/>
          <w:lang w:val="es-PY"/>
        </w:rPr>
      </w:pPr>
      <w:r w:rsidRPr="003D30E9">
        <w:rPr>
          <w:rFonts w:ascii="Arial" w:eastAsia="Arial" w:hAnsi="Arial" w:cs="Arial"/>
          <w:szCs w:val="22"/>
          <w:lang w:val="es-PY"/>
        </w:rPr>
        <w:t>Los detalles sobre la validación de las etapas de fabricación destinadas a eliminar o inactivar contaminantes virales deben proporcionarse</w:t>
      </w:r>
      <w:r w:rsidR="00CE093C">
        <w:rPr>
          <w:rFonts w:ascii="Arial" w:eastAsia="Arial" w:hAnsi="Arial" w:cs="Arial"/>
          <w:szCs w:val="22"/>
          <w:lang w:val="es-PY"/>
        </w:rPr>
        <w:t xml:space="preserve"> como</w:t>
      </w:r>
      <w:r w:rsidRPr="003D30E9">
        <w:rPr>
          <w:rFonts w:ascii="Arial" w:eastAsia="Arial" w:hAnsi="Arial" w:cs="Arial"/>
          <w:szCs w:val="22"/>
          <w:lang w:val="es-PY"/>
        </w:rPr>
        <w:t xml:space="preserve"> </w:t>
      </w:r>
      <w:r w:rsidR="00CE093C">
        <w:rPr>
          <w:rFonts w:ascii="Arial" w:eastAsia="Arial" w:hAnsi="Arial" w:cs="Arial"/>
          <w:szCs w:val="22"/>
          <w:lang w:val="es-PY"/>
        </w:rPr>
        <w:t>e</w:t>
      </w:r>
      <w:r w:rsidRPr="003D30E9">
        <w:rPr>
          <w:rFonts w:ascii="Arial" w:eastAsia="Arial" w:hAnsi="Arial" w:cs="Arial"/>
          <w:szCs w:val="22"/>
          <w:lang w:val="es-PY"/>
        </w:rPr>
        <w:t>valuación de seguridad frente a agentes adventicios.</w:t>
      </w:r>
    </w:p>
    <w:p w:rsidR="009641F0" w:rsidRPr="003D30E9" w:rsidRDefault="009641F0" w:rsidP="009641F0">
      <w:pPr>
        <w:spacing w:after="120"/>
        <w:jc w:val="both"/>
        <w:rPr>
          <w:rFonts w:ascii="Arial" w:eastAsia="Arial" w:hAnsi="Arial" w:cs="Arial"/>
          <w:szCs w:val="22"/>
          <w:lang w:val="es-PY"/>
        </w:rPr>
      </w:pPr>
      <w:r w:rsidRPr="003D30E9">
        <w:rPr>
          <w:rFonts w:ascii="Arial" w:eastAsia="Arial" w:hAnsi="Arial" w:cs="Arial"/>
          <w:szCs w:val="22"/>
          <w:lang w:val="es-PY"/>
        </w:rPr>
        <w:t xml:space="preserve">Los datos de caracterización/evaluación y validación del proceso deben recopilarse a lo largo del desarrollo. La implementación de medidas adecuadas de monitoreo y control asegura la generación de conocimiento para optimizar de manera continua el establecimiento de criterios de aceptación para parámetros de proceso, pruebas de control en proceso y atributos críticos de calidad. Cuando estén disponibles, deberán proporcionarse resúmenes de los estudios de </w:t>
      </w:r>
      <w:r w:rsidRPr="003D30E9">
        <w:rPr>
          <w:rFonts w:ascii="Arial" w:eastAsia="Arial" w:hAnsi="Arial" w:cs="Arial"/>
          <w:szCs w:val="22"/>
          <w:lang w:val="es-PY"/>
        </w:rPr>
        <w:lastRenderedPageBreak/>
        <w:t xml:space="preserve">caracterización y verificación del proceso, aunque no se requiere la presentación de los informes completos como parte del </w:t>
      </w:r>
      <w:r w:rsidR="00CE093C">
        <w:rPr>
          <w:rFonts w:ascii="Arial" w:eastAsia="Arial" w:hAnsi="Arial" w:cs="Arial"/>
          <w:szCs w:val="22"/>
          <w:lang w:val="es-PY"/>
        </w:rPr>
        <w:t>expediente del producto en investigación</w:t>
      </w:r>
      <w:r w:rsidRPr="003D30E9">
        <w:rPr>
          <w:rFonts w:ascii="Arial" w:eastAsia="Arial" w:hAnsi="Arial" w:cs="Arial"/>
          <w:szCs w:val="22"/>
          <w:lang w:val="es-PY"/>
        </w:rPr>
        <w:t>.</w:t>
      </w:r>
    </w:p>
    <w:p w:rsidR="009641F0" w:rsidRPr="00577068" w:rsidRDefault="009641F0" w:rsidP="009641F0">
      <w:pPr>
        <w:spacing w:after="120"/>
        <w:jc w:val="both"/>
        <w:rPr>
          <w:rFonts w:ascii="Arial" w:eastAsia="Arial" w:hAnsi="Arial" w:cs="Arial"/>
          <w:szCs w:val="22"/>
          <w:lang w:val="es-PY"/>
        </w:rPr>
      </w:pPr>
      <w:r w:rsidRPr="003D30E9">
        <w:rPr>
          <w:rFonts w:ascii="Arial" w:eastAsia="Arial" w:hAnsi="Arial" w:cs="Arial"/>
          <w:szCs w:val="22"/>
          <w:lang w:val="es-PY"/>
        </w:rPr>
        <w:t xml:space="preserve">Se señala que, para un ensayo clínico que genere datos fundamentales para una Solicitud de Autorización de Comercialización, es importante demostrar que el proceso de fabricación de la sustancia activa de ATMP en investigación asegura una producción consistente y es representativo del proceso de fabricación comercial previsto. Esto aplica igualmente a la fabricación de materiales de partida críticos, por ejemplo, un vector viral utilizado para modificar genéticamente células. Además, se recomienda encarecidamente utilizar el proceso destinado al suministro comercial para la fabricación del producto que se empleará en estudios fundamentales. Para orientación hacia la </w:t>
      </w:r>
      <w:r w:rsidR="000A2243">
        <w:rPr>
          <w:rFonts w:ascii="Arial" w:eastAsia="Arial" w:hAnsi="Arial" w:cs="Arial"/>
          <w:szCs w:val="22"/>
          <w:lang w:val="es-PY"/>
        </w:rPr>
        <w:t>autorización de comercialización</w:t>
      </w:r>
      <w:r w:rsidRPr="003D30E9">
        <w:rPr>
          <w:rFonts w:ascii="Arial" w:eastAsia="Arial" w:hAnsi="Arial" w:cs="Arial"/>
          <w:szCs w:val="22"/>
          <w:lang w:val="es-PY"/>
        </w:rPr>
        <w:t xml:space="preserve">, se hace referencia a la Guía sobre validación de procesos para la fabricación de sustancias activas derivadas de biotecnología y a los datos que deben proporcionarse en las presentaciones </w:t>
      </w:r>
      <w:r w:rsidRPr="00577068">
        <w:rPr>
          <w:rFonts w:ascii="Arial" w:eastAsia="Arial" w:hAnsi="Arial" w:cs="Arial"/>
          <w:szCs w:val="22"/>
          <w:lang w:val="es-PY"/>
        </w:rPr>
        <w:t xml:space="preserve">regulatorias, así como a las Directrices de GMP para </w:t>
      </w:r>
      <w:proofErr w:type="spellStart"/>
      <w:r w:rsidRPr="00577068">
        <w:rPr>
          <w:rFonts w:ascii="Arial" w:eastAsia="Arial" w:hAnsi="Arial" w:cs="Arial"/>
          <w:szCs w:val="22"/>
          <w:lang w:val="es-PY"/>
        </w:rPr>
        <w:t>ATMPs</w:t>
      </w:r>
      <w:proofErr w:type="spellEnd"/>
      <w:r w:rsidRPr="00577068">
        <w:rPr>
          <w:rFonts w:ascii="Arial" w:eastAsia="Arial" w:hAnsi="Arial" w:cs="Arial"/>
          <w:szCs w:val="22"/>
          <w:lang w:val="es-PY"/>
        </w:rPr>
        <w:t>.</w:t>
      </w:r>
    </w:p>
    <w:p w:rsidR="009641F0" w:rsidRPr="00141381" w:rsidRDefault="009641F0" w:rsidP="009641F0">
      <w:pPr>
        <w:spacing w:after="120"/>
        <w:jc w:val="both"/>
        <w:rPr>
          <w:rFonts w:ascii="Arial" w:eastAsia="Arial" w:hAnsi="Arial" w:cs="Arial"/>
          <w:i/>
          <w:szCs w:val="22"/>
          <w:lang w:val="es-PY"/>
        </w:rPr>
      </w:pPr>
      <w:r w:rsidRPr="00141381">
        <w:rPr>
          <w:rFonts w:ascii="Arial" w:eastAsia="Arial" w:hAnsi="Arial" w:cs="Arial"/>
          <w:i/>
          <w:szCs w:val="22"/>
          <w:lang w:val="es-PY"/>
        </w:rPr>
        <w:t>-</w:t>
      </w:r>
      <w:r w:rsidRPr="00141381">
        <w:rPr>
          <w:i/>
        </w:rPr>
        <w:t xml:space="preserve"> </w:t>
      </w:r>
      <w:r w:rsidRPr="00141381">
        <w:rPr>
          <w:rFonts w:ascii="Arial" w:eastAsia="Arial" w:hAnsi="Arial" w:cs="Arial"/>
          <w:i/>
          <w:szCs w:val="22"/>
          <w:lang w:val="es-PY"/>
        </w:rPr>
        <w:t xml:space="preserve">Medicamentos de terapia avanzada en investigación basados en células </w:t>
      </w:r>
    </w:p>
    <w:p w:rsidR="009641F0" w:rsidRPr="00186941" w:rsidRDefault="009641F0" w:rsidP="009641F0">
      <w:pPr>
        <w:spacing w:after="120"/>
        <w:jc w:val="both"/>
        <w:rPr>
          <w:rFonts w:ascii="Arial" w:eastAsia="Arial" w:hAnsi="Arial" w:cs="Arial"/>
          <w:szCs w:val="22"/>
          <w:lang w:val="es-PY"/>
        </w:rPr>
      </w:pPr>
      <w:r w:rsidRPr="00186941">
        <w:rPr>
          <w:rFonts w:ascii="Arial" w:eastAsia="Arial" w:hAnsi="Arial" w:cs="Arial"/>
          <w:szCs w:val="22"/>
          <w:u w:val="single"/>
          <w:lang w:val="es-PY"/>
        </w:rPr>
        <w:t>Caracterización/evaluación con materiales sustitutos</w:t>
      </w:r>
      <w:r w:rsidRPr="00186941">
        <w:rPr>
          <w:rFonts w:ascii="Arial" w:eastAsia="Arial" w:hAnsi="Arial" w:cs="Arial"/>
          <w:szCs w:val="22"/>
          <w:lang w:val="es-PY"/>
        </w:rPr>
        <w:t xml:space="preserve">: La disponibilidad limitada de células/tejidos, por ejemplo, </w:t>
      </w:r>
      <w:proofErr w:type="spellStart"/>
      <w:r w:rsidRPr="00186941">
        <w:rPr>
          <w:rFonts w:ascii="Arial" w:eastAsia="Arial" w:hAnsi="Arial" w:cs="Arial"/>
          <w:szCs w:val="22"/>
          <w:lang w:val="es-PY"/>
        </w:rPr>
        <w:t>ATMPs</w:t>
      </w:r>
      <w:proofErr w:type="spellEnd"/>
      <w:r w:rsidRPr="00186941">
        <w:rPr>
          <w:rFonts w:ascii="Arial" w:eastAsia="Arial" w:hAnsi="Arial" w:cs="Arial"/>
          <w:szCs w:val="22"/>
          <w:lang w:val="es-PY"/>
        </w:rPr>
        <w:t xml:space="preserve"> autólogos o bancos celulares alogénicos, puede requerir el desarrollo de enfoques pragmáticos para la caracterización/evaluación del proceso de fabricación o de cambios posteriores. El objetivo debe ser obtener la máxima experiencia de cada lote procesado.</w:t>
      </w:r>
    </w:p>
    <w:p w:rsidR="009641F0" w:rsidRPr="00186941" w:rsidRDefault="009641F0" w:rsidP="009641F0">
      <w:pPr>
        <w:spacing w:after="120"/>
        <w:jc w:val="both"/>
        <w:rPr>
          <w:rFonts w:ascii="Arial" w:eastAsia="Arial" w:hAnsi="Arial" w:cs="Arial"/>
          <w:szCs w:val="22"/>
          <w:lang w:val="es-PY"/>
        </w:rPr>
      </w:pPr>
      <w:r w:rsidRPr="00186941">
        <w:rPr>
          <w:rFonts w:ascii="Arial" w:eastAsia="Arial" w:hAnsi="Arial" w:cs="Arial"/>
          <w:szCs w:val="22"/>
          <w:lang w:val="es-PY"/>
        </w:rPr>
        <w:t>La representatividad del material de partida sustituto debe evaluarse considerando, por ejemplo, la edad del donante, el estado de salud del donante, la fuente anatómica u otras características (p. ej., uso de tipos celulares representativos o uso de células en un número de pases mayor al previsto en las especificaciones del producto).</w:t>
      </w:r>
    </w:p>
    <w:p w:rsidR="009641F0" w:rsidRPr="00186941" w:rsidRDefault="009641F0" w:rsidP="009641F0">
      <w:pPr>
        <w:spacing w:after="120"/>
        <w:jc w:val="both"/>
        <w:rPr>
          <w:rFonts w:ascii="Arial" w:eastAsia="Arial" w:hAnsi="Arial" w:cs="Arial"/>
          <w:szCs w:val="22"/>
          <w:lang w:val="es-PY"/>
        </w:rPr>
      </w:pPr>
      <w:r w:rsidRPr="00186941">
        <w:rPr>
          <w:rFonts w:ascii="Arial" w:eastAsia="Arial" w:hAnsi="Arial" w:cs="Arial"/>
          <w:szCs w:val="22"/>
          <w:lang w:val="es-PY"/>
        </w:rPr>
        <w:t>Cuando sea posible, debe considerarse complementar el uso de materiales sustitutos con muestras de los materiales de partida reales para aspectos clave del proceso de fabricación. Por ejemplo, en el caso de un ATMP basado en células modificadas genéticamente, el uso de material de pacientes puede limitarse a la caracterización del proceso de modificación genética. Otros aspectos podrían calificarse/evaluarse utilizando un tipo celular sustituto representativo.</w:t>
      </w:r>
    </w:p>
    <w:p w:rsidR="009641F0" w:rsidRPr="00141381" w:rsidRDefault="009641F0" w:rsidP="009641F0">
      <w:pPr>
        <w:spacing w:after="120"/>
        <w:jc w:val="both"/>
        <w:rPr>
          <w:rFonts w:ascii="Arial" w:eastAsia="Arial" w:hAnsi="Arial" w:cs="Arial"/>
          <w:i/>
          <w:szCs w:val="22"/>
          <w:lang w:val="es-PY"/>
        </w:rPr>
      </w:pPr>
      <w:r w:rsidRPr="00141381">
        <w:rPr>
          <w:rFonts w:ascii="Arial" w:eastAsia="Arial" w:hAnsi="Arial" w:cs="Arial"/>
          <w:i/>
          <w:szCs w:val="22"/>
          <w:lang w:val="es-PY"/>
        </w:rPr>
        <w:t>-</w:t>
      </w:r>
      <w:r w:rsidRPr="00141381">
        <w:rPr>
          <w:i/>
        </w:rPr>
        <w:t xml:space="preserve"> </w:t>
      </w:r>
      <w:r w:rsidRPr="00141381">
        <w:rPr>
          <w:rFonts w:ascii="Arial" w:eastAsia="Arial" w:hAnsi="Arial" w:cs="Arial"/>
          <w:i/>
          <w:szCs w:val="22"/>
          <w:lang w:val="es-PY"/>
        </w:rPr>
        <w:t>Medicamentos de terapia génica en investigación (</w:t>
      </w:r>
      <w:proofErr w:type="spellStart"/>
      <w:r w:rsidRPr="00141381">
        <w:rPr>
          <w:rFonts w:ascii="Arial" w:eastAsia="Arial" w:hAnsi="Arial" w:cs="Arial"/>
          <w:i/>
          <w:szCs w:val="22"/>
          <w:lang w:val="es-PY"/>
        </w:rPr>
        <w:t>GTMPs</w:t>
      </w:r>
      <w:proofErr w:type="spellEnd"/>
      <w:r w:rsidRPr="00141381">
        <w:rPr>
          <w:rFonts w:ascii="Arial" w:eastAsia="Arial" w:hAnsi="Arial" w:cs="Arial"/>
          <w:i/>
          <w:szCs w:val="22"/>
          <w:lang w:val="es-PY"/>
        </w:rPr>
        <w:t xml:space="preserve">): </w:t>
      </w:r>
    </w:p>
    <w:p w:rsidR="009641F0" w:rsidRDefault="009641F0" w:rsidP="009641F0">
      <w:pPr>
        <w:spacing w:after="120"/>
        <w:jc w:val="both"/>
        <w:rPr>
          <w:rFonts w:ascii="Arial" w:eastAsia="Arial" w:hAnsi="Arial" w:cs="Arial"/>
          <w:szCs w:val="22"/>
          <w:lang w:val="es-PY"/>
        </w:rPr>
      </w:pPr>
      <w:r w:rsidRPr="00141381">
        <w:rPr>
          <w:rFonts w:ascii="Arial" w:eastAsia="Arial" w:hAnsi="Arial" w:cs="Arial"/>
          <w:szCs w:val="22"/>
          <w:lang w:val="es-PY"/>
        </w:rPr>
        <w:t xml:space="preserve">Se deben proporcionar datos sobre el control y la estabilidad del genoma vectorial y de la(s) secuencia(s) terapéutica(s) durante el desarrollo. El grado de fidelidad </w:t>
      </w:r>
      <w:r w:rsidRPr="00141381">
        <w:rPr>
          <w:rFonts w:ascii="Arial" w:eastAsia="Arial" w:hAnsi="Arial" w:cs="Arial"/>
          <w:szCs w:val="22"/>
          <w:lang w:val="es-PY"/>
        </w:rPr>
        <w:lastRenderedPageBreak/>
        <w:t>de los sistemas de replicación debe garantizarse en la medida de lo posible y describirse. Se debe obtener evidencia que demuestre que la secuencia terapéutica permanece sin modificaciones y se mantiene de manera estable durante cualquier amplificación.</w:t>
      </w:r>
    </w:p>
    <w:p w:rsidR="009641F0" w:rsidRPr="000B6472" w:rsidRDefault="009641F0" w:rsidP="009641F0">
      <w:pPr>
        <w:spacing w:after="120"/>
        <w:jc w:val="both"/>
        <w:rPr>
          <w:rFonts w:ascii="Arial" w:eastAsia="Arial" w:hAnsi="Arial" w:cs="Arial"/>
          <w:b/>
          <w:i/>
          <w:szCs w:val="22"/>
          <w:lang w:val="es-PY"/>
        </w:rPr>
      </w:pPr>
      <w:r w:rsidRPr="000B6472">
        <w:rPr>
          <w:rFonts w:ascii="Arial" w:eastAsia="Arial" w:hAnsi="Arial" w:cs="Arial"/>
          <w:b/>
          <w:i/>
          <w:szCs w:val="22"/>
          <w:lang w:val="es-PY"/>
        </w:rPr>
        <w:t>S.2.6. Desarrollo del proceso de manufactura</w:t>
      </w:r>
    </w:p>
    <w:p w:rsidR="009641F0" w:rsidRPr="00A064C4" w:rsidRDefault="009641F0" w:rsidP="009641F0">
      <w:pPr>
        <w:spacing w:after="120"/>
        <w:jc w:val="both"/>
        <w:rPr>
          <w:rFonts w:ascii="Arial" w:eastAsia="Arial" w:hAnsi="Arial" w:cs="Arial"/>
          <w:i/>
          <w:szCs w:val="22"/>
          <w:lang w:val="es-PY"/>
        </w:rPr>
      </w:pPr>
      <w:r w:rsidRPr="00A064C4">
        <w:rPr>
          <w:rFonts w:ascii="Arial" w:eastAsia="Arial" w:hAnsi="Arial" w:cs="Arial"/>
          <w:i/>
          <w:szCs w:val="22"/>
          <w:lang w:val="es-PY"/>
        </w:rPr>
        <w:t>Mejora de procesos</w:t>
      </w:r>
    </w:p>
    <w:p w:rsidR="009641F0" w:rsidRDefault="009641F0" w:rsidP="009641F0">
      <w:pPr>
        <w:spacing w:after="120"/>
        <w:jc w:val="both"/>
        <w:rPr>
          <w:rFonts w:ascii="Arial" w:eastAsia="Arial" w:hAnsi="Arial" w:cs="Arial"/>
          <w:szCs w:val="22"/>
          <w:lang w:val="es-PY"/>
        </w:rPr>
      </w:pPr>
      <w:r w:rsidRPr="00A064C4">
        <w:rPr>
          <w:rFonts w:ascii="Arial" w:eastAsia="Arial" w:hAnsi="Arial" w:cs="Arial"/>
          <w:szCs w:val="22"/>
          <w:lang w:val="es-PY"/>
        </w:rPr>
        <w:t xml:space="preserve">Los procesos de fabricación y sus estrategias de control se mejoran y optimizan de manera continua, especialmente durante las fases tempranas de los ensayos clínicos y en el desarrollo posterior hacia la autorización de comercialización. Estos cambios deben ser adecuadamente documentados y evaluados en el contexto de un ejercicio de comparabilidad apropiado para la fase. En general, estas mejoras y optimizaciones se consideran parte normal del trabajo de desarrollo y deben describirse de manera adecuada en el </w:t>
      </w:r>
      <w:r w:rsidR="00274220">
        <w:rPr>
          <w:rFonts w:ascii="Arial" w:eastAsia="Arial" w:hAnsi="Arial" w:cs="Arial"/>
          <w:szCs w:val="22"/>
          <w:lang w:val="es-PY"/>
        </w:rPr>
        <w:t>expediente del producto en investigación</w:t>
      </w:r>
      <w:r w:rsidRPr="00A064C4">
        <w:rPr>
          <w:rFonts w:ascii="Arial" w:eastAsia="Arial" w:hAnsi="Arial" w:cs="Arial"/>
          <w:szCs w:val="22"/>
          <w:lang w:val="es-PY"/>
        </w:rPr>
        <w:t>.</w:t>
      </w:r>
    </w:p>
    <w:p w:rsidR="009641F0" w:rsidRPr="0004442B" w:rsidRDefault="009641F0" w:rsidP="009641F0">
      <w:pPr>
        <w:spacing w:after="120"/>
        <w:jc w:val="both"/>
        <w:rPr>
          <w:rFonts w:ascii="Arial" w:eastAsia="Arial" w:hAnsi="Arial" w:cs="Arial"/>
          <w:i/>
          <w:szCs w:val="22"/>
          <w:lang w:val="es-PY"/>
        </w:rPr>
      </w:pPr>
      <w:r w:rsidRPr="0004442B">
        <w:rPr>
          <w:rFonts w:ascii="Arial" w:eastAsia="Arial" w:hAnsi="Arial" w:cs="Arial"/>
          <w:i/>
          <w:szCs w:val="22"/>
          <w:lang w:val="es-PY"/>
        </w:rPr>
        <w:t>-</w:t>
      </w:r>
      <w:r w:rsidRPr="0004442B">
        <w:rPr>
          <w:i/>
        </w:rPr>
        <w:t xml:space="preserve"> </w:t>
      </w:r>
      <w:r w:rsidRPr="0004442B">
        <w:rPr>
          <w:rFonts w:ascii="Arial" w:eastAsia="Arial" w:hAnsi="Arial" w:cs="Arial"/>
          <w:i/>
          <w:szCs w:val="22"/>
          <w:lang w:val="es-PY"/>
        </w:rPr>
        <w:t>Medicamento de terapia génica en investigación (GTMP)</w:t>
      </w:r>
    </w:p>
    <w:p w:rsidR="009641F0" w:rsidRDefault="009641F0" w:rsidP="009641F0">
      <w:pPr>
        <w:spacing w:after="120"/>
        <w:jc w:val="both"/>
        <w:rPr>
          <w:rFonts w:ascii="Arial" w:eastAsia="Arial" w:hAnsi="Arial" w:cs="Arial"/>
          <w:szCs w:val="22"/>
          <w:lang w:val="es-PY"/>
        </w:rPr>
      </w:pPr>
      <w:r w:rsidRPr="007F294D">
        <w:rPr>
          <w:rFonts w:ascii="Arial" w:eastAsia="Arial" w:hAnsi="Arial" w:cs="Arial"/>
          <w:szCs w:val="22"/>
          <w:lang w:val="es-PY"/>
        </w:rPr>
        <w:t xml:space="preserve">Se reconoce que, en particular para los medicamentos de terapia génica en investigación, solo puede producirse un número limitado de lotes de sustancia activa antes de la Solicitud de Autorización de Comercialización. Por lo tanto, es especialmente importante recopilar datos suficientemente detallados sobre el proceso de fabricación y los análisis de lote a lo largo del proceso de desarrollo, ya que estos pueden utilizarse como información de apoyo durante una solicitud de </w:t>
      </w:r>
      <w:r>
        <w:rPr>
          <w:rFonts w:ascii="Arial" w:eastAsia="Arial" w:hAnsi="Arial" w:cs="Arial"/>
          <w:szCs w:val="22"/>
          <w:lang w:val="es-PY"/>
        </w:rPr>
        <w:t>autorización</w:t>
      </w:r>
      <w:r w:rsidRPr="007F294D">
        <w:rPr>
          <w:rFonts w:ascii="Arial" w:eastAsia="Arial" w:hAnsi="Arial" w:cs="Arial"/>
          <w:szCs w:val="22"/>
          <w:lang w:val="es-PY"/>
        </w:rPr>
        <w:t>.</w:t>
      </w:r>
    </w:p>
    <w:p w:rsidR="009641F0" w:rsidRPr="00270D14" w:rsidRDefault="009641F0" w:rsidP="009641F0">
      <w:pPr>
        <w:spacing w:after="120"/>
        <w:jc w:val="both"/>
        <w:rPr>
          <w:rFonts w:ascii="Arial" w:eastAsia="Arial" w:hAnsi="Arial" w:cs="Arial"/>
          <w:b/>
          <w:szCs w:val="22"/>
          <w:lang w:val="es-PY"/>
        </w:rPr>
      </w:pPr>
      <w:r w:rsidRPr="00270D14">
        <w:rPr>
          <w:rFonts w:ascii="Arial" w:eastAsia="Arial" w:hAnsi="Arial" w:cs="Arial"/>
          <w:b/>
          <w:szCs w:val="22"/>
          <w:lang w:val="es-PY"/>
        </w:rPr>
        <w:t>Ejercicio de comparabilidad</w:t>
      </w:r>
    </w:p>
    <w:p w:rsidR="009641F0" w:rsidRPr="004F5119" w:rsidRDefault="009641F0" w:rsidP="009641F0">
      <w:pPr>
        <w:spacing w:after="120"/>
        <w:jc w:val="both"/>
        <w:rPr>
          <w:rFonts w:ascii="Arial" w:eastAsia="Arial" w:hAnsi="Arial" w:cs="Arial"/>
          <w:szCs w:val="22"/>
          <w:lang w:val="es-PY"/>
        </w:rPr>
      </w:pPr>
      <w:r w:rsidRPr="004F5119">
        <w:rPr>
          <w:rFonts w:ascii="Arial" w:eastAsia="Arial" w:hAnsi="Arial" w:cs="Arial"/>
          <w:szCs w:val="22"/>
          <w:lang w:val="es-PY"/>
        </w:rPr>
        <w:t xml:space="preserve">Si bien los cambios en el proceso de fabricación ocurren comúnmente durante el desarrollo, la naturaleza compleja y dinámica de los </w:t>
      </w:r>
      <w:proofErr w:type="spellStart"/>
      <w:r w:rsidRPr="004F5119">
        <w:rPr>
          <w:rFonts w:ascii="Arial" w:eastAsia="Arial" w:hAnsi="Arial" w:cs="Arial"/>
          <w:szCs w:val="22"/>
          <w:lang w:val="es-PY"/>
        </w:rPr>
        <w:t>ATMPs</w:t>
      </w:r>
      <w:proofErr w:type="spellEnd"/>
      <w:r w:rsidRPr="004F5119">
        <w:rPr>
          <w:rFonts w:ascii="Arial" w:eastAsia="Arial" w:hAnsi="Arial" w:cs="Arial"/>
          <w:szCs w:val="22"/>
          <w:lang w:val="es-PY"/>
        </w:rPr>
        <w:t xml:space="preserve"> representa un desafío para la evaluación del producto antes y después del cambio. En esta evaluación deben aplicarse métodos ortogonales y debe considerarse el impacto potencial sobre el producto en su totalidad, en lugar de sobre un único parámetro.</w:t>
      </w:r>
    </w:p>
    <w:p w:rsidR="009641F0" w:rsidRPr="004F5119" w:rsidRDefault="009641F0" w:rsidP="009641F0">
      <w:pPr>
        <w:spacing w:after="120"/>
        <w:jc w:val="both"/>
        <w:rPr>
          <w:rFonts w:ascii="Arial" w:eastAsia="Arial" w:hAnsi="Arial" w:cs="Arial"/>
          <w:szCs w:val="22"/>
          <w:lang w:val="es-PY"/>
        </w:rPr>
      </w:pPr>
      <w:r w:rsidRPr="004F5119">
        <w:rPr>
          <w:rFonts w:ascii="Arial" w:eastAsia="Arial" w:hAnsi="Arial" w:cs="Arial"/>
          <w:szCs w:val="22"/>
          <w:lang w:val="es-PY"/>
        </w:rPr>
        <w:t xml:space="preserve">Dependiendo de las consecuencias del cambio introducido y de la etapa de desarrollo, puede ser necesario un ejercicio de comparabilidad para asegurar que el cambio no tenga un impacto adverso en la calidad de la sustancia activa y, por lo tanto, en la seguridad esperada y la eficacia clínica del producto. El propósito principal de este ejercicio es proporcionar garantías de que los datos clínicos generados permanecen válidos a lo largo del desarrollo, que el producto posterior al cambio es adecuado para los próximos ensayos clínicos y que no plantea </w:t>
      </w:r>
      <w:r w:rsidRPr="004F5119">
        <w:rPr>
          <w:rFonts w:ascii="Arial" w:eastAsia="Arial" w:hAnsi="Arial" w:cs="Arial"/>
          <w:szCs w:val="22"/>
          <w:lang w:val="es-PY"/>
        </w:rPr>
        <w:lastRenderedPageBreak/>
        <w:t>preocupaciones respecto a la seguridad de los pacientes incluidos en el ensayo clínico.</w:t>
      </w:r>
    </w:p>
    <w:p w:rsidR="009641F0" w:rsidRDefault="009641F0" w:rsidP="009641F0">
      <w:pPr>
        <w:spacing w:after="120"/>
        <w:jc w:val="both"/>
        <w:rPr>
          <w:rFonts w:ascii="Arial" w:eastAsia="Arial" w:hAnsi="Arial" w:cs="Arial"/>
          <w:szCs w:val="22"/>
          <w:lang w:val="es-PY"/>
        </w:rPr>
      </w:pPr>
      <w:r w:rsidRPr="004F5119">
        <w:rPr>
          <w:rFonts w:ascii="Arial" w:eastAsia="Arial" w:hAnsi="Arial" w:cs="Arial"/>
          <w:szCs w:val="22"/>
          <w:lang w:val="es-PY"/>
        </w:rPr>
        <w:t>La magnitud del ejercicio de comparabilidad requerido depende de la naturaleza del cambio introducido y de la etapa de desarrollo. Durante las fases tempranas de los estudios no clínicos y clínicos, las pruebas de comparabilidad generalmente no son tan extensas como para un producto aprobado.</w:t>
      </w:r>
    </w:p>
    <w:p w:rsidR="009641F0" w:rsidRPr="00023939" w:rsidRDefault="009641F0" w:rsidP="009641F0">
      <w:pPr>
        <w:spacing w:after="120"/>
        <w:jc w:val="both"/>
        <w:rPr>
          <w:rFonts w:ascii="Arial" w:eastAsia="Arial" w:hAnsi="Arial" w:cs="Arial"/>
          <w:szCs w:val="22"/>
          <w:lang w:val="es-PY"/>
        </w:rPr>
      </w:pPr>
      <w:r w:rsidRPr="00023939">
        <w:rPr>
          <w:rFonts w:ascii="Arial" w:eastAsia="Arial" w:hAnsi="Arial" w:cs="Arial"/>
          <w:szCs w:val="22"/>
          <w:lang w:val="es-PY"/>
        </w:rPr>
        <w:t>Este ejercicio de comparabilidad debería normalmente seguir un enfoque por etapas, incluyendo la comparación de procesos, atributos de calidad de la sustancia activa y de los intermedios relevantes, utilizando métodos analíticos adecuados. Los métodos analíticos suelen incluir pruebas rutinarias y deben complementarse con pruebas adicionales de caracterización (incluyendo métodos ortogonales), según corresponda. Se recomienda desarrollar un panel de herramientas analíticas adecuadas para la comparabilidad desde las primeras fases del desarrollo. En este sentido, la caracterización biológica y los ensayos de potencia son los parámetros más importantes para realizar la comparabilidad en términos de calidad.</w:t>
      </w:r>
    </w:p>
    <w:p w:rsidR="009641F0" w:rsidRPr="00023939" w:rsidRDefault="009641F0" w:rsidP="009641F0">
      <w:pPr>
        <w:spacing w:after="120"/>
        <w:jc w:val="both"/>
        <w:rPr>
          <w:rFonts w:ascii="Arial" w:eastAsia="Arial" w:hAnsi="Arial" w:cs="Arial"/>
          <w:szCs w:val="22"/>
          <w:lang w:val="es-PY"/>
        </w:rPr>
      </w:pPr>
      <w:r w:rsidRPr="00023939">
        <w:rPr>
          <w:rFonts w:ascii="Arial" w:eastAsia="Arial" w:hAnsi="Arial" w:cs="Arial"/>
          <w:szCs w:val="22"/>
          <w:lang w:val="es-PY"/>
        </w:rPr>
        <w:t xml:space="preserve">Cuando solo se hayan generado datos no clínicos, antes de la exposición clínica, los resultados analíticos deben respaldar la filiación de los datos de seguridad, es decir, demostrar la seguridad no clínica de un producto que sea representativo, desde una perspectiva de calidad, de aquel que se utilizará en ensayos exploratorios. Para los ensayos confirmatorios, se espera que el ejercicio de comparabilidad sea exhaustivo. La introducción de cambios sustanciales en la fabricación durante estudios clínicos fundamentales en apoyo de una Solicitud de Autorización de Comercialización debería preferentemente evitarse, ya que la demostración de comparabilidad es difícil para </w:t>
      </w:r>
      <w:proofErr w:type="spellStart"/>
      <w:r w:rsidRPr="00023939">
        <w:rPr>
          <w:rFonts w:ascii="Arial" w:eastAsia="Arial" w:hAnsi="Arial" w:cs="Arial"/>
          <w:szCs w:val="22"/>
          <w:lang w:val="es-PY"/>
        </w:rPr>
        <w:t>ATMPs</w:t>
      </w:r>
      <w:proofErr w:type="spellEnd"/>
      <w:r w:rsidRPr="00023939">
        <w:rPr>
          <w:rFonts w:ascii="Arial" w:eastAsia="Arial" w:hAnsi="Arial" w:cs="Arial"/>
          <w:szCs w:val="22"/>
          <w:lang w:val="es-PY"/>
        </w:rPr>
        <w:t xml:space="preserve"> complejos y una comparabilidad potencialmente poco clara puede afectar la aceptabilidad de los datos en la </w:t>
      </w:r>
      <w:r>
        <w:rPr>
          <w:rFonts w:ascii="Arial" w:eastAsia="Arial" w:hAnsi="Arial" w:cs="Arial"/>
          <w:szCs w:val="22"/>
          <w:lang w:val="es-PY"/>
        </w:rPr>
        <w:t>autorización de comercialización</w:t>
      </w:r>
      <w:r w:rsidRPr="00023939">
        <w:rPr>
          <w:rFonts w:ascii="Arial" w:eastAsia="Arial" w:hAnsi="Arial" w:cs="Arial"/>
          <w:szCs w:val="22"/>
          <w:lang w:val="es-PY"/>
        </w:rPr>
        <w:t>.</w:t>
      </w:r>
    </w:p>
    <w:p w:rsidR="009641F0" w:rsidRPr="00023939" w:rsidRDefault="009641F0" w:rsidP="009641F0">
      <w:pPr>
        <w:spacing w:after="120"/>
        <w:jc w:val="both"/>
        <w:rPr>
          <w:rFonts w:ascii="Arial" w:eastAsia="Arial" w:hAnsi="Arial" w:cs="Arial"/>
          <w:szCs w:val="22"/>
          <w:lang w:val="es-PY"/>
        </w:rPr>
      </w:pPr>
      <w:r w:rsidRPr="00023939">
        <w:rPr>
          <w:rFonts w:ascii="Arial" w:eastAsia="Arial" w:hAnsi="Arial" w:cs="Arial"/>
          <w:szCs w:val="22"/>
          <w:lang w:val="es-PY"/>
        </w:rPr>
        <w:t>Cuando la información relevante no sea suficiente para evaluar las consecuencias introducidas por el cambio y si no puede excluirse un riesgo potencial para los pacientes, un ejercicio de comparabilidad basado únicamente en consideraciones de calidad probablemente no será suficiente y podrían requerirse datos no clínicos adicionales relevantes.</w:t>
      </w:r>
    </w:p>
    <w:p w:rsidR="009641F0" w:rsidRPr="00023939" w:rsidRDefault="009641F0" w:rsidP="009641F0">
      <w:pPr>
        <w:spacing w:after="120"/>
        <w:jc w:val="both"/>
        <w:rPr>
          <w:rFonts w:ascii="Arial" w:eastAsia="Arial" w:hAnsi="Arial" w:cs="Arial"/>
          <w:szCs w:val="22"/>
          <w:lang w:val="es-PY"/>
        </w:rPr>
      </w:pPr>
      <w:r w:rsidRPr="00023939">
        <w:rPr>
          <w:rFonts w:ascii="Arial" w:eastAsia="Arial" w:hAnsi="Arial" w:cs="Arial"/>
          <w:szCs w:val="22"/>
          <w:lang w:val="es-PY"/>
        </w:rPr>
        <w:t>Es particularmente importante que todas las versiones del proceso de fabricación relevantes para el análisis no clínico y clínico sean plenamente evaluadas, justificadas y rastreadas dentro del expediente en evolución.</w:t>
      </w:r>
    </w:p>
    <w:p w:rsidR="009641F0" w:rsidRDefault="009641F0" w:rsidP="009641F0">
      <w:pPr>
        <w:spacing w:after="120"/>
        <w:jc w:val="both"/>
        <w:rPr>
          <w:rFonts w:ascii="Arial" w:eastAsia="Arial" w:hAnsi="Arial" w:cs="Arial"/>
          <w:szCs w:val="22"/>
          <w:lang w:val="es-PY"/>
        </w:rPr>
      </w:pPr>
      <w:r w:rsidRPr="00023939">
        <w:rPr>
          <w:rFonts w:ascii="Arial" w:eastAsia="Arial" w:hAnsi="Arial" w:cs="Arial"/>
          <w:szCs w:val="22"/>
          <w:lang w:val="es-PY"/>
        </w:rPr>
        <w:lastRenderedPageBreak/>
        <w:t xml:space="preserve">En el caso de </w:t>
      </w:r>
      <w:proofErr w:type="spellStart"/>
      <w:r w:rsidRPr="00023939">
        <w:rPr>
          <w:rFonts w:ascii="Arial" w:eastAsia="Arial" w:hAnsi="Arial" w:cs="Arial"/>
          <w:szCs w:val="22"/>
          <w:lang w:val="es-PY"/>
        </w:rPr>
        <w:t>ATMPs</w:t>
      </w:r>
      <w:proofErr w:type="spellEnd"/>
      <w:r w:rsidRPr="00023939">
        <w:rPr>
          <w:rFonts w:ascii="Arial" w:eastAsia="Arial" w:hAnsi="Arial" w:cs="Arial"/>
          <w:szCs w:val="22"/>
          <w:lang w:val="es-PY"/>
        </w:rPr>
        <w:t xml:space="preserve"> complejos basados en células con una arquitectura tridimensional (p. ej., </w:t>
      </w:r>
      <w:r w:rsidR="00D768EF">
        <w:rPr>
          <w:rFonts w:ascii="Arial" w:eastAsia="Arial" w:hAnsi="Arial" w:cs="Arial"/>
          <w:szCs w:val="22"/>
          <w:lang w:val="es-PY"/>
        </w:rPr>
        <w:t>estructuras de soporte</w:t>
      </w:r>
      <w:r w:rsidRPr="00023939">
        <w:rPr>
          <w:rFonts w:ascii="Arial" w:eastAsia="Arial" w:hAnsi="Arial" w:cs="Arial"/>
          <w:szCs w:val="22"/>
          <w:lang w:val="es-PY"/>
        </w:rPr>
        <w:t>), la caracterización ampliada para la comparabilidad debe considerar posibles cambios estructurales, así como cambios funcionales.</w:t>
      </w:r>
    </w:p>
    <w:p w:rsidR="009641F0" w:rsidRDefault="009641F0" w:rsidP="009641F0">
      <w:pPr>
        <w:spacing w:after="120"/>
        <w:jc w:val="both"/>
        <w:rPr>
          <w:rFonts w:ascii="Arial" w:eastAsia="Arial" w:hAnsi="Arial" w:cs="Arial"/>
          <w:szCs w:val="22"/>
          <w:lang w:val="es-PY"/>
        </w:rPr>
      </w:pPr>
      <w:r w:rsidRPr="00EF6B28">
        <w:rPr>
          <w:rFonts w:ascii="Arial" w:eastAsia="Arial" w:hAnsi="Arial" w:cs="Arial"/>
          <w:szCs w:val="22"/>
          <w:lang w:val="es-PY"/>
        </w:rPr>
        <w:t>Se recomienda conservar muestras de materiales de partida críticos, intermedios, sustancia activa y producto terminado, cuando sea posible, en caso de que se requieran estudios de comparabilidad durante el desarrollo futuro del producto o después de la autorización.</w:t>
      </w:r>
    </w:p>
    <w:p w:rsidR="009641F0" w:rsidRPr="00346E24" w:rsidRDefault="009641F0" w:rsidP="009641F0">
      <w:pPr>
        <w:spacing w:after="120"/>
        <w:jc w:val="both"/>
        <w:rPr>
          <w:rFonts w:ascii="Arial" w:eastAsia="Arial" w:hAnsi="Arial" w:cs="Arial"/>
          <w:b/>
          <w:i/>
          <w:szCs w:val="22"/>
          <w:lang w:val="es-PY"/>
        </w:rPr>
      </w:pPr>
      <w:r w:rsidRPr="00346E24">
        <w:rPr>
          <w:rFonts w:ascii="Arial" w:eastAsia="Arial" w:hAnsi="Arial" w:cs="Arial"/>
          <w:b/>
          <w:i/>
          <w:szCs w:val="22"/>
          <w:lang w:val="es-PY"/>
        </w:rPr>
        <w:t>S.3. Caracterización</w:t>
      </w:r>
    </w:p>
    <w:p w:rsidR="009641F0" w:rsidRPr="00AD37C2" w:rsidRDefault="009641F0" w:rsidP="009641F0">
      <w:pPr>
        <w:spacing w:after="120"/>
        <w:jc w:val="both"/>
        <w:rPr>
          <w:rFonts w:ascii="Arial" w:eastAsia="Arial" w:hAnsi="Arial" w:cs="Arial"/>
          <w:szCs w:val="22"/>
          <w:lang w:val="es-PY"/>
        </w:rPr>
      </w:pPr>
      <w:r w:rsidRPr="00AD37C2">
        <w:rPr>
          <w:rFonts w:ascii="Arial" w:eastAsia="Arial" w:hAnsi="Arial" w:cs="Arial"/>
          <w:szCs w:val="22"/>
          <w:lang w:val="es-PY"/>
        </w:rPr>
        <w:t>Los estudios de caracterización que incluyen la determinación de la estructura, propiedades físico-químicas, actividad biológica, propiedades inmunoquímicas, pureza e impurezas</w:t>
      </w:r>
      <w:r>
        <w:rPr>
          <w:rFonts w:ascii="Arial" w:eastAsia="Arial" w:hAnsi="Arial" w:cs="Arial"/>
          <w:szCs w:val="22"/>
          <w:lang w:val="es-PY"/>
        </w:rPr>
        <w:t>,</w:t>
      </w:r>
      <w:r w:rsidRPr="00AD37C2">
        <w:rPr>
          <w:rFonts w:ascii="Arial" w:eastAsia="Arial" w:hAnsi="Arial" w:cs="Arial"/>
          <w:szCs w:val="22"/>
          <w:lang w:val="es-PY"/>
        </w:rPr>
        <w:t xml:space="preserve"> deben realizarse a lo largo del proceso de desarrollo, resultando en una comprensión y conocimiento exhaustivos de la sustancia activa del ATMP en investigación. El conocimiento adquirido en los estudios de caracterización mediante técnicas apropiadas es necesario para identificar parámetros de calidad relacionados con la eficacia y la seguridad, y para facilitar el establecimiento de especificaciones adecuadas. La referencia exclusiva a datos bibliográficos no es aceptable.</w:t>
      </w:r>
    </w:p>
    <w:p w:rsidR="009641F0" w:rsidRPr="00AD37C2" w:rsidRDefault="009641F0" w:rsidP="009641F0">
      <w:pPr>
        <w:spacing w:after="120"/>
        <w:jc w:val="both"/>
        <w:rPr>
          <w:rFonts w:ascii="Arial" w:eastAsia="Arial" w:hAnsi="Arial" w:cs="Arial"/>
          <w:szCs w:val="22"/>
          <w:lang w:val="es-PY"/>
        </w:rPr>
      </w:pPr>
      <w:r w:rsidRPr="00AD37C2">
        <w:rPr>
          <w:rFonts w:ascii="Arial" w:eastAsia="Arial" w:hAnsi="Arial" w:cs="Arial"/>
          <w:szCs w:val="22"/>
          <w:lang w:val="es-PY"/>
        </w:rPr>
        <w:t>Se debe realizar una caracterización suficiente para definir el perfil del producto durante la fase de desarrollo previa a los ensayos clínicos de primera administración en humanos y, cuando sea necesario, tras cambios significativos en el proceso. Los datos de caracterización pueden abarcar información obtenida a lo largo del desarrollo y/o del proceso de fabricación y deben reflejar el conocimiento más completo de la sustancia activa.</w:t>
      </w:r>
    </w:p>
    <w:p w:rsidR="009641F0" w:rsidRDefault="009641F0" w:rsidP="009641F0">
      <w:pPr>
        <w:spacing w:after="120"/>
        <w:jc w:val="both"/>
        <w:rPr>
          <w:rFonts w:ascii="Arial" w:eastAsia="Arial" w:hAnsi="Arial" w:cs="Arial"/>
          <w:szCs w:val="22"/>
          <w:lang w:val="es-PY"/>
        </w:rPr>
      </w:pPr>
      <w:r w:rsidRPr="00AD37C2">
        <w:rPr>
          <w:rFonts w:ascii="Arial" w:eastAsia="Arial" w:hAnsi="Arial" w:cs="Arial"/>
          <w:szCs w:val="22"/>
          <w:lang w:val="es-PY"/>
        </w:rPr>
        <w:t xml:space="preserve">La caracterización constituye también la base para los estudios de comparabilidad y estabilidad. Si el ATMP en investigación incluye múltiples componentes (p. ej., celulares o </w:t>
      </w:r>
      <w:r>
        <w:rPr>
          <w:rFonts w:ascii="Arial" w:eastAsia="Arial" w:hAnsi="Arial" w:cs="Arial"/>
          <w:szCs w:val="22"/>
          <w:lang w:val="es-PY"/>
        </w:rPr>
        <w:t>productos</w:t>
      </w:r>
      <w:r w:rsidRPr="00AD37C2">
        <w:rPr>
          <w:rFonts w:ascii="Arial" w:eastAsia="Arial" w:hAnsi="Arial" w:cs="Arial"/>
          <w:szCs w:val="22"/>
          <w:lang w:val="es-PY"/>
        </w:rPr>
        <w:t xml:space="preserve"> nucleicos recombinantes), es probable que se requieran datos de caracterización tanto para cada componente como para la sustancia activa.</w:t>
      </w:r>
    </w:p>
    <w:p w:rsidR="009641F0" w:rsidRPr="009F1BDD" w:rsidRDefault="009641F0" w:rsidP="009641F0">
      <w:pPr>
        <w:spacing w:after="120"/>
        <w:jc w:val="both"/>
        <w:rPr>
          <w:rFonts w:ascii="Arial" w:eastAsia="Arial" w:hAnsi="Arial" w:cs="Arial"/>
          <w:b/>
          <w:i/>
          <w:szCs w:val="22"/>
          <w:lang w:val="es-PY"/>
        </w:rPr>
      </w:pPr>
      <w:r w:rsidRPr="009F1BDD">
        <w:rPr>
          <w:rFonts w:ascii="Arial" w:eastAsia="Arial" w:hAnsi="Arial" w:cs="Arial"/>
          <w:b/>
          <w:i/>
          <w:szCs w:val="22"/>
          <w:lang w:val="es-PY"/>
        </w:rPr>
        <w:t xml:space="preserve">S.3.1. Elucidación de la estructura y otras características </w:t>
      </w:r>
    </w:p>
    <w:p w:rsidR="009641F0" w:rsidRPr="009F1BDD" w:rsidRDefault="009641F0" w:rsidP="009641F0">
      <w:pPr>
        <w:spacing w:after="120"/>
        <w:jc w:val="both"/>
        <w:rPr>
          <w:rFonts w:ascii="Arial" w:eastAsia="Arial" w:hAnsi="Arial" w:cs="Arial"/>
          <w:szCs w:val="22"/>
          <w:lang w:val="es-PY"/>
        </w:rPr>
      </w:pPr>
      <w:r w:rsidRPr="009F1BDD">
        <w:rPr>
          <w:rFonts w:ascii="Arial" w:eastAsia="Arial" w:hAnsi="Arial" w:cs="Arial"/>
          <w:szCs w:val="22"/>
          <w:lang w:val="es-PY"/>
        </w:rPr>
        <w:t>La caracterización de la actividad biológica de la sustancia activa es esencial, y la estrategia para demostrar dicha actividad biológica debe ser explicada y justificada. Se espera que la cantidad de datos que demuestran la caracterización de la actividad biológica aumente a medida que progresa el desarrollo del producto.</w:t>
      </w:r>
    </w:p>
    <w:p w:rsidR="009641F0" w:rsidRPr="009F1BDD" w:rsidRDefault="009641F0" w:rsidP="009641F0">
      <w:pPr>
        <w:spacing w:after="120"/>
        <w:jc w:val="both"/>
        <w:rPr>
          <w:rFonts w:ascii="Arial" w:eastAsia="Arial" w:hAnsi="Arial" w:cs="Arial"/>
          <w:szCs w:val="22"/>
          <w:lang w:val="es-PY"/>
        </w:rPr>
      </w:pPr>
      <w:r w:rsidRPr="009F1BDD">
        <w:rPr>
          <w:rFonts w:ascii="Arial" w:eastAsia="Arial" w:hAnsi="Arial" w:cs="Arial"/>
          <w:szCs w:val="22"/>
          <w:lang w:val="es-PY"/>
        </w:rPr>
        <w:lastRenderedPageBreak/>
        <w:t>La potencia es la medida cuantitativa de la actividad biológica, la cual está relacionada con las propiedades biológicas relevantes y con el mecanismo de acción declarado de la sustancia activa. Los métodos utilizados para la caracterización y evaluación de la actividad biológica ayudarán a definir el ensayo de potencia correspondiente. En general, uno (o más) de los métodos empleados para la caracterización de la actividad biológica de la sustancia activa se desarrollará como un ensayo cuantitativo y se definirá como la prueba de potencia para la liberación. Se pueden considerar marcadores sustitutos de potencia para las pruebas de liberación, pero se requiere una justificación adecuada de su relevancia en el contexto de la acción prevista del ATMP en investigación. Se recomienda encarecidamente desarrollar métodos adecuados para medir cuantitativamente la actividad biológica lo antes posible. Un ensayo de potencia apropiado debe estar disponible cuando se produzca material para el ensayo clínico de primera administración en humanos.</w:t>
      </w:r>
    </w:p>
    <w:p w:rsidR="009641F0" w:rsidRDefault="009641F0" w:rsidP="009641F0">
      <w:pPr>
        <w:spacing w:after="120"/>
        <w:jc w:val="both"/>
        <w:rPr>
          <w:rFonts w:ascii="Arial" w:eastAsia="Arial" w:hAnsi="Arial" w:cs="Arial"/>
          <w:szCs w:val="22"/>
          <w:lang w:val="es-PY"/>
        </w:rPr>
      </w:pPr>
      <w:r w:rsidRPr="009F1BDD">
        <w:rPr>
          <w:rFonts w:ascii="Arial" w:eastAsia="Arial" w:hAnsi="Arial" w:cs="Arial"/>
          <w:szCs w:val="22"/>
          <w:lang w:val="es-PY"/>
        </w:rPr>
        <w:t xml:space="preserve">Las pruebas de potencia </w:t>
      </w:r>
      <w:r w:rsidRPr="00DA5843">
        <w:rPr>
          <w:rFonts w:ascii="Arial" w:eastAsia="Arial" w:hAnsi="Arial" w:cs="Arial"/>
          <w:i/>
          <w:szCs w:val="22"/>
          <w:lang w:val="es-PY"/>
        </w:rPr>
        <w:t>in vivo</w:t>
      </w:r>
      <w:r w:rsidRPr="009F1BDD">
        <w:rPr>
          <w:rFonts w:ascii="Arial" w:eastAsia="Arial" w:hAnsi="Arial" w:cs="Arial"/>
          <w:szCs w:val="22"/>
          <w:lang w:val="es-PY"/>
        </w:rPr>
        <w:t xml:space="preserve"> deberían evitarse en general. Cuando las pruebas </w:t>
      </w:r>
      <w:r w:rsidRPr="00892E4C">
        <w:rPr>
          <w:rFonts w:ascii="Arial" w:eastAsia="Arial" w:hAnsi="Arial" w:cs="Arial"/>
          <w:i/>
          <w:szCs w:val="22"/>
          <w:lang w:val="es-PY"/>
        </w:rPr>
        <w:t>in vivo</w:t>
      </w:r>
      <w:r w:rsidRPr="009F1BDD">
        <w:rPr>
          <w:rFonts w:ascii="Arial" w:eastAsia="Arial" w:hAnsi="Arial" w:cs="Arial"/>
          <w:szCs w:val="22"/>
          <w:lang w:val="es-PY"/>
        </w:rPr>
        <w:t xml:space="preserve"> sean inevitables, deben justificarse de acuerdo con los principios de las 3R (reemplazo, reducción y refinamiento). Las pruebas de potencia </w:t>
      </w:r>
      <w:r w:rsidRPr="00892E4C">
        <w:rPr>
          <w:rFonts w:ascii="Arial" w:eastAsia="Arial" w:hAnsi="Arial" w:cs="Arial"/>
          <w:i/>
          <w:szCs w:val="22"/>
          <w:lang w:val="es-PY"/>
        </w:rPr>
        <w:t>in vivo</w:t>
      </w:r>
      <w:r w:rsidRPr="009F1BDD">
        <w:rPr>
          <w:rFonts w:ascii="Arial" w:eastAsia="Arial" w:hAnsi="Arial" w:cs="Arial"/>
          <w:szCs w:val="22"/>
          <w:lang w:val="es-PY"/>
        </w:rPr>
        <w:t xml:space="preserve"> deben ser reemplazadas por pruebas </w:t>
      </w:r>
      <w:r w:rsidRPr="00FC5D6B">
        <w:rPr>
          <w:rFonts w:ascii="Arial" w:eastAsia="Arial" w:hAnsi="Arial" w:cs="Arial"/>
          <w:i/>
          <w:szCs w:val="22"/>
          <w:lang w:val="es-PY"/>
        </w:rPr>
        <w:t>in vitro</w:t>
      </w:r>
      <w:r w:rsidRPr="009F1BDD">
        <w:rPr>
          <w:rFonts w:ascii="Arial" w:eastAsia="Arial" w:hAnsi="Arial" w:cs="Arial"/>
          <w:szCs w:val="22"/>
          <w:lang w:val="es-PY"/>
        </w:rPr>
        <w:t xml:space="preserve"> siempre que sea posible antes de los ensayos clínicos confirmatorios.</w:t>
      </w:r>
    </w:p>
    <w:p w:rsidR="009641F0" w:rsidRPr="003D0288" w:rsidRDefault="009641F0" w:rsidP="009641F0">
      <w:pPr>
        <w:spacing w:after="120"/>
        <w:jc w:val="both"/>
        <w:rPr>
          <w:rFonts w:ascii="Arial" w:eastAsia="Arial" w:hAnsi="Arial" w:cs="Arial"/>
          <w:b/>
          <w:szCs w:val="22"/>
          <w:lang w:val="es-PY"/>
        </w:rPr>
      </w:pPr>
      <w:r w:rsidRPr="003D0288">
        <w:rPr>
          <w:rFonts w:ascii="Arial" w:eastAsia="Arial" w:hAnsi="Arial" w:cs="Arial"/>
          <w:b/>
          <w:szCs w:val="22"/>
          <w:lang w:val="es-PY"/>
        </w:rPr>
        <w:t xml:space="preserve">Estudios de caracterización de </w:t>
      </w:r>
      <w:proofErr w:type="spellStart"/>
      <w:r w:rsidRPr="003D0288">
        <w:rPr>
          <w:rFonts w:ascii="Arial" w:eastAsia="Arial" w:hAnsi="Arial" w:cs="Arial"/>
          <w:b/>
          <w:szCs w:val="22"/>
          <w:lang w:val="es-PY"/>
        </w:rPr>
        <w:t>ATMPs</w:t>
      </w:r>
      <w:proofErr w:type="spellEnd"/>
      <w:r w:rsidRPr="003D0288">
        <w:rPr>
          <w:rFonts w:ascii="Arial" w:eastAsia="Arial" w:hAnsi="Arial" w:cs="Arial"/>
          <w:b/>
          <w:szCs w:val="22"/>
          <w:lang w:val="es-PY"/>
        </w:rPr>
        <w:t xml:space="preserve"> basados en células </w:t>
      </w:r>
      <w:r>
        <w:rPr>
          <w:rFonts w:ascii="Arial" w:eastAsia="Arial" w:hAnsi="Arial" w:cs="Arial"/>
          <w:b/>
          <w:szCs w:val="22"/>
          <w:lang w:val="es-PY"/>
        </w:rPr>
        <w:t>(</w:t>
      </w:r>
      <w:r w:rsidRPr="003D0288">
        <w:rPr>
          <w:rFonts w:ascii="Arial" w:eastAsia="Arial" w:hAnsi="Arial" w:cs="Arial"/>
          <w:b/>
          <w:szCs w:val="22"/>
          <w:lang w:val="es-PY"/>
        </w:rPr>
        <w:t>en investigación</w:t>
      </w:r>
      <w:r>
        <w:rPr>
          <w:rFonts w:ascii="Arial" w:eastAsia="Arial" w:hAnsi="Arial" w:cs="Arial"/>
          <w:b/>
          <w:szCs w:val="22"/>
          <w:lang w:val="es-PY"/>
        </w:rPr>
        <w:t>)</w:t>
      </w:r>
    </w:p>
    <w:p w:rsidR="009641F0" w:rsidRPr="003D0288" w:rsidRDefault="009641F0" w:rsidP="009641F0">
      <w:pPr>
        <w:spacing w:after="120"/>
        <w:jc w:val="both"/>
        <w:rPr>
          <w:rFonts w:ascii="Arial" w:eastAsia="Arial" w:hAnsi="Arial" w:cs="Arial"/>
          <w:szCs w:val="22"/>
          <w:lang w:val="es-PY"/>
        </w:rPr>
      </w:pPr>
      <w:r w:rsidRPr="003D0288">
        <w:rPr>
          <w:rFonts w:ascii="Arial" w:eastAsia="Arial" w:hAnsi="Arial" w:cs="Arial"/>
          <w:szCs w:val="22"/>
          <w:lang w:val="es-PY"/>
        </w:rPr>
        <w:t>La caracterización debe abarcar todos los componentes presentes en la sustancia activa o en el producto terminado en caso de fabricación continua. La caracterización puede resultar particularmente desafiante cuando las células se combinan con matrices, andamios y dispositivos innovadores.</w:t>
      </w:r>
    </w:p>
    <w:p w:rsidR="009641F0" w:rsidRPr="003D0288" w:rsidRDefault="009641F0" w:rsidP="009641F0">
      <w:pPr>
        <w:spacing w:after="120"/>
        <w:jc w:val="both"/>
        <w:rPr>
          <w:rFonts w:ascii="Arial" w:eastAsia="Arial" w:hAnsi="Arial" w:cs="Arial"/>
          <w:szCs w:val="22"/>
          <w:lang w:val="es-PY"/>
        </w:rPr>
      </w:pPr>
      <w:r w:rsidRPr="003D0288">
        <w:rPr>
          <w:rFonts w:ascii="Arial" w:eastAsia="Arial" w:hAnsi="Arial" w:cs="Arial"/>
          <w:szCs w:val="22"/>
          <w:lang w:val="es-PY"/>
        </w:rPr>
        <w:t>Como mínimo, la caracterización del componente celular debe establecerse en términos de identidad, pureza, impurezas, viabilidad, cantidad (número de células) y potencia.</w:t>
      </w:r>
    </w:p>
    <w:p w:rsidR="009641F0" w:rsidRDefault="009641F0" w:rsidP="009641F0">
      <w:pPr>
        <w:spacing w:after="120"/>
        <w:jc w:val="both"/>
        <w:rPr>
          <w:rFonts w:ascii="Arial" w:eastAsia="Arial" w:hAnsi="Arial" w:cs="Arial"/>
          <w:szCs w:val="22"/>
          <w:lang w:val="es-PY"/>
        </w:rPr>
      </w:pPr>
      <w:r w:rsidRPr="003D0288">
        <w:rPr>
          <w:rFonts w:ascii="Arial" w:eastAsia="Arial" w:hAnsi="Arial" w:cs="Arial"/>
          <w:szCs w:val="22"/>
          <w:lang w:val="es-PY"/>
        </w:rPr>
        <w:t>Se señala que, en un producto combinado, las características tanto de los componentes celulares como de los no celulares pueden verse alteradas por el proceso de integración.</w:t>
      </w:r>
    </w:p>
    <w:p w:rsidR="009641F0" w:rsidRPr="000D1313" w:rsidRDefault="009641F0" w:rsidP="009641F0">
      <w:pPr>
        <w:spacing w:after="120"/>
        <w:jc w:val="both"/>
        <w:rPr>
          <w:rFonts w:ascii="Arial" w:eastAsia="Arial" w:hAnsi="Arial" w:cs="Arial"/>
          <w:i/>
          <w:szCs w:val="22"/>
          <w:lang w:val="es-PY"/>
        </w:rPr>
      </w:pPr>
      <w:r w:rsidRPr="000D1313">
        <w:rPr>
          <w:rFonts w:ascii="Arial" w:eastAsia="Arial" w:hAnsi="Arial" w:cs="Arial"/>
          <w:i/>
          <w:szCs w:val="22"/>
          <w:lang w:val="es-PY"/>
        </w:rPr>
        <w:t>-</w:t>
      </w:r>
      <w:r w:rsidRPr="000D1313">
        <w:rPr>
          <w:i/>
        </w:rPr>
        <w:t xml:space="preserve"> </w:t>
      </w:r>
      <w:r w:rsidRPr="000D1313">
        <w:rPr>
          <w:rFonts w:ascii="Arial" w:eastAsia="Arial" w:hAnsi="Arial" w:cs="Arial"/>
          <w:i/>
          <w:szCs w:val="22"/>
          <w:lang w:val="es-PY"/>
        </w:rPr>
        <w:t xml:space="preserve">Componente celular </w:t>
      </w:r>
    </w:p>
    <w:p w:rsidR="009641F0" w:rsidRPr="000D1313" w:rsidRDefault="009641F0" w:rsidP="009641F0">
      <w:pPr>
        <w:spacing w:after="120"/>
        <w:jc w:val="both"/>
        <w:rPr>
          <w:rFonts w:ascii="Arial" w:eastAsia="Arial" w:hAnsi="Arial" w:cs="Arial"/>
          <w:szCs w:val="22"/>
          <w:lang w:val="es-PY"/>
        </w:rPr>
      </w:pPr>
      <w:r w:rsidRPr="000D1313">
        <w:rPr>
          <w:rFonts w:ascii="Arial" w:eastAsia="Arial" w:hAnsi="Arial" w:cs="Arial"/>
          <w:szCs w:val="22"/>
          <w:lang w:val="es-PY"/>
        </w:rPr>
        <w:t>La identidad de los componentes celulares, dependiendo de la población y el origen celular, debe caracterizarse en términos de perfiles fenotípicos y/o genotípicos.</w:t>
      </w:r>
    </w:p>
    <w:p w:rsidR="009641F0" w:rsidRPr="000D1313" w:rsidRDefault="009641F0" w:rsidP="009641F0">
      <w:pPr>
        <w:spacing w:after="120"/>
        <w:jc w:val="both"/>
        <w:rPr>
          <w:rFonts w:ascii="Arial" w:eastAsia="Arial" w:hAnsi="Arial" w:cs="Arial"/>
          <w:szCs w:val="22"/>
          <w:lang w:val="es-PY"/>
        </w:rPr>
      </w:pPr>
      <w:r w:rsidRPr="000D1313">
        <w:rPr>
          <w:rFonts w:ascii="Arial" w:eastAsia="Arial" w:hAnsi="Arial" w:cs="Arial"/>
          <w:szCs w:val="22"/>
          <w:lang w:val="es-PY"/>
        </w:rPr>
        <w:t xml:space="preserve">Al abordar el fenotipo de las células, deben utilizarse marcadores de identidad relevantes. Estos marcadores pueden basarse en la expresión génica o de </w:t>
      </w:r>
      <w:r w:rsidRPr="000D1313">
        <w:rPr>
          <w:rFonts w:ascii="Arial" w:eastAsia="Arial" w:hAnsi="Arial" w:cs="Arial"/>
          <w:szCs w:val="22"/>
          <w:lang w:val="es-PY"/>
        </w:rPr>
        <w:lastRenderedPageBreak/>
        <w:t>marcadores de superficie, la capacidad de presentar antígenos, actividades bioquímicas o inmunológicas, respuesta a estímulos exógenos, capacidad de producir moléculas biológicamente activas u otras moléculas medibles, etc. Deben ser adecuados para la(s) población(es) celular(es) previstas y basarse en la comprensión del mecanismo biológico o molecular de la terapia propuesta.</w:t>
      </w:r>
    </w:p>
    <w:p w:rsidR="009641F0" w:rsidRPr="000D1313" w:rsidRDefault="009641F0" w:rsidP="009641F0">
      <w:pPr>
        <w:spacing w:after="120"/>
        <w:jc w:val="both"/>
        <w:rPr>
          <w:rFonts w:ascii="Arial" w:eastAsia="Arial" w:hAnsi="Arial" w:cs="Arial"/>
          <w:szCs w:val="22"/>
          <w:lang w:val="es-PY"/>
        </w:rPr>
      </w:pPr>
      <w:r w:rsidRPr="000D1313">
        <w:rPr>
          <w:rFonts w:ascii="Arial" w:eastAsia="Arial" w:hAnsi="Arial" w:cs="Arial"/>
          <w:szCs w:val="22"/>
          <w:lang w:val="es-PY"/>
        </w:rPr>
        <w:t xml:space="preserve">Para células adherentes, el análisis morfológico puede ser una herramienta útil en combinación con otras pruebas, mientras que para células madre podrían ser apropiados marcadores de </w:t>
      </w:r>
      <w:proofErr w:type="spellStart"/>
      <w:r w:rsidRPr="000D1313">
        <w:rPr>
          <w:rFonts w:ascii="Arial" w:eastAsia="Arial" w:hAnsi="Arial" w:cs="Arial"/>
          <w:szCs w:val="22"/>
          <w:lang w:val="es-PY"/>
        </w:rPr>
        <w:t>pluripotencia</w:t>
      </w:r>
      <w:proofErr w:type="spellEnd"/>
      <w:r w:rsidRPr="000D1313">
        <w:rPr>
          <w:rFonts w:ascii="Arial" w:eastAsia="Arial" w:hAnsi="Arial" w:cs="Arial"/>
          <w:szCs w:val="22"/>
          <w:lang w:val="es-PY"/>
        </w:rPr>
        <w:t>, compromiso de linaje o estado de diferenciación.</w:t>
      </w:r>
    </w:p>
    <w:p w:rsidR="009641F0" w:rsidRPr="000D1313" w:rsidRDefault="009641F0" w:rsidP="009641F0">
      <w:pPr>
        <w:spacing w:after="120"/>
        <w:jc w:val="both"/>
        <w:rPr>
          <w:rFonts w:ascii="Arial" w:eastAsia="Arial" w:hAnsi="Arial" w:cs="Arial"/>
          <w:szCs w:val="22"/>
          <w:lang w:val="es-PY"/>
        </w:rPr>
      </w:pPr>
      <w:r w:rsidRPr="000D1313">
        <w:rPr>
          <w:rFonts w:ascii="Arial" w:eastAsia="Arial" w:hAnsi="Arial" w:cs="Arial"/>
          <w:szCs w:val="22"/>
          <w:lang w:val="es-PY"/>
        </w:rPr>
        <w:t xml:space="preserve">La estabilidad genética debe evaluarse en preparaciones celulares que se someten a una manipulación extensiva in vitro, utilizando métodos ortogonales. Cuando sea relevante, puede hacerse referencia cruzada a estudios de </w:t>
      </w:r>
      <w:proofErr w:type="spellStart"/>
      <w:r w:rsidRPr="000D1313">
        <w:rPr>
          <w:rFonts w:ascii="Arial" w:eastAsia="Arial" w:hAnsi="Arial" w:cs="Arial"/>
          <w:szCs w:val="22"/>
          <w:lang w:val="es-PY"/>
        </w:rPr>
        <w:t>tumorigenicidad</w:t>
      </w:r>
      <w:proofErr w:type="spellEnd"/>
      <w:r w:rsidRPr="000D1313">
        <w:rPr>
          <w:rFonts w:ascii="Arial" w:eastAsia="Arial" w:hAnsi="Arial" w:cs="Arial"/>
          <w:szCs w:val="22"/>
          <w:lang w:val="es-PY"/>
        </w:rPr>
        <w:t xml:space="preserve"> en la parte no clínica del expediente.</w:t>
      </w:r>
    </w:p>
    <w:p w:rsidR="009641F0" w:rsidRPr="000D1313" w:rsidRDefault="009641F0" w:rsidP="009641F0">
      <w:pPr>
        <w:spacing w:after="120"/>
        <w:jc w:val="both"/>
        <w:rPr>
          <w:rFonts w:ascii="Arial" w:eastAsia="Arial" w:hAnsi="Arial" w:cs="Arial"/>
          <w:szCs w:val="22"/>
          <w:lang w:val="es-PY"/>
        </w:rPr>
      </w:pPr>
      <w:r w:rsidRPr="000D1313">
        <w:rPr>
          <w:rFonts w:ascii="Arial" w:eastAsia="Arial" w:hAnsi="Arial" w:cs="Arial"/>
          <w:szCs w:val="22"/>
          <w:lang w:val="es-PY"/>
        </w:rPr>
        <w:t>La sustancia activa celular podría contener otras células de diferentes linajes y/o estados de diferenciación, o que pueden no estar relacionadas con la población prevista. Cuando se requiera un tipo celular específico para el mecanismo de acción, las poblaciones celulares adicionales deben definirse y su cantidad en el producto terminado debe controlarse mediante especificaciones adecuadas, es decir, deben establecerse criterios de aceptación para las cantidades de impurezas celulares.</w:t>
      </w:r>
    </w:p>
    <w:p w:rsidR="009641F0" w:rsidRDefault="009641F0" w:rsidP="009641F0">
      <w:pPr>
        <w:spacing w:after="120"/>
        <w:jc w:val="both"/>
        <w:rPr>
          <w:rFonts w:ascii="Arial" w:eastAsia="Arial" w:hAnsi="Arial" w:cs="Arial"/>
          <w:szCs w:val="22"/>
          <w:lang w:val="es-PY"/>
        </w:rPr>
      </w:pPr>
      <w:r w:rsidRPr="000D1313">
        <w:rPr>
          <w:rFonts w:ascii="Arial" w:eastAsia="Arial" w:hAnsi="Arial" w:cs="Arial"/>
          <w:szCs w:val="22"/>
          <w:lang w:val="es-PY"/>
        </w:rPr>
        <w:t>En los casos en que la actividad biológica y la eficacia deseadas del producto requieran una mezcla compleja de células, dicha mezcla debe caracterizarse y su composición controlarse mediante controles adecuados en proceso y pruebas de liberación.</w:t>
      </w:r>
    </w:p>
    <w:p w:rsidR="009641F0" w:rsidRPr="00997C25" w:rsidRDefault="009641F0" w:rsidP="009641F0">
      <w:pPr>
        <w:spacing w:after="120"/>
        <w:jc w:val="both"/>
        <w:rPr>
          <w:rFonts w:ascii="Arial" w:eastAsia="Arial" w:hAnsi="Arial" w:cs="Arial"/>
          <w:i/>
          <w:szCs w:val="22"/>
          <w:lang w:val="es-PY"/>
        </w:rPr>
      </w:pPr>
      <w:r w:rsidRPr="00997C25">
        <w:rPr>
          <w:rFonts w:ascii="Arial" w:eastAsia="Arial" w:hAnsi="Arial" w:cs="Arial"/>
          <w:i/>
          <w:szCs w:val="22"/>
          <w:lang w:val="es-PY"/>
        </w:rPr>
        <w:t>-</w:t>
      </w:r>
      <w:r w:rsidRPr="00997C25">
        <w:rPr>
          <w:i/>
        </w:rPr>
        <w:t xml:space="preserve"> </w:t>
      </w:r>
      <w:r w:rsidRPr="00997C25">
        <w:rPr>
          <w:rFonts w:ascii="Arial" w:eastAsia="Arial" w:hAnsi="Arial" w:cs="Arial"/>
          <w:i/>
          <w:szCs w:val="22"/>
          <w:lang w:val="es-PY"/>
        </w:rPr>
        <w:t xml:space="preserve">Componentes no celulares de la sustancia activa </w:t>
      </w:r>
    </w:p>
    <w:p w:rsidR="009641F0" w:rsidRPr="00997C25" w:rsidRDefault="009641F0" w:rsidP="009641F0">
      <w:pPr>
        <w:spacing w:after="120"/>
        <w:jc w:val="both"/>
        <w:rPr>
          <w:rFonts w:ascii="Arial" w:eastAsia="Arial" w:hAnsi="Arial" w:cs="Arial"/>
          <w:szCs w:val="22"/>
          <w:lang w:val="es-PY"/>
        </w:rPr>
      </w:pPr>
      <w:r w:rsidRPr="00997C25">
        <w:rPr>
          <w:rFonts w:ascii="Arial" w:eastAsia="Arial" w:hAnsi="Arial" w:cs="Arial"/>
          <w:szCs w:val="22"/>
          <w:lang w:val="es-PY"/>
        </w:rPr>
        <w:t>Los componentes no celulares son materiales de partida que deben caracterizarse por sí mismos en el contexto de su función requerida. Esto incluye biomateriales, proteínas o entidades químicas que pueden proporcionar soporte estructural, un entorno adecuado para el crecimiento, señalización biológica u otras funciones.</w:t>
      </w:r>
    </w:p>
    <w:p w:rsidR="009641F0" w:rsidRPr="00997C25" w:rsidRDefault="009641F0" w:rsidP="009641F0">
      <w:pPr>
        <w:spacing w:after="120"/>
        <w:jc w:val="both"/>
        <w:rPr>
          <w:rFonts w:ascii="Arial" w:eastAsia="Arial" w:hAnsi="Arial" w:cs="Arial"/>
          <w:szCs w:val="22"/>
          <w:lang w:val="es-PY"/>
        </w:rPr>
      </w:pPr>
      <w:r w:rsidRPr="00997C25">
        <w:rPr>
          <w:rFonts w:ascii="Arial" w:eastAsia="Arial" w:hAnsi="Arial" w:cs="Arial"/>
          <w:szCs w:val="22"/>
          <w:lang w:val="es-PY"/>
        </w:rPr>
        <w:t xml:space="preserve">Estos componentes deben identificarse y caracterizarse en relación con su composición, características estructurales y propiedades mecánicas. Los principios generales que se aplican a la evaluación biológica de los dispositivos médicos también pueden aplicarse a la evaluación de biomateriales destinados a su uso en </w:t>
      </w:r>
      <w:proofErr w:type="spellStart"/>
      <w:r w:rsidRPr="00997C25">
        <w:rPr>
          <w:rFonts w:ascii="Arial" w:eastAsia="Arial" w:hAnsi="Arial" w:cs="Arial"/>
          <w:szCs w:val="22"/>
          <w:lang w:val="es-PY"/>
        </w:rPr>
        <w:t>ATMPs</w:t>
      </w:r>
      <w:proofErr w:type="spellEnd"/>
      <w:r w:rsidRPr="00997C25">
        <w:rPr>
          <w:rFonts w:ascii="Arial" w:eastAsia="Arial" w:hAnsi="Arial" w:cs="Arial"/>
          <w:szCs w:val="22"/>
          <w:lang w:val="es-PY"/>
        </w:rPr>
        <w:t xml:space="preserve"> basados en células en investigación. Cuando corresponda, deben considerarse las guías de la ICH</w:t>
      </w:r>
      <w:r w:rsidR="00214D6C">
        <w:rPr>
          <w:rFonts w:ascii="Arial" w:eastAsia="Arial" w:hAnsi="Arial" w:cs="Arial"/>
          <w:szCs w:val="22"/>
          <w:lang w:val="es-PY"/>
        </w:rPr>
        <w:t xml:space="preserve">, </w:t>
      </w:r>
      <w:r w:rsidRPr="00997C25">
        <w:rPr>
          <w:rFonts w:ascii="Arial" w:eastAsia="Arial" w:hAnsi="Arial" w:cs="Arial"/>
          <w:szCs w:val="22"/>
          <w:lang w:val="es-PY"/>
        </w:rPr>
        <w:t>así como otr</w:t>
      </w:r>
      <w:r w:rsidR="00214D6C">
        <w:rPr>
          <w:rFonts w:ascii="Arial" w:eastAsia="Arial" w:hAnsi="Arial" w:cs="Arial"/>
          <w:szCs w:val="22"/>
          <w:lang w:val="es-PY"/>
        </w:rPr>
        <w:t>a</w:t>
      </w:r>
      <w:r w:rsidRPr="00997C25">
        <w:rPr>
          <w:rFonts w:ascii="Arial" w:eastAsia="Arial" w:hAnsi="Arial" w:cs="Arial"/>
          <w:szCs w:val="22"/>
          <w:lang w:val="es-PY"/>
        </w:rPr>
        <w:t xml:space="preserve">s </w:t>
      </w:r>
      <w:r w:rsidR="00214D6C">
        <w:rPr>
          <w:rFonts w:ascii="Arial" w:eastAsia="Arial" w:hAnsi="Arial" w:cs="Arial"/>
          <w:szCs w:val="22"/>
          <w:lang w:val="es-PY"/>
        </w:rPr>
        <w:t>guías internacionales</w:t>
      </w:r>
      <w:r w:rsidRPr="00997C25">
        <w:rPr>
          <w:rFonts w:ascii="Arial" w:eastAsia="Arial" w:hAnsi="Arial" w:cs="Arial"/>
          <w:szCs w:val="22"/>
          <w:lang w:val="es-PY"/>
        </w:rPr>
        <w:t xml:space="preserve"> vinculad</w:t>
      </w:r>
      <w:r w:rsidR="00214D6C">
        <w:rPr>
          <w:rFonts w:ascii="Arial" w:eastAsia="Arial" w:hAnsi="Arial" w:cs="Arial"/>
          <w:szCs w:val="22"/>
          <w:lang w:val="es-PY"/>
        </w:rPr>
        <w:t>a</w:t>
      </w:r>
      <w:r w:rsidRPr="00997C25">
        <w:rPr>
          <w:rFonts w:ascii="Arial" w:eastAsia="Arial" w:hAnsi="Arial" w:cs="Arial"/>
          <w:szCs w:val="22"/>
          <w:lang w:val="es-PY"/>
        </w:rPr>
        <w:t>s. Debe presentarse un resumen de los análisis y estudios realizados.</w:t>
      </w:r>
    </w:p>
    <w:p w:rsidR="009641F0" w:rsidRPr="00997C25" w:rsidRDefault="009641F0" w:rsidP="009641F0">
      <w:pPr>
        <w:spacing w:after="120"/>
        <w:jc w:val="both"/>
        <w:rPr>
          <w:rFonts w:ascii="Arial" w:eastAsia="Arial" w:hAnsi="Arial" w:cs="Arial"/>
          <w:szCs w:val="22"/>
          <w:lang w:val="es-PY"/>
        </w:rPr>
      </w:pPr>
      <w:r w:rsidRPr="00997C25">
        <w:rPr>
          <w:rFonts w:ascii="Arial" w:eastAsia="Arial" w:hAnsi="Arial" w:cs="Arial"/>
          <w:szCs w:val="22"/>
          <w:lang w:val="es-PY"/>
        </w:rPr>
        <w:lastRenderedPageBreak/>
        <w:t xml:space="preserve">Si el dispositivo cuenta con </w:t>
      </w:r>
      <w:r w:rsidR="00650479">
        <w:rPr>
          <w:rFonts w:ascii="Arial" w:eastAsia="Arial" w:hAnsi="Arial" w:cs="Arial"/>
          <w:szCs w:val="22"/>
          <w:lang w:val="es-PY"/>
        </w:rPr>
        <w:t>certificación</w:t>
      </w:r>
      <w:r w:rsidR="00214D6C">
        <w:rPr>
          <w:rFonts w:ascii="Arial" w:eastAsia="Arial" w:hAnsi="Arial" w:cs="Arial"/>
          <w:szCs w:val="22"/>
          <w:lang w:val="es-PY"/>
        </w:rPr>
        <w:t xml:space="preserve"> </w:t>
      </w:r>
      <w:r w:rsidRPr="00997C25">
        <w:rPr>
          <w:rFonts w:ascii="Arial" w:eastAsia="Arial" w:hAnsi="Arial" w:cs="Arial"/>
          <w:szCs w:val="22"/>
          <w:lang w:val="es-PY"/>
        </w:rPr>
        <w:t>para el mismo uso previsto, deben proporcionarse las “Instrucciones de uso”. Pueden ser necesarios estudios adicionales (p. ej., estudios de adhesión celular, estudios de crecimiento) para demostrar aspectos de biocompatibilidad específicos del producto basado en células.</w:t>
      </w:r>
    </w:p>
    <w:p w:rsidR="009641F0" w:rsidRPr="00997C25" w:rsidRDefault="009641F0" w:rsidP="009641F0">
      <w:pPr>
        <w:spacing w:after="120"/>
        <w:jc w:val="both"/>
        <w:rPr>
          <w:rFonts w:ascii="Arial" w:eastAsia="Arial" w:hAnsi="Arial" w:cs="Arial"/>
          <w:szCs w:val="22"/>
          <w:lang w:val="es-PY"/>
        </w:rPr>
      </w:pPr>
      <w:r w:rsidRPr="00997C25">
        <w:rPr>
          <w:rFonts w:ascii="Arial" w:eastAsia="Arial" w:hAnsi="Arial" w:cs="Arial"/>
          <w:szCs w:val="22"/>
          <w:lang w:val="es-PY"/>
        </w:rPr>
        <w:t>Además, deben tenerse en cuenta los efectos de posibles impurezas que puedan estar presentes en los componentes no celulares.</w:t>
      </w:r>
    </w:p>
    <w:p w:rsidR="009641F0" w:rsidRDefault="009641F0" w:rsidP="009641F0">
      <w:pPr>
        <w:spacing w:after="120"/>
        <w:jc w:val="both"/>
        <w:rPr>
          <w:rFonts w:ascii="Arial" w:eastAsia="Arial" w:hAnsi="Arial" w:cs="Arial"/>
          <w:szCs w:val="22"/>
          <w:lang w:val="es-PY"/>
        </w:rPr>
      </w:pPr>
      <w:r>
        <w:rPr>
          <w:rFonts w:ascii="Arial" w:eastAsia="Arial" w:hAnsi="Arial" w:cs="Arial"/>
          <w:szCs w:val="22"/>
          <w:lang w:val="es-PY"/>
        </w:rPr>
        <w:t>Como</w:t>
      </w:r>
      <w:r w:rsidRPr="00997C25">
        <w:rPr>
          <w:rFonts w:ascii="Arial" w:eastAsia="Arial" w:hAnsi="Arial" w:cs="Arial"/>
          <w:szCs w:val="22"/>
          <w:lang w:val="es-PY"/>
        </w:rPr>
        <w:t xml:space="preserve"> la identidad de los componentes celulares y no celulares puede verse alterada por el proceso de combinación, debe establecerse una forma distintiva de definir la identidad de los componentes en la combinación, salvo que esté justificado lo contrario. También debe prestarse especial atención a su perfil de degradación y al impacto en la combinación.</w:t>
      </w:r>
    </w:p>
    <w:p w:rsidR="009641F0" w:rsidRPr="00F305AF" w:rsidRDefault="009641F0" w:rsidP="009641F0">
      <w:pPr>
        <w:spacing w:after="120"/>
        <w:jc w:val="both"/>
        <w:rPr>
          <w:rFonts w:ascii="Arial" w:eastAsia="Arial" w:hAnsi="Arial" w:cs="Arial"/>
          <w:b/>
          <w:szCs w:val="22"/>
          <w:lang w:val="es-PY"/>
        </w:rPr>
      </w:pPr>
      <w:r w:rsidRPr="00F305AF">
        <w:rPr>
          <w:rFonts w:ascii="Arial" w:eastAsia="Arial" w:hAnsi="Arial" w:cs="Arial"/>
          <w:b/>
          <w:szCs w:val="22"/>
          <w:lang w:val="es-PY"/>
        </w:rPr>
        <w:t xml:space="preserve">Estudios de caracterización de </w:t>
      </w:r>
      <w:proofErr w:type="spellStart"/>
      <w:r w:rsidRPr="00F305AF">
        <w:rPr>
          <w:rFonts w:ascii="Arial" w:eastAsia="Arial" w:hAnsi="Arial" w:cs="Arial"/>
          <w:b/>
          <w:szCs w:val="22"/>
          <w:lang w:val="es-PY"/>
        </w:rPr>
        <w:t>GTMPs</w:t>
      </w:r>
      <w:proofErr w:type="spellEnd"/>
      <w:r w:rsidRPr="00F305AF">
        <w:rPr>
          <w:rFonts w:ascii="Arial" w:eastAsia="Arial" w:hAnsi="Arial" w:cs="Arial"/>
          <w:b/>
          <w:szCs w:val="22"/>
          <w:lang w:val="es-PY"/>
        </w:rPr>
        <w:t xml:space="preserve"> en investigación</w:t>
      </w:r>
    </w:p>
    <w:p w:rsidR="009641F0" w:rsidRPr="00B8628D" w:rsidRDefault="009641F0" w:rsidP="009641F0">
      <w:pPr>
        <w:spacing w:after="120"/>
        <w:jc w:val="both"/>
        <w:rPr>
          <w:rFonts w:ascii="Arial" w:eastAsia="Arial" w:hAnsi="Arial" w:cs="Arial"/>
          <w:szCs w:val="22"/>
          <w:lang w:val="es-PY"/>
        </w:rPr>
      </w:pPr>
      <w:r w:rsidRPr="00B8628D">
        <w:rPr>
          <w:rFonts w:ascii="Arial" w:eastAsia="Arial" w:hAnsi="Arial" w:cs="Arial"/>
          <w:szCs w:val="22"/>
          <w:lang w:val="es-PY"/>
        </w:rPr>
        <w:t>La caracterización de una sustancia activa de terapia génica (que incluye la determinación de la estructura, propiedades físico-químicas, biológicas y funcionales, pureza e impurezas) mediante técnicas apropiadas es necesaria para permitir el establecimiento de especificaciones relevantes. Deben incluirse pruebas que demuestren la integridad y homogeneidad del genoma viral recombinante, plásmido o ácido nucleico, así como la estabilidad genética del vector y de la secuencia terapéutica.</w:t>
      </w:r>
    </w:p>
    <w:p w:rsidR="009641F0" w:rsidRDefault="009641F0" w:rsidP="009641F0">
      <w:pPr>
        <w:spacing w:after="120"/>
        <w:jc w:val="both"/>
        <w:rPr>
          <w:rFonts w:ascii="Arial" w:eastAsia="Arial" w:hAnsi="Arial" w:cs="Arial"/>
          <w:szCs w:val="22"/>
          <w:lang w:val="es-PY"/>
        </w:rPr>
      </w:pPr>
      <w:r w:rsidRPr="00B8628D">
        <w:rPr>
          <w:rFonts w:ascii="Arial" w:eastAsia="Arial" w:hAnsi="Arial" w:cs="Arial"/>
          <w:szCs w:val="22"/>
          <w:lang w:val="es-PY"/>
        </w:rPr>
        <w:t xml:space="preserve">• Las pruebas realizadas sobre el vector deben incluir, como mínimo, identidad (transgén deseado y vector) y pureza. Para los vectores virales, normalmente deben determinarse el título y el potencial de infectividad. </w:t>
      </w:r>
    </w:p>
    <w:p w:rsidR="009641F0" w:rsidRDefault="009641F0" w:rsidP="009641F0">
      <w:pPr>
        <w:spacing w:after="120"/>
        <w:jc w:val="both"/>
        <w:rPr>
          <w:rFonts w:ascii="Arial" w:eastAsia="Arial" w:hAnsi="Arial" w:cs="Arial"/>
          <w:szCs w:val="22"/>
          <w:lang w:val="es-PY"/>
        </w:rPr>
      </w:pPr>
      <w:r w:rsidRPr="00B8628D">
        <w:rPr>
          <w:rFonts w:ascii="Arial" w:eastAsia="Arial" w:hAnsi="Arial" w:cs="Arial"/>
          <w:szCs w:val="22"/>
          <w:lang w:val="es-PY"/>
        </w:rPr>
        <w:t xml:space="preserve">• Debe determinarse la presencia/ausencia de otras características genéticas con impacto potencial en la seguridad, como secuencias </w:t>
      </w:r>
      <w:proofErr w:type="spellStart"/>
      <w:r w:rsidRPr="00B8628D">
        <w:rPr>
          <w:rFonts w:ascii="Arial" w:eastAsia="Arial" w:hAnsi="Arial" w:cs="Arial"/>
          <w:szCs w:val="22"/>
          <w:lang w:val="es-PY"/>
        </w:rPr>
        <w:t>CpG</w:t>
      </w:r>
      <w:proofErr w:type="spellEnd"/>
      <w:r w:rsidRPr="00B8628D">
        <w:rPr>
          <w:rFonts w:ascii="Arial" w:eastAsia="Arial" w:hAnsi="Arial" w:cs="Arial"/>
          <w:szCs w:val="22"/>
          <w:lang w:val="es-PY"/>
        </w:rPr>
        <w:t xml:space="preserve"> </w:t>
      </w:r>
      <w:proofErr w:type="spellStart"/>
      <w:r w:rsidRPr="00B8628D">
        <w:rPr>
          <w:rFonts w:ascii="Arial" w:eastAsia="Arial" w:hAnsi="Arial" w:cs="Arial"/>
          <w:szCs w:val="22"/>
          <w:lang w:val="es-PY"/>
        </w:rPr>
        <w:t>inmunomoduladoras</w:t>
      </w:r>
      <w:proofErr w:type="spellEnd"/>
      <w:r w:rsidRPr="00B8628D">
        <w:rPr>
          <w:rFonts w:ascii="Arial" w:eastAsia="Arial" w:hAnsi="Arial" w:cs="Arial"/>
          <w:szCs w:val="22"/>
          <w:lang w:val="es-PY"/>
        </w:rPr>
        <w:t xml:space="preserve">, salvo justificación en contrario. </w:t>
      </w:r>
    </w:p>
    <w:p w:rsidR="009641F0" w:rsidRDefault="009641F0" w:rsidP="009641F0">
      <w:pPr>
        <w:spacing w:after="120"/>
        <w:jc w:val="both"/>
        <w:rPr>
          <w:rFonts w:ascii="Arial" w:eastAsia="Arial" w:hAnsi="Arial" w:cs="Arial"/>
          <w:szCs w:val="22"/>
          <w:lang w:val="es-PY"/>
        </w:rPr>
      </w:pPr>
      <w:r w:rsidRPr="00B8628D">
        <w:rPr>
          <w:rFonts w:ascii="Arial" w:eastAsia="Arial" w:hAnsi="Arial" w:cs="Arial"/>
          <w:szCs w:val="22"/>
          <w:lang w:val="es-PY"/>
        </w:rPr>
        <w:t>• Para vectores bacterianos y virales, debe confirmarse la presencia/ausencia de secuencias insertadas/eliminadas necesarias para el uso seguro del ATMP de terapia génica en investigación. Debe demostrarse que no existe inclusión de secuencias oncogénicas/</w:t>
      </w:r>
      <w:proofErr w:type="spellStart"/>
      <w:r w:rsidRPr="00B8628D">
        <w:rPr>
          <w:rFonts w:ascii="Arial" w:eastAsia="Arial" w:hAnsi="Arial" w:cs="Arial"/>
          <w:szCs w:val="22"/>
          <w:lang w:val="es-PY"/>
        </w:rPr>
        <w:t>tumorigénicas</w:t>
      </w:r>
      <w:proofErr w:type="spellEnd"/>
      <w:r w:rsidRPr="00B8628D">
        <w:rPr>
          <w:rFonts w:ascii="Arial" w:eastAsia="Arial" w:hAnsi="Arial" w:cs="Arial"/>
          <w:szCs w:val="22"/>
          <w:lang w:val="es-PY"/>
        </w:rPr>
        <w:t xml:space="preserve"> conocidas. Deben incluirse la identidad fenotípica, la identidad inmunológica (incluyendo los componentes bacterianos o virales modificados genéticamente), así como el análisis de las secuencias terapéuticas y de los elementos de selectividad/regulación entregados por el vector. </w:t>
      </w:r>
    </w:p>
    <w:p w:rsidR="009641F0" w:rsidRDefault="009641F0" w:rsidP="009641F0">
      <w:pPr>
        <w:spacing w:after="120"/>
        <w:jc w:val="both"/>
        <w:rPr>
          <w:rFonts w:ascii="Arial" w:eastAsia="Arial" w:hAnsi="Arial" w:cs="Arial"/>
          <w:szCs w:val="22"/>
          <w:lang w:val="es-PY"/>
        </w:rPr>
      </w:pPr>
      <w:r w:rsidRPr="00B8628D">
        <w:rPr>
          <w:rFonts w:ascii="Arial" w:eastAsia="Arial" w:hAnsi="Arial" w:cs="Arial"/>
          <w:szCs w:val="22"/>
          <w:lang w:val="es-PY"/>
        </w:rPr>
        <w:t xml:space="preserve">• Para vectores virales deficientes en replicación, la estrategia utilizada para hacer que el vector viral sea incompetente para la replicación debe documentarse </w:t>
      </w:r>
      <w:r w:rsidRPr="00B8628D">
        <w:rPr>
          <w:rFonts w:ascii="Arial" w:eastAsia="Arial" w:hAnsi="Arial" w:cs="Arial"/>
          <w:szCs w:val="22"/>
          <w:lang w:val="es-PY"/>
        </w:rPr>
        <w:lastRenderedPageBreak/>
        <w:t xml:space="preserve">claramente, y la deficiencia de replicación debe demostrarse durante la caracterización. Debe considerarse la posibilidad de eventos de recombinación que conduzcan a RCV o a replicación mediante </w:t>
      </w:r>
      <w:proofErr w:type="spellStart"/>
      <w:r w:rsidRPr="00B8628D">
        <w:rPr>
          <w:rFonts w:ascii="Arial" w:eastAsia="Arial" w:hAnsi="Arial" w:cs="Arial"/>
          <w:szCs w:val="22"/>
          <w:lang w:val="es-PY"/>
        </w:rPr>
        <w:t>trans-regulación</w:t>
      </w:r>
      <w:proofErr w:type="spellEnd"/>
      <w:r w:rsidRPr="00B8628D">
        <w:rPr>
          <w:rFonts w:ascii="Arial" w:eastAsia="Arial" w:hAnsi="Arial" w:cs="Arial"/>
          <w:szCs w:val="22"/>
          <w:lang w:val="es-PY"/>
        </w:rPr>
        <w:t xml:space="preserve">. </w:t>
      </w:r>
    </w:p>
    <w:p w:rsidR="009641F0" w:rsidRDefault="009641F0" w:rsidP="009641F0">
      <w:pPr>
        <w:spacing w:after="120"/>
        <w:jc w:val="both"/>
        <w:rPr>
          <w:rFonts w:ascii="Arial" w:eastAsia="Arial" w:hAnsi="Arial" w:cs="Arial"/>
          <w:szCs w:val="22"/>
          <w:lang w:val="es-PY"/>
        </w:rPr>
      </w:pPr>
      <w:r w:rsidRPr="00B8628D">
        <w:rPr>
          <w:rFonts w:ascii="Arial" w:eastAsia="Arial" w:hAnsi="Arial" w:cs="Arial"/>
          <w:szCs w:val="22"/>
          <w:lang w:val="es-PY"/>
        </w:rPr>
        <w:t>• Para vectores virales competentes en replicación o condicionales en replicación, debe proporcionarse una justificación clara de</w:t>
      </w:r>
      <w:r>
        <w:rPr>
          <w:rFonts w:ascii="Arial" w:eastAsia="Arial" w:hAnsi="Arial" w:cs="Arial"/>
          <w:szCs w:val="22"/>
          <w:lang w:val="es-PY"/>
        </w:rPr>
        <w:t xml:space="preserve"> </w:t>
      </w:r>
      <w:r w:rsidRPr="00B8628D">
        <w:rPr>
          <w:rFonts w:ascii="Arial" w:eastAsia="Arial" w:hAnsi="Arial" w:cs="Arial"/>
          <w:szCs w:val="22"/>
          <w:lang w:val="es-PY"/>
        </w:rPr>
        <w:t>l</w:t>
      </w:r>
      <w:r>
        <w:rPr>
          <w:rFonts w:ascii="Arial" w:eastAsia="Arial" w:hAnsi="Arial" w:cs="Arial"/>
          <w:szCs w:val="22"/>
          <w:lang w:val="es-PY"/>
        </w:rPr>
        <w:t>a</w:t>
      </w:r>
      <w:r w:rsidRPr="00B8628D">
        <w:rPr>
          <w:rFonts w:ascii="Arial" w:eastAsia="Arial" w:hAnsi="Arial" w:cs="Arial"/>
          <w:szCs w:val="22"/>
          <w:lang w:val="es-PY"/>
        </w:rPr>
        <w:t xml:space="preserve"> </w:t>
      </w:r>
      <w:r w:rsidRPr="00780230">
        <w:rPr>
          <w:rFonts w:ascii="Arial" w:eastAsia="Arial" w:hAnsi="Arial" w:cs="Arial"/>
          <w:szCs w:val="22"/>
          <w:lang w:val="es-PY"/>
        </w:rPr>
        <w:t>estructura genética diseñada</w:t>
      </w:r>
      <w:r w:rsidRPr="00B8628D">
        <w:rPr>
          <w:rFonts w:ascii="Arial" w:eastAsia="Arial" w:hAnsi="Arial" w:cs="Arial"/>
          <w:szCs w:val="22"/>
          <w:lang w:val="es-PY"/>
        </w:rPr>
        <w:t xml:space="preserve"> y de los elementos genéticos individuales que controlan la replicación en relación con su uso seguro para las indicaciones clínicas propuestas. Debe demostrarse que no existe inclusión de secuencias oncogénicas/</w:t>
      </w:r>
      <w:proofErr w:type="spellStart"/>
      <w:r w:rsidRPr="00B8628D">
        <w:rPr>
          <w:rFonts w:ascii="Arial" w:eastAsia="Arial" w:hAnsi="Arial" w:cs="Arial"/>
          <w:szCs w:val="22"/>
          <w:lang w:val="es-PY"/>
        </w:rPr>
        <w:t>tumorigénicas</w:t>
      </w:r>
      <w:proofErr w:type="spellEnd"/>
      <w:r w:rsidRPr="00B8628D">
        <w:rPr>
          <w:rFonts w:ascii="Arial" w:eastAsia="Arial" w:hAnsi="Arial" w:cs="Arial"/>
          <w:szCs w:val="22"/>
          <w:lang w:val="es-PY"/>
        </w:rPr>
        <w:t xml:space="preserve"> conocidas y, si la cepa viral parental es un patógeno conocido, deben caracterizarse la infectividad, virulencia y patogenicidad del RCV tras las manipulaciones genéticas deseadas. </w:t>
      </w:r>
    </w:p>
    <w:p w:rsidR="009641F0" w:rsidRDefault="009641F0" w:rsidP="009641F0">
      <w:pPr>
        <w:spacing w:after="120"/>
        <w:jc w:val="both"/>
        <w:rPr>
          <w:rFonts w:ascii="Arial" w:eastAsia="Arial" w:hAnsi="Arial" w:cs="Arial"/>
          <w:szCs w:val="22"/>
          <w:lang w:val="es-PY"/>
        </w:rPr>
      </w:pPr>
      <w:r w:rsidRPr="00B8628D">
        <w:rPr>
          <w:rFonts w:ascii="Arial" w:eastAsia="Arial" w:hAnsi="Arial" w:cs="Arial"/>
          <w:szCs w:val="22"/>
          <w:lang w:val="es-PY"/>
        </w:rPr>
        <w:t xml:space="preserve">• Para células modificadas genéticamente, deben realizarse ensayos in vitro de eficiencia de transducción y número de copias de vector por célula transducida. Debe seguirse un enfoque basado en el riesgo para determinar la necesidad de caracterización de los sitios de integración. </w:t>
      </w:r>
    </w:p>
    <w:p w:rsidR="009641F0" w:rsidRDefault="009641F0" w:rsidP="009641F0">
      <w:pPr>
        <w:spacing w:after="120"/>
        <w:jc w:val="both"/>
        <w:rPr>
          <w:rFonts w:ascii="Arial" w:eastAsia="Arial" w:hAnsi="Arial" w:cs="Arial"/>
          <w:szCs w:val="22"/>
          <w:lang w:val="es-PY"/>
        </w:rPr>
      </w:pPr>
      <w:r w:rsidRPr="00B8628D">
        <w:rPr>
          <w:rFonts w:ascii="Arial" w:eastAsia="Arial" w:hAnsi="Arial" w:cs="Arial"/>
          <w:szCs w:val="22"/>
          <w:lang w:val="es-PY"/>
        </w:rPr>
        <w:t xml:space="preserve">• Para células modificadas genéticamente mediante herramientas de edición génica, deben evaluarse la eficiencia de edición y la edición fuera de objetivo mediante métodos </w:t>
      </w:r>
      <w:r w:rsidRPr="00B9377E">
        <w:rPr>
          <w:rFonts w:ascii="Arial" w:eastAsia="Arial" w:hAnsi="Arial" w:cs="Arial"/>
          <w:i/>
          <w:szCs w:val="22"/>
          <w:lang w:val="es-PY"/>
        </w:rPr>
        <w:t>in vitro</w:t>
      </w:r>
      <w:r w:rsidRPr="00B8628D">
        <w:rPr>
          <w:rFonts w:ascii="Arial" w:eastAsia="Arial" w:hAnsi="Arial" w:cs="Arial"/>
          <w:szCs w:val="22"/>
          <w:lang w:val="es-PY"/>
        </w:rPr>
        <w:t xml:space="preserve"> e </w:t>
      </w:r>
      <w:r w:rsidRPr="00B9377E">
        <w:rPr>
          <w:rFonts w:ascii="Arial" w:eastAsia="Arial" w:hAnsi="Arial" w:cs="Arial"/>
          <w:i/>
          <w:szCs w:val="22"/>
          <w:lang w:val="es-PY"/>
        </w:rPr>
        <w:t xml:space="preserve">in </w:t>
      </w:r>
      <w:proofErr w:type="spellStart"/>
      <w:r w:rsidRPr="00B9377E">
        <w:rPr>
          <w:rFonts w:ascii="Arial" w:eastAsia="Arial" w:hAnsi="Arial" w:cs="Arial"/>
          <w:i/>
          <w:szCs w:val="22"/>
          <w:lang w:val="es-PY"/>
        </w:rPr>
        <w:t>silico</w:t>
      </w:r>
      <w:proofErr w:type="spellEnd"/>
      <w:r w:rsidRPr="00B8628D">
        <w:rPr>
          <w:rFonts w:ascii="Arial" w:eastAsia="Arial" w:hAnsi="Arial" w:cs="Arial"/>
          <w:szCs w:val="22"/>
          <w:lang w:val="es-PY"/>
        </w:rPr>
        <w:t xml:space="preserve">. Además, las células deben analizarse para detectar grandes inversiones, deleciones, duplicaciones o reordenamientos cromosómicos de fragmentos de ADN. La homogeneidad y estabilidad genética de las células modificadas genéticamente deben caracterizarse exhaustivamente. </w:t>
      </w:r>
    </w:p>
    <w:p w:rsidR="009641F0" w:rsidRDefault="009641F0" w:rsidP="009641F0">
      <w:pPr>
        <w:spacing w:after="120"/>
        <w:jc w:val="both"/>
        <w:rPr>
          <w:rFonts w:ascii="Arial" w:eastAsia="Arial" w:hAnsi="Arial" w:cs="Arial"/>
          <w:szCs w:val="22"/>
          <w:lang w:val="es-PY"/>
        </w:rPr>
      </w:pPr>
      <w:r w:rsidRPr="00B8628D">
        <w:rPr>
          <w:rFonts w:ascii="Arial" w:eastAsia="Arial" w:hAnsi="Arial" w:cs="Arial"/>
          <w:szCs w:val="22"/>
          <w:lang w:val="es-PY"/>
        </w:rPr>
        <w:t xml:space="preserve">• Para abordar el riesgo derivado de la mutagénesis por inserción, debe estudiarse el perfil de integración de vectores o plásmidos integradores en relación con oncogenes/genes supresores de tumores conocidos, cuando corresponda. Si está suficientemente justificado, podría aceptarse un estudio limitado de sitios de integración cuando se disponga de datos extensos de caracterización sobre la distribución de sitios de inserción del mismo vector, utilizando las mismas células y promotor, etc., pero con una secuencia transgénica diferente. En algunos casos, cuando las células tengan potencial proliferativo y estén destinadas a mantener una actividad de repoblación o expansión </w:t>
      </w:r>
      <w:r w:rsidRPr="002E6638">
        <w:rPr>
          <w:rFonts w:ascii="Arial" w:eastAsia="Arial" w:hAnsi="Arial" w:cs="Arial"/>
          <w:i/>
          <w:szCs w:val="22"/>
          <w:lang w:val="es-PY"/>
        </w:rPr>
        <w:t>in vivo</w:t>
      </w:r>
      <w:r w:rsidRPr="00B8628D">
        <w:rPr>
          <w:rFonts w:ascii="Arial" w:eastAsia="Arial" w:hAnsi="Arial" w:cs="Arial"/>
          <w:szCs w:val="22"/>
          <w:lang w:val="es-PY"/>
        </w:rPr>
        <w:t xml:space="preserve">, también puede ser necesario estudiar la </w:t>
      </w:r>
      <w:proofErr w:type="spellStart"/>
      <w:r w:rsidRPr="00B8628D">
        <w:rPr>
          <w:rFonts w:ascii="Arial" w:eastAsia="Arial" w:hAnsi="Arial" w:cs="Arial"/>
          <w:szCs w:val="22"/>
          <w:lang w:val="es-PY"/>
        </w:rPr>
        <w:t>clonalidad</w:t>
      </w:r>
      <w:proofErr w:type="spellEnd"/>
      <w:r w:rsidRPr="00B8628D">
        <w:rPr>
          <w:rFonts w:ascii="Arial" w:eastAsia="Arial" w:hAnsi="Arial" w:cs="Arial"/>
          <w:szCs w:val="22"/>
          <w:lang w:val="es-PY"/>
        </w:rPr>
        <w:t xml:space="preserve"> y la integridad cromosómica de las células modificadas genéticamente. </w:t>
      </w:r>
    </w:p>
    <w:p w:rsidR="009641F0" w:rsidRDefault="009641F0" w:rsidP="009641F0">
      <w:pPr>
        <w:spacing w:after="120"/>
        <w:jc w:val="both"/>
        <w:rPr>
          <w:rFonts w:ascii="Arial" w:eastAsia="Arial" w:hAnsi="Arial" w:cs="Arial"/>
          <w:szCs w:val="22"/>
          <w:lang w:val="es-PY"/>
        </w:rPr>
      </w:pPr>
      <w:r w:rsidRPr="00B8628D">
        <w:rPr>
          <w:rFonts w:ascii="Arial" w:eastAsia="Arial" w:hAnsi="Arial" w:cs="Arial"/>
          <w:szCs w:val="22"/>
          <w:lang w:val="es-PY"/>
        </w:rPr>
        <w:t xml:space="preserve">• </w:t>
      </w:r>
      <w:r w:rsidR="00F30A8D" w:rsidRPr="00F30A8D">
        <w:rPr>
          <w:rFonts w:ascii="Arial" w:eastAsia="Arial" w:hAnsi="Arial" w:cs="Arial"/>
          <w:szCs w:val="22"/>
          <w:lang w:val="es-PY"/>
        </w:rPr>
        <w:t xml:space="preserve">Debe demostrarse la acción prevista de regular, reparar, reemplazar, añadir o suprimir una secuencia genética. El ensayo de potencia debe abarcar normalmente una evaluación de la eficiencia de la modificación genética (infectividad/eficiencia de transducción/eficiencia de entrega) y el nivel y estabilidad de expresión de la secuencia terapéutica o de su actividad directa o </w:t>
      </w:r>
      <w:r w:rsidR="00F30A8D" w:rsidRPr="00F30A8D">
        <w:rPr>
          <w:rFonts w:ascii="Arial" w:eastAsia="Arial" w:hAnsi="Arial" w:cs="Arial"/>
          <w:szCs w:val="22"/>
          <w:lang w:val="es-PY"/>
        </w:rPr>
        <w:lastRenderedPageBreak/>
        <w:t>supresión. Cuando sea posible, el ensayo de potencia debe incluir una medida de la actividad funcional de la secuencia terapéutica o de su producto.</w:t>
      </w:r>
      <w:r w:rsidRPr="00B8628D">
        <w:rPr>
          <w:rFonts w:ascii="Arial" w:eastAsia="Arial" w:hAnsi="Arial" w:cs="Arial"/>
          <w:szCs w:val="22"/>
          <w:lang w:val="es-PY"/>
        </w:rPr>
        <w:t xml:space="preserve"> </w:t>
      </w:r>
    </w:p>
    <w:p w:rsidR="009641F0" w:rsidRPr="00B8628D" w:rsidRDefault="009641F0" w:rsidP="009641F0">
      <w:pPr>
        <w:spacing w:after="120"/>
        <w:jc w:val="both"/>
        <w:rPr>
          <w:rFonts w:ascii="Arial" w:eastAsia="Arial" w:hAnsi="Arial" w:cs="Arial"/>
          <w:szCs w:val="22"/>
          <w:lang w:val="es-PY"/>
        </w:rPr>
      </w:pPr>
      <w:r w:rsidRPr="00B8628D">
        <w:rPr>
          <w:rFonts w:ascii="Arial" w:eastAsia="Arial" w:hAnsi="Arial" w:cs="Arial"/>
          <w:szCs w:val="22"/>
          <w:lang w:val="es-PY"/>
        </w:rPr>
        <w:t xml:space="preserve">• Para medicamentos de edición génica in vivo, deben abordarse adecuadamente los efectos en el objetivo y el riesgo de ediciones fuera de objetivo. Entre otros, deben realizarse análisis </w:t>
      </w:r>
      <w:r w:rsidRPr="00061265">
        <w:rPr>
          <w:rFonts w:ascii="Arial" w:eastAsia="Arial" w:hAnsi="Arial" w:cs="Arial"/>
          <w:i/>
          <w:szCs w:val="22"/>
          <w:lang w:val="es-PY"/>
        </w:rPr>
        <w:t xml:space="preserve">in </w:t>
      </w:r>
      <w:proofErr w:type="spellStart"/>
      <w:r w:rsidRPr="00061265">
        <w:rPr>
          <w:rFonts w:ascii="Arial" w:eastAsia="Arial" w:hAnsi="Arial" w:cs="Arial"/>
          <w:i/>
          <w:szCs w:val="22"/>
          <w:lang w:val="es-PY"/>
        </w:rPr>
        <w:t>silico</w:t>
      </w:r>
      <w:proofErr w:type="spellEnd"/>
      <w:r w:rsidRPr="00B8628D">
        <w:rPr>
          <w:rFonts w:ascii="Arial" w:eastAsia="Arial" w:hAnsi="Arial" w:cs="Arial"/>
          <w:szCs w:val="22"/>
          <w:lang w:val="es-PY"/>
        </w:rPr>
        <w:t xml:space="preserve"> e </w:t>
      </w:r>
      <w:r w:rsidRPr="00061265">
        <w:rPr>
          <w:rFonts w:ascii="Arial" w:eastAsia="Arial" w:hAnsi="Arial" w:cs="Arial"/>
          <w:i/>
          <w:szCs w:val="22"/>
          <w:lang w:val="es-PY"/>
        </w:rPr>
        <w:t>in vitro</w:t>
      </w:r>
      <w:r w:rsidRPr="00B8628D">
        <w:rPr>
          <w:rFonts w:ascii="Arial" w:eastAsia="Arial" w:hAnsi="Arial" w:cs="Arial"/>
          <w:szCs w:val="22"/>
          <w:lang w:val="es-PY"/>
        </w:rPr>
        <w:t xml:space="preserve"> para evaluar posibles ediciones fuera de objetivo y otros efectos genotóxicos potenciales, especialmente aquellos que pudieran afectar elementos reguladores o secuencias génicas con impacto biológico.</w:t>
      </w:r>
    </w:p>
    <w:p w:rsidR="009641F0" w:rsidRDefault="009641F0" w:rsidP="009641F0">
      <w:pPr>
        <w:spacing w:after="120"/>
        <w:jc w:val="both"/>
        <w:rPr>
          <w:rFonts w:ascii="Arial" w:eastAsia="Arial" w:hAnsi="Arial" w:cs="Arial"/>
          <w:szCs w:val="22"/>
          <w:lang w:val="es-PY"/>
        </w:rPr>
      </w:pPr>
      <w:r w:rsidRPr="00B8628D">
        <w:rPr>
          <w:rFonts w:ascii="Arial" w:eastAsia="Arial" w:hAnsi="Arial" w:cs="Arial"/>
          <w:szCs w:val="22"/>
          <w:lang w:val="es-PY"/>
        </w:rPr>
        <w:t>Debe proporcionarse la justificación de la selección de los métodos analíticos utilizados para la caracterización y debe justificarse su idoneidad.</w:t>
      </w:r>
    </w:p>
    <w:p w:rsidR="009641F0" w:rsidRPr="00193482" w:rsidRDefault="009641F0" w:rsidP="009641F0">
      <w:pPr>
        <w:spacing w:after="120"/>
        <w:jc w:val="both"/>
        <w:rPr>
          <w:rFonts w:ascii="Arial" w:eastAsia="Arial" w:hAnsi="Arial" w:cs="Arial"/>
          <w:b/>
          <w:i/>
          <w:szCs w:val="22"/>
          <w:lang w:val="es-PY"/>
        </w:rPr>
      </w:pPr>
      <w:r w:rsidRPr="00193482">
        <w:rPr>
          <w:rFonts w:ascii="Arial" w:eastAsia="Arial" w:hAnsi="Arial" w:cs="Arial"/>
          <w:b/>
          <w:i/>
          <w:szCs w:val="22"/>
          <w:lang w:val="es-PY"/>
        </w:rPr>
        <w:t>S.3.2. Impurezas</w:t>
      </w:r>
    </w:p>
    <w:p w:rsidR="009641F0" w:rsidRPr="00850F61" w:rsidRDefault="009641F0" w:rsidP="009641F0">
      <w:pPr>
        <w:spacing w:after="120"/>
        <w:jc w:val="both"/>
        <w:rPr>
          <w:rFonts w:ascii="Arial" w:eastAsia="Arial" w:hAnsi="Arial" w:cs="Arial"/>
          <w:szCs w:val="22"/>
          <w:lang w:val="es-PY"/>
        </w:rPr>
      </w:pPr>
      <w:r w:rsidRPr="00850F61">
        <w:rPr>
          <w:rFonts w:ascii="Arial" w:eastAsia="Arial" w:hAnsi="Arial" w:cs="Arial"/>
          <w:szCs w:val="22"/>
          <w:lang w:val="es-PY"/>
        </w:rPr>
        <w:t>Durante la producción de un ATMP en investigación, pueden introducirse cantidades variables de impurezas, relacionadas con el producto y con el proceso, en la sustancia activa. Los materiales residuales en la sustancia activa (o en componentes individuales si no es posible de otro modo) deben analizarse siguiendo un enfoque basado en el riesgo que refleje el conocimiento general sobre el posible impacto clínico. La eliminación, particularmente en ensayos clínicos exploratorios, puede justificarse mediante factores de dilución, la capacidad de eliminación del proceso de fabricación o controlarse mediante el establecimiento de criterios de aceptación, cuando corresponda. Los límites de especificación deben justificarse por los niveles detectados en lotes utilizados en estudios toxicológicos y/o clínicos. El objetivo debe ser maximizar los componentes activos y minimizar las características que no contribuyen o que pueden impactar negativamente en la actividad terapéutica/seguridad.</w:t>
      </w:r>
    </w:p>
    <w:p w:rsidR="009641F0" w:rsidRPr="00850F61" w:rsidRDefault="009641F0" w:rsidP="009641F0">
      <w:pPr>
        <w:spacing w:after="120"/>
        <w:jc w:val="both"/>
        <w:rPr>
          <w:rFonts w:ascii="Arial" w:eastAsia="Arial" w:hAnsi="Arial" w:cs="Arial"/>
          <w:szCs w:val="22"/>
          <w:lang w:val="es-PY"/>
        </w:rPr>
      </w:pPr>
      <w:r w:rsidRPr="00850F61">
        <w:rPr>
          <w:rFonts w:ascii="Arial" w:eastAsia="Arial" w:hAnsi="Arial" w:cs="Arial"/>
          <w:szCs w:val="22"/>
          <w:lang w:val="es-PY"/>
        </w:rPr>
        <w:t>El establecimiento de especificaciones de pureza debe basarse en estudios de caracterización realizados como parte del desarrollo del producto y en una evaluación de la importancia de las impurezas. La pureza no implica necesariamente homogeneidad, y debe demostrarse consistencia respecto a las impurezas y su eliminación. En el desarrollo temprano, debe implementarse un control en proceso para determinar si se generan impurezas y cuantificar los niveles contaminantes. La necesidad de especificaciones de liberación para estas impurezas debe evaluarse en función de una evaluación de riesgos adecuada y de la estrategia de control global.</w:t>
      </w:r>
    </w:p>
    <w:p w:rsidR="009641F0" w:rsidRPr="00850F61" w:rsidRDefault="009641F0" w:rsidP="009641F0">
      <w:pPr>
        <w:spacing w:after="120"/>
        <w:jc w:val="both"/>
        <w:rPr>
          <w:rFonts w:ascii="Arial" w:eastAsia="Arial" w:hAnsi="Arial" w:cs="Arial"/>
          <w:szCs w:val="22"/>
          <w:lang w:val="es-PY"/>
        </w:rPr>
      </w:pPr>
      <w:r w:rsidRPr="00850F61">
        <w:rPr>
          <w:rFonts w:ascii="Arial" w:eastAsia="Arial" w:hAnsi="Arial" w:cs="Arial"/>
          <w:szCs w:val="22"/>
          <w:lang w:val="es-PY"/>
        </w:rPr>
        <w:t xml:space="preserve">Cualquier material capaz de introducir productos de degradación durante la producción, p. ej., materiales biodegradables, debe caracterizarse </w:t>
      </w:r>
      <w:r w:rsidRPr="00850F61">
        <w:rPr>
          <w:rFonts w:ascii="Arial" w:eastAsia="Arial" w:hAnsi="Arial" w:cs="Arial"/>
          <w:szCs w:val="22"/>
          <w:lang w:val="es-PY"/>
        </w:rPr>
        <w:lastRenderedPageBreak/>
        <w:t>exhaustivamente en este aspecto y debe abordarse el impacto sobre los componentes celulares.</w:t>
      </w:r>
    </w:p>
    <w:p w:rsidR="009641F0" w:rsidRPr="00850F61" w:rsidRDefault="009641F0" w:rsidP="009641F0">
      <w:pPr>
        <w:spacing w:after="120"/>
        <w:jc w:val="both"/>
        <w:rPr>
          <w:rFonts w:ascii="Arial" w:eastAsia="Arial" w:hAnsi="Arial" w:cs="Arial"/>
          <w:szCs w:val="22"/>
          <w:lang w:val="es-PY"/>
        </w:rPr>
      </w:pPr>
      <w:r w:rsidRPr="00850F61">
        <w:rPr>
          <w:rFonts w:ascii="Arial" w:eastAsia="Arial" w:hAnsi="Arial" w:cs="Arial"/>
          <w:szCs w:val="22"/>
          <w:lang w:val="es-PY"/>
        </w:rPr>
        <w:t>Los procedimientos analíticos deben demostrarse como adecuados para detectar, identificar y cuantificar niveles biológicamente significativos de impurezas.</w:t>
      </w:r>
    </w:p>
    <w:p w:rsidR="009641F0" w:rsidRPr="00850F61" w:rsidRDefault="009641F0" w:rsidP="009641F0">
      <w:pPr>
        <w:spacing w:after="120"/>
        <w:jc w:val="both"/>
        <w:rPr>
          <w:rFonts w:ascii="Arial" w:eastAsia="Arial" w:hAnsi="Arial" w:cs="Arial"/>
          <w:szCs w:val="22"/>
          <w:lang w:val="es-PY"/>
        </w:rPr>
      </w:pPr>
      <w:r w:rsidRPr="00850F61">
        <w:rPr>
          <w:rFonts w:ascii="Arial" w:eastAsia="Arial" w:hAnsi="Arial" w:cs="Arial"/>
          <w:szCs w:val="22"/>
          <w:lang w:val="es-PY"/>
        </w:rPr>
        <w:t xml:space="preserve">Las impurezas relacionadas con el proceso (p. ej., residuos de medios, factores de crecimiento, proteínas de células huésped, ADN de células huésped, </w:t>
      </w:r>
      <w:proofErr w:type="spellStart"/>
      <w:r w:rsidRPr="00850F61">
        <w:rPr>
          <w:rFonts w:ascii="Arial" w:eastAsia="Arial" w:hAnsi="Arial" w:cs="Arial"/>
          <w:szCs w:val="22"/>
          <w:lang w:val="es-PY"/>
        </w:rPr>
        <w:t>lixiviables</w:t>
      </w:r>
      <w:proofErr w:type="spellEnd"/>
      <w:r w:rsidRPr="00850F61">
        <w:rPr>
          <w:rFonts w:ascii="Arial" w:eastAsia="Arial" w:hAnsi="Arial" w:cs="Arial"/>
          <w:szCs w:val="22"/>
          <w:lang w:val="es-PY"/>
        </w:rPr>
        <w:t xml:space="preserve"> de columnas) y las impurezas relacionadas con el producto (p. ej., tipos celulares no vinculados al efecto terapéutico, fragmentos celulares o células no viables, precursores, productos de degradación, agregados) deben mantenerse al mínimo y debe proporcionarse una evaluación de riesgos. Con base en los riesgos identificados, debe considerarse la cantidad máxima para la dosis clínica más alta y proporcionarse una estimación de la depuración. En caso de que solo se aporten datos cualitativos para ciertas impurezas, esto debe justificarse.</w:t>
      </w:r>
    </w:p>
    <w:p w:rsidR="009641F0" w:rsidRPr="00850F61" w:rsidRDefault="009641F0" w:rsidP="009641F0">
      <w:pPr>
        <w:spacing w:after="120"/>
        <w:jc w:val="both"/>
        <w:rPr>
          <w:rFonts w:ascii="Arial" w:eastAsia="Arial" w:hAnsi="Arial" w:cs="Arial"/>
          <w:szCs w:val="22"/>
          <w:lang w:val="es-PY"/>
        </w:rPr>
      </w:pPr>
      <w:r w:rsidRPr="00850F61">
        <w:rPr>
          <w:rFonts w:ascii="Arial" w:eastAsia="Arial" w:hAnsi="Arial" w:cs="Arial"/>
          <w:szCs w:val="22"/>
          <w:lang w:val="es-PY"/>
        </w:rPr>
        <w:t>Debe proporcionarse información sobre las impurezas relacionadas con el producto (p. ej., células no viables, tipos celulares no relevantes) y deben emplearse métodos apropiados para evaluar dichas impurezas relacionadas con el producto.</w:t>
      </w:r>
    </w:p>
    <w:p w:rsidR="009641F0" w:rsidRPr="00850F61" w:rsidRDefault="009641F0" w:rsidP="009641F0">
      <w:pPr>
        <w:spacing w:after="120"/>
        <w:jc w:val="both"/>
        <w:rPr>
          <w:rFonts w:ascii="Arial" w:eastAsia="Arial" w:hAnsi="Arial" w:cs="Arial"/>
          <w:szCs w:val="22"/>
          <w:lang w:val="es-PY"/>
        </w:rPr>
      </w:pPr>
      <w:r w:rsidRPr="00850F61">
        <w:rPr>
          <w:rFonts w:ascii="Arial" w:eastAsia="Arial" w:hAnsi="Arial" w:cs="Arial"/>
          <w:szCs w:val="22"/>
          <w:lang w:val="es-PY"/>
        </w:rPr>
        <w:t xml:space="preserve">Para </w:t>
      </w:r>
      <w:proofErr w:type="spellStart"/>
      <w:r w:rsidRPr="00850F61">
        <w:rPr>
          <w:rFonts w:ascii="Arial" w:eastAsia="Arial" w:hAnsi="Arial" w:cs="Arial"/>
          <w:szCs w:val="22"/>
          <w:lang w:val="es-PY"/>
        </w:rPr>
        <w:t>ATMPs</w:t>
      </w:r>
      <w:proofErr w:type="spellEnd"/>
      <w:r w:rsidRPr="00850F61">
        <w:rPr>
          <w:rFonts w:ascii="Arial" w:eastAsia="Arial" w:hAnsi="Arial" w:cs="Arial"/>
          <w:szCs w:val="22"/>
          <w:lang w:val="es-PY"/>
        </w:rPr>
        <w:t xml:space="preserve"> celulares en investigación, cuando solo una población seleccionada de células en una mezcla sea responsable del efecto terapéutico, las otras poblaciones celulares también deben definirse y su cantidad controlarse mediante especificaciones adecuadas.</w:t>
      </w:r>
    </w:p>
    <w:p w:rsidR="009641F0" w:rsidRPr="00850F61" w:rsidRDefault="009641F0" w:rsidP="009641F0">
      <w:pPr>
        <w:spacing w:after="120"/>
        <w:jc w:val="both"/>
        <w:rPr>
          <w:rFonts w:ascii="Arial" w:eastAsia="Arial" w:hAnsi="Arial" w:cs="Arial"/>
          <w:szCs w:val="22"/>
          <w:lang w:val="es-PY"/>
        </w:rPr>
      </w:pPr>
      <w:r w:rsidRPr="00850F61">
        <w:rPr>
          <w:rFonts w:ascii="Arial" w:eastAsia="Arial" w:hAnsi="Arial" w:cs="Arial"/>
          <w:szCs w:val="22"/>
          <w:lang w:val="es-PY"/>
        </w:rPr>
        <w:t>Independientemente del tipo celular, la población celular puede contener células no viables. Dado que la viabilidad celular es un parámetro importante para la integridad del producto y está directamente correlacionada con la actividad biológica en la mayoría de los casos, debe establecerse y justificarse una especificación para el contenido de células no viables, como la proporción de células no viables respecto a viables, % de viabilidad (del total de células/población celular prevista, si corresponde) o un límite del número total de células no viables por dosis.</w:t>
      </w:r>
    </w:p>
    <w:p w:rsidR="009641F0" w:rsidRDefault="009641F0" w:rsidP="009641F0">
      <w:pPr>
        <w:spacing w:after="120"/>
        <w:jc w:val="both"/>
        <w:rPr>
          <w:rFonts w:ascii="Arial" w:eastAsia="Arial" w:hAnsi="Arial" w:cs="Arial"/>
          <w:szCs w:val="22"/>
          <w:lang w:val="es-PY"/>
        </w:rPr>
      </w:pPr>
      <w:r w:rsidRPr="00850F61">
        <w:rPr>
          <w:rFonts w:ascii="Arial" w:eastAsia="Arial" w:hAnsi="Arial" w:cs="Arial"/>
          <w:szCs w:val="22"/>
          <w:lang w:val="es-PY"/>
        </w:rPr>
        <w:t xml:space="preserve">Para vectores de terapia génica, las impurezas relacionadas con el producto pueden incluir (entre otras) vectores con secuencias eliminadas, reorganizadas, híbridas o mutadas, o ácidos nucleicos </w:t>
      </w:r>
      <w:proofErr w:type="spellStart"/>
      <w:r w:rsidRPr="00850F61">
        <w:rPr>
          <w:rFonts w:ascii="Arial" w:eastAsia="Arial" w:hAnsi="Arial" w:cs="Arial"/>
          <w:szCs w:val="22"/>
          <w:lang w:val="es-PY"/>
        </w:rPr>
        <w:t>co</w:t>
      </w:r>
      <w:r>
        <w:rPr>
          <w:rFonts w:ascii="Arial" w:eastAsia="Arial" w:hAnsi="Arial" w:cs="Arial"/>
          <w:szCs w:val="22"/>
          <w:lang w:val="es-PY"/>
        </w:rPr>
        <w:t>-</w:t>
      </w:r>
      <w:r w:rsidRPr="00850F61">
        <w:rPr>
          <w:rFonts w:ascii="Arial" w:eastAsia="Arial" w:hAnsi="Arial" w:cs="Arial"/>
          <w:szCs w:val="22"/>
          <w:lang w:val="es-PY"/>
        </w:rPr>
        <w:t>empaquetados</w:t>
      </w:r>
      <w:proofErr w:type="spellEnd"/>
      <w:r w:rsidRPr="00850F61">
        <w:rPr>
          <w:rFonts w:ascii="Arial" w:eastAsia="Arial" w:hAnsi="Arial" w:cs="Arial"/>
          <w:szCs w:val="22"/>
          <w:lang w:val="es-PY"/>
        </w:rPr>
        <w:t xml:space="preserve">, partículas vectoriales no infecciosas y vacías, proteínas virales, agregados de vectores. En el caso de vectores diseñados para ser deficientes en replicación o condicionalmente replicantes, debe demostrarse la ausencia global de virus competentes en replicación o establecerse un límite superior justificado y minimizado y/o </w:t>
      </w:r>
      <w:r w:rsidRPr="00850F61">
        <w:rPr>
          <w:rFonts w:ascii="Arial" w:eastAsia="Arial" w:hAnsi="Arial" w:cs="Arial"/>
          <w:szCs w:val="22"/>
          <w:lang w:val="es-PY"/>
        </w:rPr>
        <w:lastRenderedPageBreak/>
        <w:t>demostrarse la replicación condicional. Los virus auxiliares o híbridos generados o utilizados durante la fabricación, o los componentes del sistema de producción, deben eliminarse o minimizarse.</w:t>
      </w:r>
    </w:p>
    <w:p w:rsidR="009641F0" w:rsidRDefault="009641F0" w:rsidP="009641F0">
      <w:pPr>
        <w:spacing w:after="120"/>
        <w:jc w:val="both"/>
        <w:rPr>
          <w:rFonts w:ascii="Arial" w:eastAsia="Arial" w:hAnsi="Arial" w:cs="Arial"/>
          <w:szCs w:val="22"/>
          <w:lang w:val="es-PY"/>
        </w:rPr>
      </w:pPr>
      <w:r w:rsidRPr="00C04DA2">
        <w:rPr>
          <w:rFonts w:ascii="Arial" w:eastAsia="Arial" w:hAnsi="Arial" w:cs="Arial"/>
          <w:szCs w:val="22"/>
          <w:lang w:val="es-PY"/>
        </w:rPr>
        <w:t xml:space="preserve">Para los productos de terapia génica, las impurezas relacionadas con el proceso dependen del proceso de fabricación y pueden incluir (entre otras): </w:t>
      </w:r>
    </w:p>
    <w:p w:rsidR="009641F0" w:rsidRDefault="009641F0" w:rsidP="009641F0">
      <w:pPr>
        <w:spacing w:after="120"/>
        <w:jc w:val="both"/>
        <w:rPr>
          <w:rFonts w:ascii="Arial" w:eastAsia="Arial" w:hAnsi="Arial" w:cs="Arial"/>
          <w:szCs w:val="22"/>
          <w:lang w:val="es-PY"/>
        </w:rPr>
      </w:pPr>
      <w:r w:rsidRPr="00C04DA2">
        <w:rPr>
          <w:rFonts w:ascii="Arial" w:eastAsia="Arial" w:hAnsi="Arial" w:cs="Arial"/>
          <w:szCs w:val="22"/>
          <w:lang w:val="es-PY"/>
        </w:rPr>
        <w:t>• virus residuales, ADN viral y proteínas, por ejemplo, del sistema de expresión celular; ARN guía (</w:t>
      </w:r>
      <w:proofErr w:type="spellStart"/>
      <w:r w:rsidRPr="00C04DA2">
        <w:rPr>
          <w:rFonts w:ascii="Arial" w:eastAsia="Arial" w:hAnsi="Arial" w:cs="Arial"/>
          <w:szCs w:val="22"/>
          <w:lang w:val="es-PY"/>
        </w:rPr>
        <w:t>gRNA</w:t>
      </w:r>
      <w:proofErr w:type="spellEnd"/>
      <w:r w:rsidRPr="00C04DA2">
        <w:rPr>
          <w:rFonts w:ascii="Arial" w:eastAsia="Arial" w:hAnsi="Arial" w:cs="Arial"/>
          <w:szCs w:val="22"/>
          <w:lang w:val="es-PY"/>
        </w:rPr>
        <w:t xml:space="preserve">) residual o proteínas, por ejemplo, de un sistema de edición génica CRISPR-Cas9; </w:t>
      </w:r>
    </w:p>
    <w:p w:rsidR="009641F0" w:rsidRDefault="009641F0" w:rsidP="009641F0">
      <w:pPr>
        <w:spacing w:after="120"/>
        <w:jc w:val="both"/>
        <w:rPr>
          <w:rFonts w:ascii="Arial" w:eastAsia="Arial" w:hAnsi="Arial" w:cs="Arial"/>
          <w:szCs w:val="22"/>
          <w:lang w:val="es-PY"/>
        </w:rPr>
      </w:pPr>
      <w:r w:rsidRPr="00C04DA2">
        <w:rPr>
          <w:rFonts w:ascii="Arial" w:eastAsia="Arial" w:hAnsi="Arial" w:cs="Arial"/>
          <w:szCs w:val="22"/>
          <w:lang w:val="es-PY"/>
        </w:rPr>
        <w:t xml:space="preserve">• ADN y proteínas residuales, por ejemplo, ADN y proteínas de células huésped, ADN plasmídico residual; </w:t>
      </w:r>
    </w:p>
    <w:p w:rsidR="009641F0" w:rsidRDefault="009641F0" w:rsidP="009641F0">
      <w:pPr>
        <w:spacing w:after="120"/>
        <w:jc w:val="both"/>
        <w:rPr>
          <w:rFonts w:ascii="Arial" w:eastAsia="Arial" w:hAnsi="Arial" w:cs="Arial"/>
          <w:szCs w:val="22"/>
          <w:lang w:val="es-PY"/>
        </w:rPr>
      </w:pPr>
      <w:r w:rsidRPr="00C04DA2">
        <w:rPr>
          <w:rFonts w:ascii="Arial" w:eastAsia="Arial" w:hAnsi="Arial" w:cs="Arial"/>
          <w:szCs w:val="22"/>
          <w:lang w:val="es-PY"/>
        </w:rPr>
        <w:t xml:space="preserve">• lípidos y polisacáridos, por ejemplo, de fermentaciones bacterianas; </w:t>
      </w:r>
    </w:p>
    <w:p w:rsidR="009641F0" w:rsidRPr="00C04DA2" w:rsidRDefault="009641F0" w:rsidP="009641F0">
      <w:pPr>
        <w:spacing w:after="120"/>
        <w:jc w:val="both"/>
        <w:rPr>
          <w:rFonts w:ascii="Arial" w:eastAsia="Arial" w:hAnsi="Arial" w:cs="Arial"/>
          <w:szCs w:val="22"/>
          <w:lang w:val="es-PY"/>
        </w:rPr>
      </w:pPr>
      <w:r w:rsidRPr="00C04DA2">
        <w:rPr>
          <w:rFonts w:ascii="Arial" w:eastAsia="Arial" w:hAnsi="Arial" w:cs="Arial"/>
          <w:szCs w:val="22"/>
          <w:lang w:val="es-PY"/>
        </w:rPr>
        <w:t>• ARN y ADN cromosómico, por ejemplo, de la purificación de plásmidos.</w:t>
      </w:r>
    </w:p>
    <w:p w:rsidR="009641F0" w:rsidRPr="00C04DA2" w:rsidRDefault="009641F0" w:rsidP="009641F0">
      <w:pPr>
        <w:spacing w:after="120"/>
        <w:jc w:val="both"/>
        <w:rPr>
          <w:rFonts w:ascii="Arial" w:eastAsia="Arial" w:hAnsi="Arial" w:cs="Arial"/>
          <w:szCs w:val="22"/>
          <w:lang w:val="es-PY"/>
        </w:rPr>
      </w:pPr>
      <w:r w:rsidRPr="00C04DA2">
        <w:rPr>
          <w:rFonts w:ascii="Arial" w:eastAsia="Arial" w:hAnsi="Arial" w:cs="Arial"/>
          <w:szCs w:val="22"/>
          <w:lang w:val="es-PY"/>
        </w:rPr>
        <w:t>Debe proporcionarse información tanto sobre las impurezas relacionadas con el producto como sobre las relacionadas con el proceso, según corresponda, con un enfoque inicial particular en la seguridad. Con base en una evaluación de riesgos, debe justificarse la aceptabilidad de los niveles de estas impurezas.</w:t>
      </w:r>
    </w:p>
    <w:p w:rsidR="009641F0" w:rsidRDefault="009641F0" w:rsidP="009641F0">
      <w:pPr>
        <w:spacing w:after="120"/>
        <w:jc w:val="both"/>
        <w:rPr>
          <w:rFonts w:ascii="Arial" w:eastAsia="Arial" w:hAnsi="Arial" w:cs="Arial"/>
          <w:szCs w:val="22"/>
          <w:lang w:val="es-PY"/>
        </w:rPr>
      </w:pPr>
      <w:r w:rsidRPr="00C04DA2">
        <w:rPr>
          <w:rFonts w:ascii="Arial" w:eastAsia="Arial" w:hAnsi="Arial" w:cs="Arial"/>
          <w:szCs w:val="22"/>
          <w:lang w:val="es-PY"/>
        </w:rPr>
        <w:t>Si se utilizan células modificadas genéticamente en el producto, cualquier proteína adicional expresada a partir del vector, por ejemplo, factores de resistencia a antibióticos u otros marcadores de selección, debe analizarse y justificarse su presencia en el producto.</w:t>
      </w:r>
    </w:p>
    <w:p w:rsidR="009641F0" w:rsidRPr="00AB5E40" w:rsidRDefault="009641F0" w:rsidP="009641F0">
      <w:pPr>
        <w:spacing w:after="120"/>
        <w:jc w:val="both"/>
        <w:rPr>
          <w:rFonts w:ascii="Arial" w:eastAsia="Arial" w:hAnsi="Arial" w:cs="Arial"/>
          <w:b/>
          <w:i/>
          <w:szCs w:val="22"/>
          <w:lang w:val="es-PY"/>
        </w:rPr>
      </w:pPr>
      <w:r w:rsidRPr="00AB5E40">
        <w:rPr>
          <w:rFonts w:ascii="Arial" w:eastAsia="Arial" w:hAnsi="Arial" w:cs="Arial"/>
          <w:b/>
          <w:i/>
          <w:szCs w:val="22"/>
          <w:lang w:val="es-PY"/>
        </w:rPr>
        <w:t xml:space="preserve">S.4. Control de la sustancia activa </w:t>
      </w:r>
    </w:p>
    <w:p w:rsidR="009641F0" w:rsidRPr="00F61772" w:rsidRDefault="009641F0" w:rsidP="009641F0">
      <w:pPr>
        <w:spacing w:after="120"/>
        <w:jc w:val="both"/>
        <w:rPr>
          <w:rFonts w:ascii="Arial" w:eastAsia="Arial" w:hAnsi="Arial" w:cs="Arial"/>
          <w:szCs w:val="22"/>
          <w:lang w:val="es-PY"/>
        </w:rPr>
      </w:pPr>
      <w:r w:rsidRPr="00F61772">
        <w:rPr>
          <w:rFonts w:ascii="Arial" w:eastAsia="Arial" w:hAnsi="Arial" w:cs="Arial"/>
          <w:szCs w:val="22"/>
          <w:lang w:val="es-PY"/>
        </w:rPr>
        <w:t>Durante todas las fases de los ensayos clínicos, pero particularmente cuando los datos de validación del proceso son incompletos, los atributos de calidad para controlar la sustancia activa son importantes para demostrar la calidad farmacéutica, la consistencia del producto y la comparabilidad tras cambios en el proceso.</w:t>
      </w:r>
    </w:p>
    <w:p w:rsidR="009641F0" w:rsidRPr="00F61772" w:rsidRDefault="009641F0" w:rsidP="009641F0">
      <w:pPr>
        <w:spacing w:after="120"/>
        <w:jc w:val="both"/>
        <w:rPr>
          <w:rFonts w:ascii="Arial" w:eastAsia="Arial" w:hAnsi="Arial" w:cs="Arial"/>
          <w:szCs w:val="22"/>
          <w:lang w:val="es-PY"/>
        </w:rPr>
      </w:pPr>
      <w:r w:rsidRPr="00F61772">
        <w:rPr>
          <w:rFonts w:ascii="Arial" w:eastAsia="Arial" w:hAnsi="Arial" w:cs="Arial"/>
          <w:szCs w:val="22"/>
          <w:lang w:val="es-PY"/>
        </w:rPr>
        <w:t>Para facilitar la mejora de los métodos analíticos y gestionar los requisitos de comparabilidad, los atributos de calidad controlados o caracterizados a lo largo del proceso de desarrollo deben ser más completos que las pruebas incluidas en la especificación.</w:t>
      </w:r>
    </w:p>
    <w:p w:rsidR="009641F0" w:rsidRPr="00F61772" w:rsidRDefault="009641F0" w:rsidP="009641F0">
      <w:pPr>
        <w:spacing w:after="120"/>
        <w:jc w:val="both"/>
        <w:rPr>
          <w:rFonts w:ascii="Arial" w:eastAsia="Arial" w:hAnsi="Arial" w:cs="Arial"/>
          <w:szCs w:val="22"/>
          <w:lang w:val="es-PY"/>
        </w:rPr>
      </w:pPr>
      <w:r w:rsidRPr="00F61772">
        <w:rPr>
          <w:rFonts w:ascii="Arial" w:eastAsia="Arial" w:hAnsi="Arial" w:cs="Arial"/>
          <w:szCs w:val="22"/>
          <w:lang w:val="es-PY"/>
        </w:rPr>
        <w:t>Para el control de calidad, la sustancia activa debe someterse a pruebas de liberación siempre que sea posible. Si está justificado, puede ser aceptable tener pruebas reducidas en la liberación, siempre que se realice un control exhaustivo en otra etapa del proceso de fabricación.</w:t>
      </w:r>
    </w:p>
    <w:p w:rsidR="009641F0" w:rsidRDefault="009641F0" w:rsidP="009641F0">
      <w:pPr>
        <w:spacing w:after="120"/>
        <w:jc w:val="both"/>
        <w:rPr>
          <w:rFonts w:ascii="Arial" w:eastAsia="Arial" w:hAnsi="Arial" w:cs="Arial"/>
          <w:szCs w:val="22"/>
          <w:lang w:val="es-PY"/>
        </w:rPr>
      </w:pPr>
      <w:r w:rsidRPr="00F61772">
        <w:rPr>
          <w:rFonts w:ascii="Arial" w:eastAsia="Arial" w:hAnsi="Arial" w:cs="Arial"/>
          <w:szCs w:val="22"/>
          <w:lang w:val="es-PY"/>
        </w:rPr>
        <w:lastRenderedPageBreak/>
        <w:t>Cuando las pruebas rutinarias de liberación sean limitadas o no posibles, la estrategia de control global debe adaptarse en consecuencia. Con base en la caracterización del producto y del proceso, así como en los atributos críticos de calidad (</w:t>
      </w:r>
      <w:proofErr w:type="spellStart"/>
      <w:r w:rsidRPr="00F61772">
        <w:rPr>
          <w:rFonts w:ascii="Arial" w:eastAsia="Arial" w:hAnsi="Arial" w:cs="Arial"/>
          <w:szCs w:val="22"/>
          <w:lang w:val="es-PY"/>
        </w:rPr>
        <w:t>CQAs</w:t>
      </w:r>
      <w:proofErr w:type="spellEnd"/>
      <w:r w:rsidRPr="00F61772">
        <w:rPr>
          <w:rFonts w:ascii="Arial" w:eastAsia="Arial" w:hAnsi="Arial" w:cs="Arial"/>
          <w:szCs w:val="22"/>
          <w:lang w:val="es-PY"/>
        </w:rPr>
        <w:t>) identificados, debe establecerse una estrategia de control que asegure suficientemente la calidad y consistencia del producto.</w:t>
      </w:r>
    </w:p>
    <w:p w:rsidR="009641F0" w:rsidRPr="00C132A3" w:rsidRDefault="009641F0" w:rsidP="009641F0">
      <w:pPr>
        <w:spacing w:after="120"/>
        <w:jc w:val="both"/>
        <w:rPr>
          <w:rFonts w:ascii="Arial" w:eastAsia="Arial" w:hAnsi="Arial" w:cs="Arial"/>
          <w:b/>
          <w:i/>
          <w:szCs w:val="22"/>
          <w:lang w:val="es-PY"/>
        </w:rPr>
      </w:pPr>
      <w:r w:rsidRPr="00C132A3">
        <w:rPr>
          <w:rFonts w:ascii="Arial" w:eastAsia="Arial" w:hAnsi="Arial" w:cs="Arial"/>
          <w:b/>
          <w:i/>
          <w:szCs w:val="22"/>
          <w:lang w:val="es-PY"/>
        </w:rPr>
        <w:t xml:space="preserve">S.4.1. Especificación </w:t>
      </w:r>
    </w:p>
    <w:p w:rsidR="009641F0" w:rsidRPr="00455F39" w:rsidRDefault="009641F0" w:rsidP="009641F0">
      <w:pPr>
        <w:spacing w:after="120"/>
        <w:jc w:val="both"/>
        <w:rPr>
          <w:rFonts w:ascii="Arial" w:eastAsia="Arial" w:hAnsi="Arial" w:cs="Arial"/>
          <w:szCs w:val="22"/>
          <w:lang w:val="es-PY"/>
        </w:rPr>
      </w:pPr>
      <w:r w:rsidRPr="00455F39">
        <w:rPr>
          <w:rFonts w:ascii="Arial" w:eastAsia="Arial" w:hAnsi="Arial" w:cs="Arial"/>
          <w:szCs w:val="22"/>
          <w:lang w:val="es-PY"/>
        </w:rPr>
        <w:t>Las especificaciones para los lotes de la sustancia activa que se utilizarán en el ensayo clínico deben definirse. Los criterios de aceptación junto con las pruebas empleadas deben garantizar un control suficiente de la calidad de la sustancia activa.</w:t>
      </w:r>
    </w:p>
    <w:p w:rsidR="009641F0" w:rsidRPr="00455F39" w:rsidRDefault="009641F0" w:rsidP="009641F0">
      <w:pPr>
        <w:spacing w:after="120"/>
        <w:jc w:val="both"/>
        <w:rPr>
          <w:rFonts w:ascii="Arial" w:eastAsia="Arial" w:hAnsi="Arial" w:cs="Arial"/>
          <w:szCs w:val="22"/>
          <w:lang w:val="es-PY"/>
        </w:rPr>
      </w:pPr>
      <w:r w:rsidRPr="00455F39">
        <w:rPr>
          <w:rFonts w:ascii="Arial" w:eastAsia="Arial" w:hAnsi="Arial" w:cs="Arial"/>
          <w:szCs w:val="22"/>
          <w:lang w:val="es-PY"/>
        </w:rPr>
        <w:t>La especificación de liberación de la sustancia activa debe seleccionarse en función de los atributos de calidad de la sustancia activa definidos durante los estudios de caracterización. La selección de los métodos analíticos utilizados para medir estos atributos debe ser definida por el solicitante y justificada en la sección S.4.5.</w:t>
      </w:r>
    </w:p>
    <w:p w:rsidR="009641F0" w:rsidRPr="00455F39" w:rsidRDefault="009641F0" w:rsidP="009641F0">
      <w:pPr>
        <w:spacing w:after="120"/>
        <w:jc w:val="both"/>
        <w:rPr>
          <w:rFonts w:ascii="Arial" w:eastAsia="Arial" w:hAnsi="Arial" w:cs="Arial"/>
          <w:szCs w:val="22"/>
          <w:lang w:val="es-PY"/>
        </w:rPr>
      </w:pPr>
      <w:r w:rsidRPr="00455F39">
        <w:rPr>
          <w:rFonts w:ascii="Arial" w:eastAsia="Arial" w:hAnsi="Arial" w:cs="Arial"/>
          <w:szCs w:val="22"/>
          <w:lang w:val="es-PY"/>
        </w:rPr>
        <w:t>Durante las fases tempranas del desarrollo clínico, la especificación puede incluir criterios de aceptación más amplios basados en el conocimiento actual de los riesgos. Como los criterios de aceptación se basan normalmente en un número limitado de lotes de desarrollo y lotes utilizados en estudios no clínicos y clínicos, por su naturaleza son preliminares y deben ser objeto de revisión durante el desarrollo.</w:t>
      </w:r>
    </w:p>
    <w:p w:rsidR="009641F0" w:rsidRPr="00455F39" w:rsidRDefault="009641F0" w:rsidP="009641F0">
      <w:pPr>
        <w:spacing w:after="120"/>
        <w:jc w:val="both"/>
        <w:rPr>
          <w:rFonts w:ascii="Arial" w:eastAsia="Arial" w:hAnsi="Arial" w:cs="Arial"/>
          <w:szCs w:val="22"/>
          <w:lang w:val="es-PY"/>
        </w:rPr>
      </w:pPr>
      <w:r w:rsidRPr="00455F39">
        <w:rPr>
          <w:rFonts w:ascii="Arial" w:eastAsia="Arial" w:hAnsi="Arial" w:cs="Arial"/>
          <w:szCs w:val="22"/>
          <w:lang w:val="es-PY"/>
        </w:rPr>
        <w:t>Si ciertas pruebas de liberación no pueden realizarse sobre la sustancia activa o el producto terminado, sino únicamente sobre intermediarios clave y/o como pruebas en proceso, esto debe justificarse.</w:t>
      </w:r>
    </w:p>
    <w:p w:rsidR="009641F0" w:rsidRPr="00455F39" w:rsidRDefault="009641F0" w:rsidP="009641F0">
      <w:pPr>
        <w:spacing w:after="120"/>
        <w:jc w:val="both"/>
        <w:rPr>
          <w:rFonts w:ascii="Arial" w:eastAsia="Arial" w:hAnsi="Arial" w:cs="Arial"/>
          <w:szCs w:val="22"/>
          <w:lang w:val="es-PY"/>
        </w:rPr>
      </w:pPr>
      <w:r w:rsidRPr="00455F39">
        <w:rPr>
          <w:rFonts w:ascii="Arial" w:eastAsia="Arial" w:hAnsi="Arial" w:cs="Arial"/>
          <w:szCs w:val="22"/>
          <w:lang w:val="es-PY"/>
        </w:rPr>
        <w:t>Las especificaciones deben ser significativas y cuantitativas, y debe evitarse siempre que sea posible el uso de “registrar” o “informar resultados”. Para los parámetros de prueba relevantes para la seguridad, la ausencia de límites definidos no es aceptable. Se esperan pruebas y criterios de aceptación definidos para cantidad, identidad, pureza, ensayos microbiológicos y actividad biológica. En algunos casos, puede estar justificado que las pruebas de actividad biológica no estén (aún) disponibles. En tales casos, la potencia del producto debe controlarse suficientemente (p. ej., mediante expresión génica o producción de proteínas). La ausencia de límites cuantitativos para potencia/actividad biológica en un ensayo clínico de primera administración en humanos podría aceptarse excepcionalmente, siempre que se justifique un control suficiente.</w:t>
      </w:r>
    </w:p>
    <w:p w:rsidR="009641F0" w:rsidRDefault="009641F0" w:rsidP="009641F0">
      <w:pPr>
        <w:spacing w:after="120"/>
        <w:jc w:val="both"/>
        <w:rPr>
          <w:rFonts w:ascii="Arial" w:eastAsia="Arial" w:hAnsi="Arial" w:cs="Arial"/>
          <w:szCs w:val="22"/>
          <w:lang w:val="es-PY"/>
        </w:rPr>
      </w:pPr>
      <w:r w:rsidRPr="00455F39">
        <w:rPr>
          <w:rFonts w:ascii="Arial" w:eastAsia="Arial" w:hAnsi="Arial" w:cs="Arial"/>
          <w:szCs w:val="22"/>
          <w:lang w:val="es-PY"/>
        </w:rPr>
        <w:lastRenderedPageBreak/>
        <w:t>Deben establecerse límites superiores, teniendo en cuenta consideraciones de seguridad, para las impurezas. En el desarrollo temprano, puede aceptarse una evaluación de riesgos y una justificación basada en la dilución teórica para excluir impurezas relacionadas con el proceso de las pruebas de liberación, con la excepción de las impurezas relevantes para la seguridad, p. ej., proteínas de células huésped, ADN residual y aspectos de seguridad microbiológica. Cuando las especificaciones de fin de vida útil difieran de las especificaciones de liberación, esto debe justificarse.</w:t>
      </w:r>
    </w:p>
    <w:p w:rsidR="009641F0" w:rsidRPr="00963BA6" w:rsidRDefault="009641F0" w:rsidP="009641F0">
      <w:pPr>
        <w:spacing w:after="120"/>
        <w:jc w:val="both"/>
        <w:rPr>
          <w:rFonts w:ascii="Arial" w:eastAsia="Arial" w:hAnsi="Arial" w:cs="Arial"/>
          <w:szCs w:val="22"/>
          <w:lang w:val="es-PY"/>
        </w:rPr>
      </w:pPr>
      <w:r w:rsidRPr="00963BA6">
        <w:rPr>
          <w:rFonts w:ascii="Arial" w:eastAsia="Arial" w:hAnsi="Arial" w:cs="Arial"/>
          <w:szCs w:val="22"/>
          <w:lang w:val="es-PY"/>
        </w:rPr>
        <w:t>Las características del producto adicionales a las especificaciones que no estén completamente definidas en una determinada etapa del desarrollo, o para las cuales los datos disponibles sean demasiado limitados para establecer criterios de aceptación relevantes, también deben registrarse y podrían incluirse en la especificación (ya que pueden convertirse en parte de las especificaciones en una etapa posterior), sin límites de aceptación predefinidos. Los resultados deben informarse en la sección de Análisis de Lotes (S.4.4).</w:t>
      </w:r>
    </w:p>
    <w:p w:rsidR="009641F0" w:rsidRPr="00963BA6" w:rsidRDefault="009641F0" w:rsidP="009641F0">
      <w:pPr>
        <w:spacing w:after="120"/>
        <w:jc w:val="both"/>
        <w:rPr>
          <w:rFonts w:ascii="Arial" w:eastAsia="Arial" w:hAnsi="Arial" w:cs="Arial"/>
          <w:szCs w:val="22"/>
          <w:lang w:val="es-PY"/>
        </w:rPr>
      </w:pPr>
      <w:r w:rsidRPr="00963BA6">
        <w:rPr>
          <w:rFonts w:ascii="Arial" w:eastAsia="Arial" w:hAnsi="Arial" w:cs="Arial"/>
          <w:szCs w:val="22"/>
          <w:lang w:val="es-PY"/>
        </w:rPr>
        <w:t>Cuando la especificación inicial de liberación se base en resultados obtenidos de voluntarios sanos en lugar de material de partida derivado de pacientes, los criterios de aceptación deben ser reevaluados y ajustados, si es necesario, una vez que se disponga de datos suficientes con material de pacientes. Con base en los datos de pacientes, los criterios de aceptación deben justificarse.</w:t>
      </w:r>
    </w:p>
    <w:p w:rsidR="009641F0" w:rsidRPr="00963BA6" w:rsidRDefault="009641F0" w:rsidP="009641F0">
      <w:pPr>
        <w:spacing w:after="120"/>
        <w:jc w:val="both"/>
        <w:rPr>
          <w:rFonts w:ascii="Arial" w:eastAsia="Arial" w:hAnsi="Arial" w:cs="Arial"/>
          <w:szCs w:val="22"/>
          <w:lang w:val="es-PY"/>
        </w:rPr>
      </w:pPr>
      <w:r w:rsidRPr="00963BA6">
        <w:rPr>
          <w:rFonts w:ascii="Arial" w:eastAsia="Arial" w:hAnsi="Arial" w:cs="Arial"/>
          <w:szCs w:val="22"/>
          <w:lang w:val="es-PY"/>
        </w:rPr>
        <w:t xml:space="preserve">En el caso de </w:t>
      </w:r>
      <w:proofErr w:type="spellStart"/>
      <w:r w:rsidRPr="00963BA6">
        <w:rPr>
          <w:rFonts w:ascii="Arial" w:eastAsia="Arial" w:hAnsi="Arial" w:cs="Arial"/>
          <w:szCs w:val="22"/>
          <w:lang w:val="es-PY"/>
        </w:rPr>
        <w:t>GTMPs</w:t>
      </w:r>
      <w:proofErr w:type="spellEnd"/>
      <w:r w:rsidRPr="00963BA6">
        <w:rPr>
          <w:rFonts w:ascii="Arial" w:eastAsia="Arial" w:hAnsi="Arial" w:cs="Arial"/>
          <w:szCs w:val="22"/>
          <w:lang w:val="es-PY"/>
        </w:rPr>
        <w:t xml:space="preserve"> en investigación, cuando corresponda, debe asegurarse la identidad genética y la integridad de la sustancia activa. Las pruebas deben identificar tanto la secuencia terapéutica como el vector y, si corresponde y es posible, las secuencias de ácidos nucleicos </w:t>
      </w:r>
      <w:proofErr w:type="spellStart"/>
      <w:r w:rsidRPr="00963BA6">
        <w:rPr>
          <w:rFonts w:ascii="Arial" w:eastAsia="Arial" w:hAnsi="Arial" w:cs="Arial"/>
          <w:szCs w:val="22"/>
          <w:lang w:val="es-PY"/>
        </w:rPr>
        <w:t>complejados</w:t>
      </w:r>
      <w:proofErr w:type="spellEnd"/>
      <w:r w:rsidRPr="00963BA6">
        <w:rPr>
          <w:rFonts w:ascii="Arial" w:eastAsia="Arial" w:hAnsi="Arial" w:cs="Arial"/>
          <w:szCs w:val="22"/>
          <w:lang w:val="es-PY"/>
        </w:rPr>
        <w:t>. Además de los datos de secuenciación, la identidad de la sustancia activa también puede confirmarse mediante ensayos de infección/transducción y detección de la expresión/actividad de la(s) secuencia(s) terapéutica(s). Se espera una evaluación de la proporción de partículas infecciosas frente a partículas físicas en el caso de vectores virales.</w:t>
      </w:r>
    </w:p>
    <w:p w:rsidR="009641F0" w:rsidRDefault="009641F0" w:rsidP="009641F0">
      <w:pPr>
        <w:spacing w:after="120"/>
        <w:jc w:val="both"/>
        <w:rPr>
          <w:rFonts w:ascii="Arial" w:eastAsia="Arial" w:hAnsi="Arial" w:cs="Arial"/>
          <w:szCs w:val="22"/>
          <w:lang w:val="es-PY"/>
        </w:rPr>
      </w:pPr>
      <w:r w:rsidRPr="00963BA6">
        <w:rPr>
          <w:rFonts w:ascii="Arial" w:eastAsia="Arial" w:hAnsi="Arial" w:cs="Arial"/>
          <w:szCs w:val="22"/>
          <w:lang w:val="es-PY"/>
        </w:rPr>
        <w:t xml:space="preserve">En el caso de células modificadas genéticamente </w:t>
      </w:r>
      <w:r w:rsidRPr="00371FE1">
        <w:rPr>
          <w:rFonts w:ascii="Arial" w:eastAsia="Arial" w:hAnsi="Arial" w:cs="Arial"/>
          <w:i/>
          <w:szCs w:val="22"/>
          <w:lang w:val="es-PY"/>
        </w:rPr>
        <w:t>ex vivo</w:t>
      </w:r>
      <w:r w:rsidRPr="00963BA6">
        <w:rPr>
          <w:rFonts w:ascii="Arial" w:eastAsia="Arial" w:hAnsi="Arial" w:cs="Arial"/>
          <w:szCs w:val="22"/>
          <w:lang w:val="es-PY"/>
        </w:rPr>
        <w:t>, el número promedio de copias de vector por célula transducida/</w:t>
      </w:r>
      <w:proofErr w:type="spellStart"/>
      <w:r w:rsidRPr="00963BA6">
        <w:rPr>
          <w:rFonts w:ascii="Arial" w:eastAsia="Arial" w:hAnsi="Arial" w:cs="Arial"/>
          <w:szCs w:val="22"/>
          <w:lang w:val="es-PY"/>
        </w:rPr>
        <w:t>transfectada</w:t>
      </w:r>
      <w:proofErr w:type="spellEnd"/>
      <w:r w:rsidRPr="00963BA6">
        <w:rPr>
          <w:rFonts w:ascii="Arial" w:eastAsia="Arial" w:hAnsi="Arial" w:cs="Arial"/>
          <w:szCs w:val="22"/>
          <w:lang w:val="es-PY"/>
        </w:rPr>
        <w:t xml:space="preserve"> debe medirse y justificarse en relación con el uso previsto del producto. Las eficiencias de transducción/transfección y de expresión del transgén (o, en el caso de edición génica, el porcentaje de células modificadas genéticamente) deben medirse, cuando el mecanismo de acción lo permita.</w:t>
      </w:r>
    </w:p>
    <w:p w:rsidR="009641F0" w:rsidRPr="00406025" w:rsidRDefault="009641F0" w:rsidP="009641F0">
      <w:pPr>
        <w:spacing w:after="120"/>
        <w:jc w:val="both"/>
        <w:rPr>
          <w:rFonts w:ascii="Arial" w:eastAsia="Arial" w:hAnsi="Arial" w:cs="Arial"/>
          <w:b/>
          <w:i/>
          <w:szCs w:val="22"/>
          <w:lang w:val="es-PY"/>
        </w:rPr>
      </w:pPr>
      <w:r w:rsidRPr="00406025">
        <w:rPr>
          <w:rFonts w:ascii="Arial" w:eastAsia="Arial" w:hAnsi="Arial" w:cs="Arial"/>
          <w:b/>
          <w:i/>
          <w:szCs w:val="22"/>
          <w:lang w:val="es-PY"/>
        </w:rPr>
        <w:t xml:space="preserve">Información adicional para ensayos clínicos confirmatorios </w:t>
      </w:r>
    </w:p>
    <w:p w:rsidR="009641F0" w:rsidRPr="00BD273B" w:rsidRDefault="009641F0" w:rsidP="009641F0">
      <w:pPr>
        <w:spacing w:after="120"/>
        <w:jc w:val="both"/>
        <w:rPr>
          <w:rFonts w:ascii="Arial" w:eastAsia="Arial" w:hAnsi="Arial" w:cs="Arial"/>
          <w:szCs w:val="22"/>
          <w:lang w:val="es-PY"/>
        </w:rPr>
      </w:pPr>
      <w:r w:rsidRPr="00BD273B">
        <w:rPr>
          <w:rFonts w:ascii="Arial" w:eastAsia="Arial" w:hAnsi="Arial" w:cs="Arial"/>
          <w:szCs w:val="22"/>
          <w:lang w:val="es-PY"/>
        </w:rPr>
        <w:lastRenderedPageBreak/>
        <w:t>A medida que aumentan el conocimiento y la experiencia, puede ser necesario añadir o eliminar pruebas de atributos de calidad y modificar los métodos analíticos. Los atributos de calidad, los métodos analíticos y los criterios de aceptación establecidos para ensayos anteriores deben revisarse y, cuando corresponda, ajustarse a la etapa actual de desarrollo.</w:t>
      </w:r>
    </w:p>
    <w:p w:rsidR="009641F0" w:rsidRDefault="009641F0" w:rsidP="009641F0">
      <w:pPr>
        <w:spacing w:after="120"/>
        <w:jc w:val="both"/>
        <w:rPr>
          <w:rFonts w:ascii="Arial" w:eastAsia="Arial" w:hAnsi="Arial" w:cs="Arial"/>
          <w:szCs w:val="22"/>
          <w:lang w:val="es-PY"/>
        </w:rPr>
      </w:pPr>
      <w:r w:rsidRPr="00BD273B">
        <w:rPr>
          <w:rFonts w:ascii="Arial" w:eastAsia="Arial" w:hAnsi="Arial" w:cs="Arial"/>
          <w:szCs w:val="22"/>
          <w:lang w:val="es-PY"/>
        </w:rPr>
        <w:t>Para los ensayos confirmatorios, deben establecerse especificaciones de la sustancia activa que permitan una evaluación suficiente y precisa del perfil de calidad y, en la medida de lo posible, vincular el perfil de calidad con el resultado clínico.</w:t>
      </w:r>
    </w:p>
    <w:p w:rsidR="009641F0" w:rsidRPr="00406025" w:rsidRDefault="009641F0" w:rsidP="009641F0">
      <w:pPr>
        <w:spacing w:after="120"/>
        <w:jc w:val="both"/>
        <w:rPr>
          <w:rFonts w:ascii="Arial" w:eastAsia="Arial" w:hAnsi="Arial" w:cs="Arial"/>
          <w:b/>
          <w:i/>
          <w:szCs w:val="22"/>
          <w:lang w:val="es-PY"/>
        </w:rPr>
      </w:pPr>
      <w:r w:rsidRPr="00406025">
        <w:rPr>
          <w:rFonts w:ascii="Arial" w:eastAsia="Arial" w:hAnsi="Arial" w:cs="Arial"/>
          <w:b/>
          <w:i/>
          <w:szCs w:val="22"/>
          <w:lang w:val="es-PY"/>
        </w:rPr>
        <w:t xml:space="preserve">S.4.2. Procedimientos analíticos </w:t>
      </w:r>
    </w:p>
    <w:p w:rsidR="009641F0" w:rsidRPr="00406025" w:rsidRDefault="009641F0" w:rsidP="009641F0">
      <w:pPr>
        <w:spacing w:after="120"/>
        <w:jc w:val="both"/>
        <w:rPr>
          <w:rFonts w:ascii="Arial" w:eastAsia="Arial" w:hAnsi="Arial" w:cs="Arial"/>
          <w:szCs w:val="22"/>
          <w:lang w:val="es-PY"/>
        </w:rPr>
      </w:pPr>
      <w:r w:rsidRPr="00406025">
        <w:rPr>
          <w:rFonts w:ascii="Arial" w:eastAsia="Arial" w:hAnsi="Arial" w:cs="Arial"/>
          <w:szCs w:val="22"/>
          <w:lang w:val="es-PY"/>
        </w:rPr>
        <w:t>Los métodos analíticos utilizados para la sustancia activa deben enumerarse para todas las pruebas incluidas en la especificación (p. ej., caracterización fenotípica, métodos cromatográficos, ensayos biológicos, etc.), especificación al final de la vida útil cuando corresponda, e incluyendo aquellas pruebas informadas sin límites de aceptación.</w:t>
      </w:r>
    </w:p>
    <w:p w:rsidR="009641F0" w:rsidRPr="00406025" w:rsidRDefault="009641F0" w:rsidP="009641F0">
      <w:pPr>
        <w:spacing w:after="120"/>
        <w:jc w:val="both"/>
        <w:rPr>
          <w:rFonts w:ascii="Arial" w:eastAsia="Arial" w:hAnsi="Arial" w:cs="Arial"/>
          <w:szCs w:val="22"/>
          <w:lang w:val="es-PY"/>
        </w:rPr>
      </w:pPr>
      <w:r w:rsidRPr="00406025">
        <w:rPr>
          <w:rFonts w:ascii="Arial" w:eastAsia="Arial" w:hAnsi="Arial" w:cs="Arial"/>
          <w:szCs w:val="22"/>
          <w:lang w:val="es-PY"/>
        </w:rPr>
        <w:t xml:space="preserve">Debe proporcionarse una breve descripción de todos los procedimientos analíticos no </w:t>
      </w:r>
      <w:proofErr w:type="spellStart"/>
      <w:r w:rsidR="005E4B0A">
        <w:rPr>
          <w:rFonts w:ascii="Arial" w:eastAsia="Arial" w:hAnsi="Arial" w:cs="Arial"/>
          <w:szCs w:val="22"/>
          <w:lang w:val="es-PY"/>
        </w:rPr>
        <w:t>farmacopeicos</w:t>
      </w:r>
      <w:proofErr w:type="spellEnd"/>
      <w:r w:rsidRPr="00406025">
        <w:rPr>
          <w:rFonts w:ascii="Arial" w:eastAsia="Arial" w:hAnsi="Arial" w:cs="Arial"/>
          <w:szCs w:val="22"/>
          <w:lang w:val="es-PY"/>
        </w:rPr>
        <w:t xml:space="preserve">, es decir, la metodología analítica, destacando los controles utilizados en el análisis. Para los métodos descritos en una monografía </w:t>
      </w:r>
      <w:r w:rsidR="000E55BE">
        <w:rPr>
          <w:rFonts w:ascii="Arial" w:eastAsia="Arial" w:hAnsi="Arial" w:cs="Arial"/>
          <w:szCs w:val="22"/>
          <w:lang w:val="es-PY"/>
        </w:rPr>
        <w:t>de</w:t>
      </w:r>
      <w:r w:rsidRPr="00406025">
        <w:rPr>
          <w:rFonts w:ascii="Arial" w:eastAsia="Arial" w:hAnsi="Arial" w:cs="Arial"/>
          <w:szCs w:val="22"/>
          <w:lang w:val="es-PY"/>
        </w:rPr>
        <w:t xml:space="preserve"> farmacopea</w:t>
      </w:r>
      <w:r w:rsidR="000E55BE">
        <w:rPr>
          <w:rFonts w:ascii="Arial" w:eastAsia="Arial" w:hAnsi="Arial" w:cs="Arial"/>
          <w:szCs w:val="22"/>
          <w:lang w:val="es-PY"/>
        </w:rPr>
        <w:t>s internacionalmente reconocidas</w:t>
      </w:r>
      <w:r w:rsidRPr="00406025">
        <w:rPr>
          <w:rFonts w:ascii="Arial" w:eastAsia="Arial" w:hAnsi="Arial" w:cs="Arial"/>
          <w:szCs w:val="22"/>
          <w:lang w:val="es-PY"/>
        </w:rPr>
        <w:t>, es aceptable la referencia a la monografía o capítulo general correspondiente.</w:t>
      </w:r>
    </w:p>
    <w:p w:rsidR="009641F0" w:rsidRDefault="009641F0" w:rsidP="009641F0">
      <w:pPr>
        <w:spacing w:after="120"/>
        <w:jc w:val="both"/>
        <w:rPr>
          <w:rFonts w:ascii="Arial" w:eastAsia="Arial" w:hAnsi="Arial" w:cs="Arial"/>
          <w:szCs w:val="22"/>
          <w:lang w:val="es-PY"/>
        </w:rPr>
      </w:pPr>
      <w:r w:rsidRPr="00406025">
        <w:rPr>
          <w:rFonts w:ascii="Arial" w:eastAsia="Arial" w:hAnsi="Arial" w:cs="Arial"/>
          <w:szCs w:val="22"/>
          <w:lang w:val="es-PY"/>
        </w:rPr>
        <w:t xml:space="preserve">La idoneidad de los métodos para su propósito previsto debe describirse en la sección </w:t>
      </w:r>
      <w:r w:rsidRPr="00D55935">
        <w:rPr>
          <w:rFonts w:ascii="Arial" w:eastAsia="Arial" w:hAnsi="Arial" w:cs="Arial"/>
          <w:i/>
          <w:szCs w:val="22"/>
          <w:lang w:val="es-PY"/>
        </w:rPr>
        <w:t>S.4.3</w:t>
      </w:r>
      <w:r w:rsidRPr="00406025">
        <w:rPr>
          <w:rFonts w:ascii="Arial" w:eastAsia="Arial" w:hAnsi="Arial" w:cs="Arial"/>
          <w:szCs w:val="22"/>
          <w:lang w:val="es-PY"/>
        </w:rPr>
        <w:t>/</w:t>
      </w:r>
      <w:r w:rsidRPr="00D55935">
        <w:rPr>
          <w:rFonts w:ascii="Arial" w:eastAsia="Arial" w:hAnsi="Arial" w:cs="Arial"/>
          <w:i/>
          <w:szCs w:val="22"/>
          <w:lang w:val="es-PY"/>
        </w:rPr>
        <w:t>P.5.3.</w:t>
      </w:r>
      <w:r w:rsidRPr="00406025">
        <w:rPr>
          <w:rFonts w:ascii="Arial" w:eastAsia="Arial" w:hAnsi="Arial" w:cs="Arial"/>
          <w:szCs w:val="22"/>
          <w:lang w:val="es-PY"/>
        </w:rPr>
        <w:t xml:space="preserve"> Cuando corresponda, puede incluirse un breve resumen de métodos de prueba anteriores, los </w:t>
      </w:r>
      <w:r w:rsidR="00F30A8D">
        <w:rPr>
          <w:rFonts w:ascii="Arial" w:eastAsia="Arial" w:hAnsi="Arial" w:cs="Arial"/>
          <w:szCs w:val="22"/>
          <w:lang w:val="es-PY"/>
        </w:rPr>
        <w:t>e</w:t>
      </w:r>
      <w:r w:rsidR="00F30A8D" w:rsidRPr="00F30A8D">
        <w:rPr>
          <w:rFonts w:ascii="Arial" w:eastAsia="Arial" w:hAnsi="Arial" w:cs="Arial"/>
          <w:szCs w:val="22"/>
          <w:lang w:val="es-PY"/>
        </w:rPr>
        <w:t>studios de extrapolación</w:t>
      </w:r>
      <w:r w:rsidRPr="00406025">
        <w:rPr>
          <w:rFonts w:ascii="Arial" w:eastAsia="Arial" w:hAnsi="Arial" w:cs="Arial"/>
          <w:szCs w:val="22"/>
          <w:lang w:val="es-PY"/>
        </w:rPr>
        <w:t xml:space="preserve"> (</w:t>
      </w:r>
      <w:proofErr w:type="spellStart"/>
      <w:r w:rsidRPr="00406025">
        <w:rPr>
          <w:rFonts w:ascii="Arial" w:eastAsia="Arial" w:hAnsi="Arial" w:cs="Arial"/>
          <w:szCs w:val="22"/>
          <w:lang w:val="es-PY"/>
        </w:rPr>
        <w:t>bridging</w:t>
      </w:r>
      <w:proofErr w:type="spellEnd"/>
      <w:r w:rsidRPr="00406025">
        <w:rPr>
          <w:rFonts w:ascii="Arial" w:eastAsia="Arial" w:hAnsi="Arial" w:cs="Arial"/>
          <w:szCs w:val="22"/>
          <w:lang w:val="es-PY"/>
        </w:rPr>
        <w:t xml:space="preserve"> </w:t>
      </w:r>
      <w:proofErr w:type="spellStart"/>
      <w:r w:rsidRPr="00406025">
        <w:rPr>
          <w:rFonts w:ascii="Arial" w:eastAsia="Arial" w:hAnsi="Arial" w:cs="Arial"/>
          <w:szCs w:val="22"/>
          <w:lang w:val="es-PY"/>
        </w:rPr>
        <w:t>studies</w:t>
      </w:r>
      <w:proofErr w:type="spellEnd"/>
      <w:r w:rsidRPr="00406025">
        <w:rPr>
          <w:rFonts w:ascii="Arial" w:eastAsia="Arial" w:hAnsi="Arial" w:cs="Arial"/>
          <w:szCs w:val="22"/>
          <w:lang w:val="es-PY"/>
        </w:rPr>
        <w:t>) realizados y la interpretación de los datos de lotes antes y después de cambios en el proceso.</w:t>
      </w:r>
    </w:p>
    <w:p w:rsidR="009641F0" w:rsidRPr="00AB54E8" w:rsidRDefault="009641F0" w:rsidP="009641F0">
      <w:pPr>
        <w:spacing w:after="120"/>
        <w:jc w:val="both"/>
        <w:rPr>
          <w:rFonts w:ascii="Arial" w:eastAsia="Arial" w:hAnsi="Arial" w:cs="Arial"/>
          <w:b/>
          <w:i/>
          <w:szCs w:val="22"/>
          <w:lang w:val="es-PY"/>
        </w:rPr>
      </w:pPr>
      <w:r w:rsidRPr="00AB54E8">
        <w:rPr>
          <w:rFonts w:ascii="Arial" w:eastAsia="Arial" w:hAnsi="Arial" w:cs="Arial"/>
          <w:b/>
          <w:i/>
          <w:szCs w:val="22"/>
          <w:lang w:val="es-PY"/>
        </w:rPr>
        <w:t xml:space="preserve">S.4.3. Validación de los procedimientos analíticos </w:t>
      </w:r>
    </w:p>
    <w:p w:rsidR="009641F0" w:rsidRPr="00AB54E8" w:rsidRDefault="009641F0" w:rsidP="009641F0">
      <w:pPr>
        <w:spacing w:after="120"/>
        <w:jc w:val="both"/>
        <w:rPr>
          <w:rFonts w:ascii="Arial" w:eastAsia="Arial" w:hAnsi="Arial" w:cs="Arial"/>
          <w:szCs w:val="22"/>
          <w:lang w:val="es-PY"/>
        </w:rPr>
      </w:pPr>
      <w:r w:rsidRPr="00AB54E8">
        <w:rPr>
          <w:rFonts w:ascii="Arial" w:eastAsia="Arial" w:hAnsi="Arial" w:cs="Arial"/>
          <w:szCs w:val="22"/>
          <w:lang w:val="es-PY"/>
        </w:rPr>
        <w:t>La validación de los procedimientos analíticos durante el desarrollo clínico es un proceso evolutivo. Debe aplicarse un grado apropiado de validación del método en cada etapa para demostrar que los métodos son adecuados para su uso previsto en ese momento.</w:t>
      </w:r>
    </w:p>
    <w:p w:rsidR="009641F0" w:rsidRPr="00AB54E8" w:rsidRDefault="009641F0" w:rsidP="009641F0">
      <w:pPr>
        <w:spacing w:after="120"/>
        <w:jc w:val="both"/>
        <w:rPr>
          <w:rFonts w:ascii="Arial" w:eastAsia="Arial" w:hAnsi="Arial" w:cs="Arial"/>
          <w:szCs w:val="22"/>
          <w:lang w:val="es-PY"/>
        </w:rPr>
      </w:pPr>
      <w:r w:rsidRPr="00AB54E8">
        <w:rPr>
          <w:rFonts w:ascii="Arial" w:eastAsia="Arial" w:hAnsi="Arial" w:cs="Arial"/>
          <w:szCs w:val="22"/>
          <w:lang w:val="es-PY"/>
        </w:rPr>
        <w:t>La validación en las etapas iniciales consiste en establecer la idoneidad para el propósito de las capacidades de desempeño de un procedimiento analítico para los atributos de la ICH Q2(R2), tales como especificidad, rango, exactitud y precisión, y basarse en criterios de aceptación preliminares.</w:t>
      </w:r>
    </w:p>
    <w:p w:rsidR="009641F0" w:rsidRPr="00AB54E8" w:rsidRDefault="009641F0" w:rsidP="009641F0">
      <w:pPr>
        <w:spacing w:after="120"/>
        <w:jc w:val="both"/>
        <w:rPr>
          <w:rFonts w:ascii="Arial" w:eastAsia="Arial" w:hAnsi="Arial" w:cs="Arial"/>
          <w:szCs w:val="22"/>
          <w:lang w:val="es-PY"/>
        </w:rPr>
      </w:pPr>
      <w:r w:rsidRPr="00AB54E8">
        <w:rPr>
          <w:rFonts w:ascii="Arial" w:eastAsia="Arial" w:hAnsi="Arial" w:cs="Arial"/>
          <w:szCs w:val="22"/>
          <w:lang w:val="es-PY"/>
        </w:rPr>
        <w:lastRenderedPageBreak/>
        <w:t>La validación en etapas posteriores consiste en la confirmación de las capacidades de desempeño de un procedimiento analítico para los atributos de la ICH Q2, tales como especificidad, rango, exactitud y robustez, con criterios de aceptación de desempeño del método predefinidos y apropiados para la fase.</w:t>
      </w:r>
    </w:p>
    <w:p w:rsidR="009641F0" w:rsidRPr="00AB54E8" w:rsidRDefault="009641F0" w:rsidP="009641F0">
      <w:pPr>
        <w:spacing w:after="120"/>
        <w:jc w:val="both"/>
        <w:rPr>
          <w:rFonts w:ascii="Arial" w:eastAsia="Arial" w:hAnsi="Arial" w:cs="Arial"/>
          <w:szCs w:val="22"/>
          <w:lang w:val="es-PY"/>
        </w:rPr>
      </w:pPr>
      <w:r w:rsidRPr="00AB54E8">
        <w:rPr>
          <w:rFonts w:ascii="Arial" w:eastAsia="Arial" w:hAnsi="Arial" w:cs="Arial"/>
          <w:szCs w:val="22"/>
          <w:lang w:val="es-PY"/>
        </w:rPr>
        <w:t>Los procedimientos analíticos descritos en una monografía de</w:t>
      </w:r>
      <w:r w:rsidR="008B0B71">
        <w:rPr>
          <w:rFonts w:ascii="Arial" w:eastAsia="Arial" w:hAnsi="Arial" w:cs="Arial"/>
          <w:szCs w:val="22"/>
          <w:lang w:val="es-PY"/>
        </w:rPr>
        <w:t xml:space="preserve"> una farmacopea internacionalmente reconocida</w:t>
      </w:r>
      <w:r w:rsidRPr="00AB54E8">
        <w:rPr>
          <w:rFonts w:ascii="Arial" w:eastAsia="Arial" w:hAnsi="Arial" w:cs="Arial"/>
          <w:szCs w:val="22"/>
          <w:lang w:val="es-PY"/>
        </w:rPr>
        <w:t xml:space="preserve">, se consideran validados. Las modificaciones a métodos </w:t>
      </w:r>
      <w:proofErr w:type="spellStart"/>
      <w:r w:rsidR="005E4B0A">
        <w:rPr>
          <w:rFonts w:ascii="Arial" w:eastAsia="Arial" w:hAnsi="Arial" w:cs="Arial"/>
          <w:szCs w:val="22"/>
          <w:lang w:val="es-PY"/>
        </w:rPr>
        <w:t>farmacopeicos</w:t>
      </w:r>
      <w:proofErr w:type="spellEnd"/>
      <w:r w:rsidRPr="00AB54E8">
        <w:rPr>
          <w:rFonts w:ascii="Arial" w:eastAsia="Arial" w:hAnsi="Arial" w:cs="Arial"/>
          <w:szCs w:val="22"/>
          <w:lang w:val="es-PY"/>
        </w:rPr>
        <w:t xml:space="preserve"> requieren validación. Los parámetros para realizar la validación de los métodos analíticos deben presentarse. Debe incluirse un resumen de los resultados con información relevante sobre los procedimientos de validación en forma tabulada. No es necesario proporcionar informes completos de validación.</w:t>
      </w:r>
    </w:p>
    <w:p w:rsidR="009641F0" w:rsidRPr="00AB54E8" w:rsidRDefault="009641F0" w:rsidP="009641F0">
      <w:pPr>
        <w:spacing w:after="120"/>
        <w:jc w:val="both"/>
        <w:rPr>
          <w:rFonts w:ascii="Arial" w:eastAsia="Arial" w:hAnsi="Arial" w:cs="Arial"/>
          <w:szCs w:val="22"/>
          <w:lang w:val="es-PY"/>
        </w:rPr>
      </w:pPr>
      <w:r w:rsidRPr="00AB54E8">
        <w:rPr>
          <w:rFonts w:ascii="Arial" w:eastAsia="Arial" w:hAnsi="Arial" w:cs="Arial"/>
          <w:szCs w:val="22"/>
          <w:lang w:val="es-PY"/>
        </w:rPr>
        <w:t>Independientemente de la fase del ensayo clínico, todos los métodos relevantes para la seguridad, como los utilizados para pruebas microbiológicas y virales, deben estar completamente validados antes del inicio del ensayo clínico. Debe fundamentarse la idoneidad de los métodos analíticos utilizados para pruebas virales, ya sea como método cualitativo o cuantitativo. Debe considerarse la ICH Q5A (R2). El capítulo 3.2 “Ensayos recomendados de detección e identificación viral” es aplicable. Se requieren validaciones de esterilidad y ensayos microbiológicos, así como pruebas de RCV para todas las fases de los ensayos clínicos. Al utilizar ensayos para determinar virus competentes en replicación residuales, el límite de detección debe ser tal que la prueba proporcione garantía de la seguridad del producto vectorial. Asimismo, debe establecerse la idoneidad del/</w:t>
      </w:r>
      <w:proofErr w:type="gramStart"/>
      <w:r w:rsidRPr="00AB54E8">
        <w:rPr>
          <w:rFonts w:ascii="Arial" w:eastAsia="Arial" w:hAnsi="Arial" w:cs="Arial"/>
          <w:szCs w:val="22"/>
          <w:lang w:val="es-PY"/>
        </w:rPr>
        <w:t>los</w:t>
      </w:r>
      <w:r w:rsidR="005E7C54">
        <w:rPr>
          <w:rFonts w:ascii="Arial" w:eastAsia="Arial" w:hAnsi="Arial" w:cs="Arial"/>
          <w:szCs w:val="22"/>
          <w:lang w:val="es-PY"/>
        </w:rPr>
        <w:t xml:space="preserve"> </w:t>
      </w:r>
      <w:r w:rsidRPr="00AB54E8">
        <w:rPr>
          <w:rFonts w:ascii="Arial" w:eastAsia="Arial" w:hAnsi="Arial" w:cs="Arial"/>
          <w:szCs w:val="22"/>
          <w:lang w:val="es-PY"/>
        </w:rPr>
        <w:t>tipo</w:t>
      </w:r>
      <w:proofErr w:type="gramEnd"/>
      <w:r w:rsidRPr="00AB54E8">
        <w:rPr>
          <w:rFonts w:ascii="Arial" w:eastAsia="Arial" w:hAnsi="Arial" w:cs="Arial"/>
          <w:szCs w:val="22"/>
          <w:lang w:val="es-PY"/>
        </w:rPr>
        <w:t>(s) celular(es) permisivos utilizados en los ensayos para virus competentes en replicación.</w:t>
      </w:r>
    </w:p>
    <w:p w:rsidR="009641F0" w:rsidRDefault="009641F0" w:rsidP="009641F0">
      <w:pPr>
        <w:spacing w:after="120"/>
        <w:jc w:val="both"/>
        <w:rPr>
          <w:rFonts w:ascii="Arial" w:eastAsia="Arial" w:hAnsi="Arial" w:cs="Arial"/>
          <w:szCs w:val="22"/>
          <w:lang w:val="es-PY"/>
        </w:rPr>
      </w:pPr>
      <w:r w:rsidRPr="00AB54E8">
        <w:rPr>
          <w:rFonts w:ascii="Arial" w:eastAsia="Arial" w:hAnsi="Arial" w:cs="Arial"/>
          <w:szCs w:val="22"/>
          <w:lang w:val="es-PY"/>
        </w:rPr>
        <w:t>Si el mismo procedimiento analítico se realiza en múltiples sitios de prueba, debe demostrarse la equivalencia del método entre los diferentes sitios.</w:t>
      </w:r>
    </w:p>
    <w:p w:rsidR="009641F0" w:rsidRPr="00C556CB" w:rsidRDefault="009641F0" w:rsidP="009641F0">
      <w:pPr>
        <w:spacing w:after="120"/>
        <w:jc w:val="both"/>
        <w:rPr>
          <w:rFonts w:ascii="Arial" w:eastAsia="Arial" w:hAnsi="Arial" w:cs="Arial"/>
          <w:i/>
          <w:szCs w:val="22"/>
          <w:lang w:val="es-PY"/>
        </w:rPr>
      </w:pPr>
      <w:r w:rsidRPr="00C556CB">
        <w:rPr>
          <w:rFonts w:ascii="Arial" w:eastAsia="Arial" w:hAnsi="Arial" w:cs="Arial"/>
          <w:i/>
          <w:szCs w:val="22"/>
          <w:lang w:val="es-PY"/>
        </w:rPr>
        <w:t xml:space="preserve">Información para ensayos clínicos confirmatorios </w:t>
      </w:r>
    </w:p>
    <w:p w:rsidR="009641F0" w:rsidRPr="008F36CA" w:rsidRDefault="009641F0" w:rsidP="009641F0">
      <w:pPr>
        <w:spacing w:after="120"/>
        <w:jc w:val="both"/>
        <w:rPr>
          <w:rFonts w:ascii="Arial" w:eastAsia="Arial" w:hAnsi="Arial" w:cs="Arial"/>
          <w:szCs w:val="22"/>
          <w:lang w:val="es-PY"/>
        </w:rPr>
      </w:pPr>
      <w:r w:rsidRPr="008F36CA">
        <w:rPr>
          <w:rFonts w:ascii="Arial" w:eastAsia="Arial" w:hAnsi="Arial" w:cs="Arial"/>
          <w:szCs w:val="22"/>
          <w:lang w:val="es-PY"/>
        </w:rPr>
        <w:t xml:space="preserve">Para los ensayos clínicos confirmatorios deben considerarse las directrices aplicables a las solicitudes de autorización de comercialización. Desde la perspectiva de una </w:t>
      </w:r>
      <w:r w:rsidR="00A15750">
        <w:rPr>
          <w:rFonts w:ascii="Arial" w:eastAsia="Arial" w:hAnsi="Arial" w:cs="Arial"/>
          <w:szCs w:val="22"/>
          <w:lang w:val="es-PY"/>
        </w:rPr>
        <w:t>autorización de comercialización</w:t>
      </w:r>
      <w:r w:rsidRPr="008F36CA">
        <w:rPr>
          <w:rFonts w:ascii="Arial" w:eastAsia="Arial" w:hAnsi="Arial" w:cs="Arial"/>
          <w:szCs w:val="22"/>
          <w:lang w:val="es-PY"/>
        </w:rPr>
        <w:t>, se recomienda la validación de los métodos analíticos para la liberación de lotes y las pruebas de estabilidad antes de los ensayos confirmatorios, aunque no se requiere para la aprobación del ensayo clínico.</w:t>
      </w:r>
    </w:p>
    <w:p w:rsidR="009641F0" w:rsidRDefault="009641F0" w:rsidP="009641F0">
      <w:pPr>
        <w:spacing w:after="120"/>
        <w:jc w:val="both"/>
        <w:rPr>
          <w:rFonts w:ascii="Arial" w:eastAsia="Arial" w:hAnsi="Arial" w:cs="Arial"/>
          <w:szCs w:val="22"/>
          <w:lang w:val="es-PY"/>
        </w:rPr>
      </w:pPr>
      <w:r w:rsidRPr="008F36CA">
        <w:rPr>
          <w:rFonts w:ascii="Arial" w:eastAsia="Arial" w:hAnsi="Arial" w:cs="Arial"/>
          <w:szCs w:val="22"/>
          <w:lang w:val="es-PY"/>
        </w:rPr>
        <w:t>Puede adoptarse un enfoque jerárquico respecto al grado de completitud de la validación, con énfasis en los ensayos de potencia, seguidos de los ensayos indicadores de estabilidad.</w:t>
      </w:r>
    </w:p>
    <w:p w:rsidR="009641F0" w:rsidRPr="002B640B" w:rsidRDefault="009641F0" w:rsidP="009641F0">
      <w:pPr>
        <w:spacing w:after="120"/>
        <w:jc w:val="both"/>
        <w:rPr>
          <w:rFonts w:ascii="Arial" w:eastAsia="Arial" w:hAnsi="Arial" w:cs="Arial"/>
          <w:b/>
          <w:i/>
          <w:szCs w:val="22"/>
          <w:lang w:val="es-PY"/>
        </w:rPr>
      </w:pPr>
      <w:r w:rsidRPr="002B640B">
        <w:rPr>
          <w:rFonts w:ascii="Arial" w:eastAsia="Arial" w:hAnsi="Arial" w:cs="Arial"/>
          <w:b/>
          <w:i/>
          <w:szCs w:val="22"/>
          <w:lang w:val="es-PY"/>
        </w:rPr>
        <w:lastRenderedPageBreak/>
        <w:t xml:space="preserve">S.4.4. Análisis de lotes </w:t>
      </w:r>
    </w:p>
    <w:p w:rsidR="009641F0" w:rsidRPr="00B14BCC" w:rsidRDefault="009641F0" w:rsidP="009641F0">
      <w:pPr>
        <w:spacing w:after="120"/>
        <w:jc w:val="both"/>
        <w:rPr>
          <w:rFonts w:ascii="Arial" w:eastAsia="Arial" w:hAnsi="Arial" w:cs="Arial"/>
          <w:szCs w:val="22"/>
          <w:lang w:val="es-PY"/>
        </w:rPr>
      </w:pPr>
      <w:r w:rsidRPr="00B14BCC">
        <w:rPr>
          <w:rFonts w:ascii="Arial" w:eastAsia="Arial" w:hAnsi="Arial" w:cs="Arial"/>
          <w:szCs w:val="22"/>
          <w:lang w:val="es-PY"/>
        </w:rPr>
        <w:t>El objetivo de esta sección es demostrar la calidad de los lotes (conformidad con la especificación preliminar establecida) relevantes para el ensayo clínico en cuestión. La historia de fabricación es importante para este propósito. Dado que los criterios de aceptación pueden ser inicialmente amplios, los datos reales de los lotes son importantes para la evaluación de la calidad. Para los parámetros cuantitativos, deben presentarse valores numéricos reales. Estos valores sirven para evaluar la variabilidad del proceso y la consistencia de la fabricación.</w:t>
      </w:r>
    </w:p>
    <w:p w:rsidR="009641F0" w:rsidRPr="00B14BCC" w:rsidRDefault="009641F0" w:rsidP="009641F0">
      <w:pPr>
        <w:spacing w:after="120"/>
        <w:jc w:val="both"/>
        <w:rPr>
          <w:rFonts w:ascii="Arial" w:eastAsia="Arial" w:hAnsi="Arial" w:cs="Arial"/>
          <w:szCs w:val="22"/>
          <w:lang w:val="es-PY"/>
        </w:rPr>
      </w:pPr>
      <w:r w:rsidRPr="00B14BCC">
        <w:rPr>
          <w:rFonts w:ascii="Arial" w:eastAsia="Arial" w:hAnsi="Arial" w:cs="Arial"/>
          <w:szCs w:val="22"/>
          <w:lang w:val="es-PY"/>
        </w:rPr>
        <w:t xml:space="preserve">El número de lote, el tamaño del lote, el sitio de fabricación, la fecha de fabricación, los métodos de control, los criterios de aceptación y los resultados de las pruebas deben enumerarse junto con el uso de los lotes. Debe identificarse la versión del proceso de fabricación utilizada para cada lote. Para los ensayos clínicos exploratorios, que a menudo se caracterizan por un número limitado de lotes, deben proporcionarse los resultados de lotes relevantes no clínicos y de prueba, incluyendo los resultados de los lotes que se utilizarán en el ensayo clínico en cuestión, cuando estén disponibles. En el caso de células modificadas genéticamente </w:t>
      </w:r>
      <w:r w:rsidRPr="001A1B9A">
        <w:rPr>
          <w:rFonts w:ascii="Arial" w:eastAsia="Arial" w:hAnsi="Arial" w:cs="Arial"/>
          <w:i/>
          <w:szCs w:val="22"/>
          <w:lang w:val="es-PY"/>
        </w:rPr>
        <w:t>ex vivo</w:t>
      </w:r>
      <w:r w:rsidRPr="00B14BCC">
        <w:rPr>
          <w:rFonts w:ascii="Arial" w:eastAsia="Arial" w:hAnsi="Arial" w:cs="Arial"/>
          <w:szCs w:val="22"/>
          <w:lang w:val="es-PY"/>
        </w:rPr>
        <w:t>, deben proporcionarse los datos de lote sobre el vector utilizado para producir la sustancia activa y en la sección S.2.3.</w:t>
      </w:r>
    </w:p>
    <w:p w:rsidR="009641F0" w:rsidRDefault="009641F0" w:rsidP="009641F0">
      <w:pPr>
        <w:spacing w:after="120"/>
        <w:jc w:val="both"/>
        <w:rPr>
          <w:rFonts w:ascii="Arial" w:eastAsia="Arial" w:hAnsi="Arial" w:cs="Arial"/>
          <w:szCs w:val="22"/>
          <w:lang w:val="es-PY"/>
        </w:rPr>
      </w:pPr>
      <w:r w:rsidRPr="00B14BCC">
        <w:rPr>
          <w:rFonts w:ascii="Arial" w:eastAsia="Arial" w:hAnsi="Arial" w:cs="Arial"/>
          <w:szCs w:val="22"/>
          <w:lang w:val="es-PY"/>
        </w:rPr>
        <w:t>En general, deben proporcionarse los datos de todos los lotes producidos, aunque, dependiendo de la naturaleza del producto y de la historia de producción, podría ser aceptable proporcionar resultados de un número justificado de lotes representativos. En el contexto autólogo, cada producto fabricado debe considerarse como un lote.</w:t>
      </w:r>
    </w:p>
    <w:p w:rsidR="009641F0" w:rsidRPr="006C58F0" w:rsidRDefault="009641F0" w:rsidP="009641F0">
      <w:pPr>
        <w:spacing w:after="120"/>
        <w:jc w:val="both"/>
        <w:rPr>
          <w:rFonts w:ascii="Arial" w:eastAsia="Arial" w:hAnsi="Arial" w:cs="Arial"/>
          <w:b/>
          <w:i/>
          <w:szCs w:val="22"/>
          <w:lang w:val="es-PY"/>
        </w:rPr>
      </w:pPr>
      <w:r w:rsidRPr="006C58F0">
        <w:rPr>
          <w:rFonts w:ascii="Arial" w:eastAsia="Arial" w:hAnsi="Arial" w:cs="Arial"/>
          <w:b/>
          <w:i/>
          <w:szCs w:val="22"/>
          <w:lang w:val="es-PY"/>
        </w:rPr>
        <w:t xml:space="preserve">S.4.5. Justificación de la especificación </w:t>
      </w:r>
    </w:p>
    <w:p w:rsidR="009641F0" w:rsidRPr="006C58F0" w:rsidRDefault="009641F0" w:rsidP="009641F0">
      <w:pPr>
        <w:spacing w:after="120"/>
        <w:jc w:val="both"/>
        <w:rPr>
          <w:rFonts w:ascii="Arial" w:eastAsia="Arial" w:hAnsi="Arial" w:cs="Arial"/>
          <w:szCs w:val="22"/>
          <w:lang w:val="es-PY"/>
        </w:rPr>
      </w:pPr>
      <w:r w:rsidRPr="006C58F0">
        <w:rPr>
          <w:rFonts w:ascii="Arial" w:eastAsia="Arial" w:hAnsi="Arial" w:cs="Arial"/>
          <w:szCs w:val="22"/>
          <w:lang w:val="es-PY"/>
        </w:rPr>
        <w:t>Se requiere ya en un ensayo clínico exploratorio una justificación de los atributos de calidad incluidos en la especificación y de los criterios de aceptación para pureza, impurezas, actividad biológica y cualquier otro atributo de calidad que pueda ser relevante para el desempeño de la sustancia activa.</w:t>
      </w:r>
    </w:p>
    <w:p w:rsidR="009641F0" w:rsidRPr="006C58F0" w:rsidRDefault="009641F0" w:rsidP="009641F0">
      <w:pPr>
        <w:spacing w:after="120"/>
        <w:jc w:val="both"/>
        <w:rPr>
          <w:rFonts w:ascii="Arial" w:eastAsia="Arial" w:hAnsi="Arial" w:cs="Arial"/>
          <w:szCs w:val="22"/>
          <w:lang w:val="es-PY"/>
        </w:rPr>
      </w:pPr>
      <w:r w:rsidRPr="006C58F0">
        <w:rPr>
          <w:rFonts w:ascii="Arial" w:eastAsia="Arial" w:hAnsi="Arial" w:cs="Arial"/>
          <w:szCs w:val="22"/>
          <w:lang w:val="es-PY"/>
        </w:rPr>
        <w:t>La justificación de las especificaciones debe basarse en un conocimiento científico sólido respaldado por los datos de desarrollo disponibles, los lotes utilizados en estudios no clínicos y/o clínicos y los datos de estudios de estabilidad, teniendo en cuenta los métodos empleados para su control. La justificación debe abordar cómo los respectivos atributos de calidad y criterios de aceptación son relevantes para el desempeño de la sustancia activa.</w:t>
      </w:r>
    </w:p>
    <w:p w:rsidR="009641F0" w:rsidRDefault="009641F0" w:rsidP="009641F0">
      <w:pPr>
        <w:spacing w:after="120"/>
        <w:jc w:val="both"/>
        <w:rPr>
          <w:rFonts w:ascii="Arial" w:eastAsia="Arial" w:hAnsi="Arial" w:cs="Arial"/>
          <w:szCs w:val="22"/>
          <w:lang w:val="es-PY"/>
        </w:rPr>
      </w:pPr>
      <w:r w:rsidRPr="006C58F0">
        <w:rPr>
          <w:rFonts w:ascii="Arial" w:eastAsia="Arial" w:hAnsi="Arial" w:cs="Arial"/>
          <w:szCs w:val="22"/>
          <w:lang w:val="es-PY"/>
        </w:rPr>
        <w:t xml:space="preserve">Se reconoce </w:t>
      </w:r>
      <w:r w:rsidR="00D56FC4" w:rsidRPr="006C58F0">
        <w:rPr>
          <w:rFonts w:ascii="Arial" w:eastAsia="Arial" w:hAnsi="Arial" w:cs="Arial"/>
          <w:szCs w:val="22"/>
          <w:lang w:val="es-PY"/>
        </w:rPr>
        <w:t>que,</w:t>
      </w:r>
      <w:r w:rsidRPr="006C58F0">
        <w:rPr>
          <w:rFonts w:ascii="Arial" w:eastAsia="Arial" w:hAnsi="Arial" w:cs="Arial"/>
          <w:szCs w:val="22"/>
          <w:lang w:val="es-PY"/>
        </w:rPr>
        <w:t xml:space="preserve"> durante el desarrollo clínico temprano, cuando la experiencia es limitada, los criterios de aceptación pueden ser amplios. Sin embargo, para </w:t>
      </w:r>
      <w:r w:rsidRPr="006C58F0">
        <w:rPr>
          <w:rFonts w:ascii="Arial" w:eastAsia="Arial" w:hAnsi="Arial" w:cs="Arial"/>
          <w:szCs w:val="22"/>
          <w:lang w:val="es-PY"/>
        </w:rPr>
        <w:lastRenderedPageBreak/>
        <w:t>aquellos atributos de calidad que puedan impactar en la seguridad del paciente, los límites deben considerarse cuidadosamente teniendo en cuenta el conocimiento disponible (p. ej., impurezas). Se espera un mayor refinamiento a medida que aumenta el conocimiento y se dispone de más datos. Los cambios en una especificación previamente aplicada (p. ej., adición o eliminación de pruebas de atributos de calidad, ampliación de criterios de aceptación) deben ser indicados y justificados.</w:t>
      </w:r>
    </w:p>
    <w:p w:rsidR="009641F0" w:rsidRPr="009A63BE" w:rsidRDefault="009641F0" w:rsidP="009641F0">
      <w:pPr>
        <w:spacing w:after="120"/>
        <w:jc w:val="both"/>
        <w:rPr>
          <w:rFonts w:ascii="Arial" w:eastAsia="Arial" w:hAnsi="Arial" w:cs="Arial"/>
          <w:b/>
          <w:i/>
          <w:szCs w:val="22"/>
          <w:lang w:val="es-PY"/>
        </w:rPr>
      </w:pPr>
      <w:r w:rsidRPr="009A63BE">
        <w:rPr>
          <w:rFonts w:ascii="Arial" w:eastAsia="Arial" w:hAnsi="Arial" w:cs="Arial"/>
          <w:b/>
          <w:i/>
          <w:szCs w:val="22"/>
          <w:lang w:val="es-PY"/>
        </w:rPr>
        <w:t xml:space="preserve">S.5. Estándares o materiales de referencia </w:t>
      </w:r>
    </w:p>
    <w:p w:rsidR="009641F0" w:rsidRPr="009A63BE" w:rsidRDefault="009641F0" w:rsidP="009641F0">
      <w:pPr>
        <w:spacing w:after="120"/>
        <w:jc w:val="both"/>
        <w:rPr>
          <w:rFonts w:ascii="Arial" w:eastAsia="Arial" w:hAnsi="Arial" w:cs="Arial"/>
          <w:szCs w:val="22"/>
          <w:lang w:val="es-PY"/>
        </w:rPr>
      </w:pPr>
      <w:r w:rsidRPr="009A63BE">
        <w:rPr>
          <w:rFonts w:ascii="Arial" w:eastAsia="Arial" w:hAnsi="Arial" w:cs="Arial"/>
          <w:szCs w:val="22"/>
          <w:lang w:val="es-PY"/>
        </w:rPr>
        <w:t>De acuerdo con la ICH Q6B, el término estándar de referencia se refiere a estándares internacionales o nacionales, mientras que material de referencia se define como un material caracterizado adecuadamente preparado por el fabricante a partir de lote(s) representativos de la producción y de los materiales clínicos.</w:t>
      </w:r>
    </w:p>
    <w:p w:rsidR="009641F0" w:rsidRPr="009A63BE" w:rsidRDefault="009641F0" w:rsidP="009641F0">
      <w:pPr>
        <w:spacing w:after="120"/>
        <w:jc w:val="both"/>
        <w:rPr>
          <w:rFonts w:ascii="Arial" w:eastAsia="Arial" w:hAnsi="Arial" w:cs="Arial"/>
          <w:szCs w:val="22"/>
          <w:lang w:val="es-PY"/>
        </w:rPr>
      </w:pPr>
      <w:r w:rsidRPr="009A63BE">
        <w:rPr>
          <w:rFonts w:ascii="Arial" w:eastAsia="Arial" w:hAnsi="Arial" w:cs="Arial"/>
          <w:szCs w:val="22"/>
          <w:lang w:val="es-PY"/>
        </w:rPr>
        <w:t>Cuando esté disponible, debe utilizarse un estándar internacional como referencia primaria. Cada material de referencia de trabajo interno debe cualificarse frente a este estándar de referencia primario. Sin embargo, debe señalarse que el uso de un estándar internacional puede estar limitado a ciertos métodos de prueba definidos, por ejemplo, actividad biológica.</w:t>
      </w:r>
    </w:p>
    <w:p w:rsidR="009641F0" w:rsidRPr="009A63BE" w:rsidRDefault="009641F0" w:rsidP="009641F0">
      <w:pPr>
        <w:spacing w:after="120"/>
        <w:jc w:val="both"/>
        <w:rPr>
          <w:rFonts w:ascii="Arial" w:eastAsia="Arial" w:hAnsi="Arial" w:cs="Arial"/>
          <w:szCs w:val="22"/>
          <w:lang w:val="es-PY"/>
        </w:rPr>
      </w:pPr>
      <w:r w:rsidRPr="009A63BE">
        <w:rPr>
          <w:rFonts w:ascii="Arial" w:eastAsia="Arial" w:hAnsi="Arial" w:cs="Arial"/>
          <w:szCs w:val="22"/>
          <w:lang w:val="es-PY"/>
        </w:rPr>
        <w:t>Para nuevas entidades moleculares, es poco probable que exista un estándar internacional o nacional disponible. Cuando sea factible, se recomienda establecer un material de referencia primario interno caracterizado adecuadamente para evaluar el desempeño de un método analítico y garantizar la fiabilidad del resultado obtenido. El uso de un control específico de ensayo o de un material de referencia específico de ensayo en lugar de un material de referencia preparado a partir de lote(s) representativos de la producción y de los materiales clínicos es aceptable cuando esté justificado.</w:t>
      </w:r>
    </w:p>
    <w:p w:rsidR="009641F0" w:rsidRDefault="009641F0" w:rsidP="009641F0">
      <w:pPr>
        <w:spacing w:after="120"/>
        <w:jc w:val="both"/>
        <w:rPr>
          <w:rFonts w:ascii="Arial" w:eastAsia="Arial" w:hAnsi="Arial" w:cs="Arial"/>
          <w:szCs w:val="22"/>
          <w:lang w:val="es-PY"/>
        </w:rPr>
      </w:pPr>
      <w:r w:rsidRPr="009A63BE">
        <w:rPr>
          <w:rFonts w:ascii="Arial" w:eastAsia="Arial" w:hAnsi="Arial" w:cs="Arial"/>
          <w:szCs w:val="22"/>
          <w:lang w:val="es-PY"/>
        </w:rPr>
        <w:t>El material de referencia o un control específico de ensayo, cuando esté científicamente justificado, puede respaldar las unidades de medida, la demostración de la consistencia entre diferentes lotes y la comparabilidad del producto en estudios clínicos, y apoya el vínculo entre el desarrollo del proceso y la fabricación comercial.</w:t>
      </w:r>
    </w:p>
    <w:p w:rsidR="009641F0" w:rsidRPr="00966E0A" w:rsidRDefault="009641F0" w:rsidP="009641F0">
      <w:pPr>
        <w:spacing w:after="120"/>
        <w:jc w:val="both"/>
        <w:rPr>
          <w:rFonts w:ascii="Arial" w:eastAsia="Arial" w:hAnsi="Arial" w:cs="Arial"/>
          <w:szCs w:val="22"/>
          <w:lang w:val="es-PY"/>
        </w:rPr>
      </w:pPr>
      <w:r w:rsidRPr="00966E0A">
        <w:rPr>
          <w:rFonts w:ascii="Arial" w:eastAsia="Arial" w:hAnsi="Arial" w:cs="Arial"/>
          <w:szCs w:val="22"/>
          <w:lang w:val="es-PY"/>
        </w:rPr>
        <w:t xml:space="preserve">La caracterización del material de referencia debe realizarse con métodos analíticos adecuados, fiables y de última generación, los cuales deben describirse de manera suficiente. Debe proporcionarse información sobre el proceso de fabricación utilizado para establecer el material de referencia. Si se emplean métodos ortogonales adicionales para la cualificación, que no forman parte de la </w:t>
      </w:r>
      <w:r w:rsidRPr="00966E0A">
        <w:rPr>
          <w:rFonts w:ascii="Arial" w:eastAsia="Arial" w:hAnsi="Arial" w:cs="Arial"/>
          <w:szCs w:val="22"/>
          <w:lang w:val="es-PY"/>
        </w:rPr>
        <w:lastRenderedPageBreak/>
        <w:t>fabricación rutinaria, de los controles en proceso o de las pruebas de liberación, deben describirse en la sección S.5.</w:t>
      </w:r>
    </w:p>
    <w:p w:rsidR="009641F0" w:rsidRPr="00966E0A" w:rsidRDefault="009641F0" w:rsidP="009641F0">
      <w:pPr>
        <w:spacing w:after="120"/>
        <w:jc w:val="both"/>
        <w:rPr>
          <w:rFonts w:ascii="Arial" w:eastAsia="Arial" w:hAnsi="Arial" w:cs="Arial"/>
          <w:szCs w:val="22"/>
          <w:lang w:val="es-PY"/>
        </w:rPr>
      </w:pPr>
      <w:r w:rsidRPr="00966E0A">
        <w:rPr>
          <w:rFonts w:ascii="Arial" w:eastAsia="Arial" w:hAnsi="Arial" w:cs="Arial"/>
          <w:szCs w:val="22"/>
          <w:lang w:val="es-PY"/>
        </w:rPr>
        <w:t xml:space="preserve">La estabilidad del material de referencia debe ser monitorizada. Esto puede gestionarse dentro del sistema de calidad del fabricante. Se recomienda establecer un lote de referencia lo antes posible para los </w:t>
      </w:r>
      <w:proofErr w:type="spellStart"/>
      <w:r w:rsidRPr="00966E0A">
        <w:rPr>
          <w:rFonts w:ascii="Arial" w:eastAsia="Arial" w:hAnsi="Arial" w:cs="Arial"/>
          <w:szCs w:val="22"/>
          <w:lang w:val="es-PY"/>
        </w:rPr>
        <w:t>ATMPs</w:t>
      </w:r>
      <w:proofErr w:type="spellEnd"/>
      <w:r w:rsidRPr="00966E0A">
        <w:rPr>
          <w:rFonts w:ascii="Arial" w:eastAsia="Arial" w:hAnsi="Arial" w:cs="Arial"/>
          <w:szCs w:val="22"/>
          <w:lang w:val="es-PY"/>
        </w:rPr>
        <w:t xml:space="preserve"> en investigación.</w:t>
      </w:r>
    </w:p>
    <w:p w:rsidR="009641F0" w:rsidRDefault="009641F0" w:rsidP="009641F0">
      <w:pPr>
        <w:spacing w:after="120"/>
        <w:jc w:val="both"/>
        <w:rPr>
          <w:rFonts w:ascii="Arial" w:eastAsia="Arial" w:hAnsi="Arial" w:cs="Arial"/>
          <w:szCs w:val="22"/>
          <w:lang w:val="es-PY"/>
        </w:rPr>
      </w:pPr>
      <w:r w:rsidRPr="00966E0A">
        <w:rPr>
          <w:rFonts w:ascii="Arial" w:eastAsia="Arial" w:hAnsi="Arial" w:cs="Arial"/>
          <w:szCs w:val="22"/>
          <w:lang w:val="es-PY"/>
        </w:rPr>
        <w:t>Si se han utilizado más de un estándar/material de referencia durante el desarrollo clínico, debe proporcionarse un historial de cualificación que describa cómo se mantuvo la relación entre los diferentes estándares.</w:t>
      </w:r>
    </w:p>
    <w:p w:rsidR="009641F0" w:rsidRPr="00EB595C" w:rsidRDefault="009641F0" w:rsidP="009641F0">
      <w:pPr>
        <w:spacing w:after="120"/>
        <w:jc w:val="both"/>
        <w:rPr>
          <w:rFonts w:ascii="Arial" w:eastAsia="Arial" w:hAnsi="Arial" w:cs="Arial"/>
          <w:b/>
          <w:i/>
          <w:szCs w:val="22"/>
          <w:lang w:val="es-PY"/>
        </w:rPr>
      </w:pPr>
      <w:r w:rsidRPr="00EB595C">
        <w:rPr>
          <w:rFonts w:ascii="Arial" w:eastAsia="Arial" w:hAnsi="Arial" w:cs="Arial"/>
          <w:b/>
          <w:i/>
          <w:szCs w:val="22"/>
          <w:lang w:val="es-PY"/>
        </w:rPr>
        <w:t xml:space="preserve">S.6. Sistema de cierre del envase </w:t>
      </w:r>
    </w:p>
    <w:p w:rsidR="009641F0" w:rsidRPr="00EB595C" w:rsidRDefault="009641F0" w:rsidP="009641F0">
      <w:pPr>
        <w:spacing w:after="120"/>
        <w:jc w:val="both"/>
        <w:rPr>
          <w:rFonts w:ascii="Arial" w:eastAsia="Arial" w:hAnsi="Arial" w:cs="Arial"/>
          <w:szCs w:val="22"/>
          <w:lang w:val="es-PY"/>
        </w:rPr>
      </w:pPr>
      <w:r w:rsidRPr="00EB595C">
        <w:rPr>
          <w:rFonts w:ascii="Arial" w:eastAsia="Arial" w:hAnsi="Arial" w:cs="Arial"/>
          <w:szCs w:val="22"/>
          <w:lang w:val="es-PY"/>
        </w:rPr>
        <w:t>Debe declararse el material de envasado inmediato utilizado para la sustancia activa. Debe proporcionarse una descripción del sistema de cierre del envase.</w:t>
      </w:r>
    </w:p>
    <w:p w:rsidR="009641F0" w:rsidRDefault="009641F0" w:rsidP="009641F0">
      <w:pPr>
        <w:spacing w:after="120"/>
        <w:jc w:val="both"/>
        <w:rPr>
          <w:rFonts w:ascii="Arial" w:eastAsia="Arial" w:hAnsi="Arial" w:cs="Arial"/>
          <w:szCs w:val="22"/>
          <w:lang w:val="es-PY"/>
        </w:rPr>
      </w:pPr>
      <w:r w:rsidRPr="00EB595C">
        <w:rPr>
          <w:rFonts w:ascii="Arial" w:eastAsia="Arial" w:hAnsi="Arial" w:cs="Arial"/>
          <w:szCs w:val="22"/>
          <w:lang w:val="es-PY"/>
        </w:rPr>
        <w:t>Debe aportarse información sobre los procedimientos de esterilización del sistema de cierre del envase y sobre la integridad del cierre del envase. Debe considerarse una posible interacción entre el envase inmediato y la sustancia activa (véase estabilidad).</w:t>
      </w:r>
    </w:p>
    <w:p w:rsidR="009641F0" w:rsidRPr="00E559EA" w:rsidRDefault="009641F0" w:rsidP="009641F0">
      <w:pPr>
        <w:spacing w:after="120"/>
        <w:jc w:val="both"/>
        <w:rPr>
          <w:rFonts w:ascii="Arial" w:eastAsia="Arial" w:hAnsi="Arial" w:cs="Arial"/>
          <w:b/>
          <w:i/>
          <w:szCs w:val="22"/>
          <w:lang w:val="es-PY"/>
        </w:rPr>
      </w:pPr>
      <w:r w:rsidRPr="00E559EA">
        <w:rPr>
          <w:rFonts w:ascii="Arial" w:eastAsia="Arial" w:hAnsi="Arial" w:cs="Arial"/>
          <w:b/>
          <w:i/>
          <w:szCs w:val="22"/>
          <w:lang w:val="es-PY"/>
        </w:rPr>
        <w:t xml:space="preserve">S.7. Estabilidad </w:t>
      </w:r>
    </w:p>
    <w:p w:rsidR="009641F0" w:rsidRPr="00E559EA" w:rsidRDefault="009641F0" w:rsidP="009641F0">
      <w:pPr>
        <w:spacing w:after="120"/>
        <w:jc w:val="both"/>
        <w:rPr>
          <w:rFonts w:ascii="Arial" w:eastAsia="Arial" w:hAnsi="Arial" w:cs="Arial"/>
          <w:szCs w:val="22"/>
          <w:lang w:val="es-PY"/>
        </w:rPr>
      </w:pPr>
      <w:r w:rsidRPr="00E559EA">
        <w:rPr>
          <w:rFonts w:ascii="Arial" w:eastAsia="Arial" w:hAnsi="Arial" w:cs="Arial"/>
          <w:szCs w:val="22"/>
          <w:lang w:val="es-PY"/>
        </w:rPr>
        <w:t xml:space="preserve">Resumen y conclusiones de estabilidad (protocolo / material y método) Debe proporcionarse un protocolo de estabilidad que cubra el período de almacenamiento propuesto y las condiciones de almacenamiento de la sustancia activa, incluyendo especificaciones con límites adecuados, métodos analíticos e intervalos de prueba. Salvo justificación, el intervalo de prueba debe seguir la guía ICH Q5C. El período de </w:t>
      </w:r>
      <w:proofErr w:type="spellStart"/>
      <w:r w:rsidRPr="00E559EA">
        <w:rPr>
          <w:rFonts w:ascii="Arial" w:eastAsia="Arial" w:hAnsi="Arial" w:cs="Arial"/>
          <w:szCs w:val="22"/>
          <w:lang w:val="es-PY"/>
        </w:rPr>
        <w:t>re-análisis</w:t>
      </w:r>
      <w:proofErr w:type="spellEnd"/>
      <w:r w:rsidRPr="00E559EA">
        <w:rPr>
          <w:rFonts w:ascii="Arial" w:eastAsia="Arial" w:hAnsi="Arial" w:cs="Arial"/>
          <w:szCs w:val="22"/>
          <w:lang w:val="es-PY"/>
        </w:rPr>
        <w:t xml:space="preserve"> (según lo definido en la guía ICH Q1A) no es aplicable a los </w:t>
      </w:r>
      <w:proofErr w:type="spellStart"/>
      <w:r w:rsidRPr="00E559EA">
        <w:rPr>
          <w:rFonts w:ascii="Arial" w:eastAsia="Arial" w:hAnsi="Arial" w:cs="Arial"/>
          <w:szCs w:val="22"/>
          <w:lang w:val="es-PY"/>
        </w:rPr>
        <w:t>ATMPs</w:t>
      </w:r>
      <w:proofErr w:type="spellEnd"/>
      <w:r w:rsidRPr="00E559EA">
        <w:rPr>
          <w:rFonts w:ascii="Arial" w:eastAsia="Arial" w:hAnsi="Arial" w:cs="Arial"/>
          <w:szCs w:val="22"/>
          <w:lang w:val="es-PY"/>
        </w:rPr>
        <w:t>.</w:t>
      </w:r>
    </w:p>
    <w:p w:rsidR="009641F0" w:rsidRPr="00E559EA" w:rsidRDefault="009641F0" w:rsidP="009641F0">
      <w:pPr>
        <w:spacing w:after="120"/>
        <w:jc w:val="both"/>
        <w:rPr>
          <w:rFonts w:ascii="Arial" w:eastAsia="Arial" w:hAnsi="Arial" w:cs="Arial"/>
          <w:szCs w:val="22"/>
          <w:lang w:val="es-PY"/>
        </w:rPr>
      </w:pPr>
      <w:r w:rsidRPr="00E559EA">
        <w:rPr>
          <w:rFonts w:ascii="Arial" w:eastAsia="Arial" w:hAnsi="Arial" w:cs="Arial"/>
          <w:szCs w:val="22"/>
          <w:lang w:val="es-PY"/>
        </w:rPr>
        <w:t>La calidad de los lotes de la sustancia activa incluidos en el programa de estabilidad debe ser representativa de la calidad del material que se utilizará en el ensayo clínico planificado.</w:t>
      </w:r>
    </w:p>
    <w:p w:rsidR="009641F0" w:rsidRPr="00E559EA" w:rsidRDefault="009641F0" w:rsidP="009641F0">
      <w:pPr>
        <w:spacing w:after="120"/>
        <w:jc w:val="both"/>
        <w:rPr>
          <w:rFonts w:ascii="Arial" w:eastAsia="Arial" w:hAnsi="Arial" w:cs="Arial"/>
          <w:szCs w:val="22"/>
          <w:lang w:val="es-PY"/>
        </w:rPr>
      </w:pPr>
      <w:r w:rsidRPr="00E559EA">
        <w:rPr>
          <w:rFonts w:ascii="Arial" w:eastAsia="Arial" w:hAnsi="Arial" w:cs="Arial"/>
          <w:szCs w:val="22"/>
          <w:lang w:val="es-PY"/>
        </w:rPr>
        <w:t>Las muestras de estabilidad de la sustancia activa incluidas en el programa de estabilidad deben almacenarse en envases que utilicen los mismos materiales y sistema de cierre que la sustancia activa utilizada para fabricar el lote clínico. Los envases de tamaño reducido suelen ser aceptables para las pruebas de estabilidad de la sustancia activa. Cuando no sea factible utilizar el mismo envase inmediato o uno más pequeño representativo, debe realizarse un estudio comparativo de estabilidad adecuado para respaldar la relevancia de los datos de estabilidad generados.</w:t>
      </w:r>
    </w:p>
    <w:p w:rsidR="009641F0" w:rsidRPr="00E559EA" w:rsidRDefault="009641F0" w:rsidP="009641F0">
      <w:pPr>
        <w:spacing w:after="120"/>
        <w:jc w:val="both"/>
        <w:rPr>
          <w:rFonts w:ascii="Arial" w:eastAsia="Arial" w:hAnsi="Arial" w:cs="Arial"/>
          <w:szCs w:val="22"/>
          <w:lang w:val="es-PY"/>
        </w:rPr>
      </w:pPr>
      <w:r w:rsidRPr="00E559EA">
        <w:rPr>
          <w:rFonts w:ascii="Arial" w:eastAsia="Arial" w:hAnsi="Arial" w:cs="Arial"/>
          <w:szCs w:val="22"/>
          <w:lang w:val="es-PY"/>
        </w:rPr>
        <w:lastRenderedPageBreak/>
        <w:t xml:space="preserve">Los estudios deben evaluar la estabilidad de la sustancia activa bajo las condiciones de almacenamiento propuestas. Los estudios acelerados y bajo condiciones de estrés pueden ayudar a comprender el perfil de degradación del producto y respaldar la extensión de la vida útil y los estudios de comparabilidad (no aplicable a </w:t>
      </w:r>
      <w:proofErr w:type="spellStart"/>
      <w:r w:rsidRPr="00E559EA">
        <w:rPr>
          <w:rFonts w:ascii="Arial" w:eastAsia="Arial" w:hAnsi="Arial" w:cs="Arial"/>
          <w:szCs w:val="22"/>
          <w:lang w:val="es-PY"/>
        </w:rPr>
        <w:t>ATMPs</w:t>
      </w:r>
      <w:proofErr w:type="spellEnd"/>
      <w:r w:rsidRPr="00E559EA">
        <w:rPr>
          <w:rFonts w:ascii="Arial" w:eastAsia="Arial" w:hAnsi="Arial" w:cs="Arial"/>
          <w:szCs w:val="22"/>
          <w:lang w:val="es-PY"/>
        </w:rPr>
        <w:t xml:space="preserve"> celulares en investigación).</w:t>
      </w:r>
    </w:p>
    <w:p w:rsidR="009641F0" w:rsidRDefault="009641F0" w:rsidP="009641F0">
      <w:pPr>
        <w:spacing w:after="120"/>
        <w:jc w:val="both"/>
        <w:rPr>
          <w:rFonts w:ascii="Arial" w:eastAsia="Arial" w:hAnsi="Arial" w:cs="Arial"/>
          <w:szCs w:val="22"/>
          <w:lang w:val="es-PY"/>
        </w:rPr>
      </w:pPr>
      <w:r w:rsidRPr="00E559EA">
        <w:rPr>
          <w:rFonts w:ascii="Arial" w:eastAsia="Arial" w:hAnsi="Arial" w:cs="Arial"/>
          <w:szCs w:val="22"/>
          <w:lang w:val="es-PY"/>
        </w:rPr>
        <w:t>Los métodos indicadores de estabilidad deben incluirse en este protocolo de estabilidad o hacerse referencia cruzada a la sección S.4.3, para garantizar que se detecten cambios en el perfil de pureza/impurezas y en la potencia de la sustancia activa. Debe incluirse un ensayo de potencia en el protocolo de estabilidad, salvo que esté justificado lo contrario.</w:t>
      </w:r>
    </w:p>
    <w:p w:rsidR="009641F0" w:rsidRPr="00EC2D71" w:rsidRDefault="009641F0" w:rsidP="009641F0">
      <w:pPr>
        <w:spacing w:after="120"/>
        <w:jc w:val="both"/>
        <w:rPr>
          <w:rFonts w:ascii="Arial" w:eastAsia="Arial" w:hAnsi="Arial" w:cs="Arial"/>
          <w:i/>
          <w:szCs w:val="22"/>
          <w:lang w:val="es-PY"/>
        </w:rPr>
      </w:pPr>
      <w:proofErr w:type="spellStart"/>
      <w:r w:rsidRPr="00EC2D71">
        <w:rPr>
          <w:rFonts w:ascii="Arial" w:eastAsia="Arial" w:hAnsi="Arial" w:cs="Arial"/>
          <w:i/>
          <w:szCs w:val="22"/>
          <w:lang w:val="es-PY"/>
        </w:rPr>
        <w:t>ATMPs</w:t>
      </w:r>
      <w:proofErr w:type="spellEnd"/>
      <w:r w:rsidRPr="00EC2D71">
        <w:rPr>
          <w:rFonts w:ascii="Arial" w:eastAsia="Arial" w:hAnsi="Arial" w:cs="Arial"/>
          <w:i/>
          <w:szCs w:val="22"/>
          <w:lang w:val="es-PY"/>
        </w:rPr>
        <w:t xml:space="preserve"> celulares en investigación</w:t>
      </w:r>
    </w:p>
    <w:p w:rsidR="009641F0" w:rsidRPr="00532B7F" w:rsidRDefault="009641F0" w:rsidP="009641F0">
      <w:pPr>
        <w:spacing w:after="120"/>
        <w:jc w:val="both"/>
        <w:rPr>
          <w:rFonts w:ascii="Arial" w:eastAsia="Arial" w:hAnsi="Arial" w:cs="Arial"/>
          <w:szCs w:val="22"/>
          <w:lang w:val="es-PY"/>
        </w:rPr>
      </w:pPr>
      <w:r w:rsidRPr="00532B7F">
        <w:rPr>
          <w:rFonts w:ascii="Arial" w:eastAsia="Arial" w:hAnsi="Arial" w:cs="Arial"/>
          <w:szCs w:val="22"/>
          <w:lang w:val="es-PY"/>
        </w:rPr>
        <w:t xml:space="preserve">Para los </w:t>
      </w:r>
      <w:proofErr w:type="spellStart"/>
      <w:r w:rsidRPr="00532B7F">
        <w:rPr>
          <w:rFonts w:ascii="Arial" w:eastAsia="Arial" w:hAnsi="Arial" w:cs="Arial"/>
          <w:szCs w:val="22"/>
          <w:lang w:val="es-PY"/>
        </w:rPr>
        <w:t>ATMPs</w:t>
      </w:r>
      <w:proofErr w:type="spellEnd"/>
      <w:r w:rsidRPr="00532B7F">
        <w:rPr>
          <w:rFonts w:ascii="Arial" w:eastAsia="Arial" w:hAnsi="Arial" w:cs="Arial"/>
          <w:szCs w:val="22"/>
          <w:lang w:val="es-PY"/>
        </w:rPr>
        <w:t xml:space="preserve"> celulares en investigación, la actividad biológica, la potencia, la apariencia y la viabilidad son algunos ejemplos de atributos críticos del producto que deben incluirse en los estudios de estabilidad. Para los </w:t>
      </w:r>
      <w:proofErr w:type="spellStart"/>
      <w:r w:rsidRPr="00532B7F">
        <w:rPr>
          <w:rFonts w:ascii="Arial" w:eastAsia="Arial" w:hAnsi="Arial" w:cs="Arial"/>
          <w:szCs w:val="22"/>
          <w:lang w:val="es-PY"/>
        </w:rPr>
        <w:t>ATMPs</w:t>
      </w:r>
      <w:proofErr w:type="spellEnd"/>
      <w:r w:rsidRPr="00532B7F">
        <w:rPr>
          <w:rFonts w:ascii="Arial" w:eastAsia="Arial" w:hAnsi="Arial" w:cs="Arial"/>
          <w:szCs w:val="22"/>
          <w:lang w:val="es-PY"/>
        </w:rPr>
        <w:t xml:space="preserve"> celulares en investigación, particularmente en el contexto autólogo, los estudios de estabilidad pueden representar un desafío debido a consideraciones éticas relacionadas con el uso de material de pacientes. En estos casos, es aceptable basar las evaluaciones tempranas de estabilidad en resultados obtenidos con lotes fabricados a partir de células de donantes sanos. Sin embargo, la representatividad de este enfoque para el material de pacientes debe justificarse e investigarse a medida que avanza el desarrollo.</w:t>
      </w:r>
    </w:p>
    <w:p w:rsidR="009641F0" w:rsidRPr="00EC2D71" w:rsidRDefault="009641F0" w:rsidP="009641F0">
      <w:pPr>
        <w:spacing w:after="120"/>
        <w:jc w:val="both"/>
        <w:rPr>
          <w:rFonts w:ascii="Arial" w:eastAsia="Arial" w:hAnsi="Arial" w:cs="Arial"/>
          <w:i/>
          <w:szCs w:val="22"/>
          <w:lang w:val="es-PY"/>
        </w:rPr>
      </w:pPr>
      <w:proofErr w:type="spellStart"/>
      <w:r w:rsidRPr="00EC2D71">
        <w:rPr>
          <w:rFonts w:ascii="Arial" w:eastAsia="Arial" w:hAnsi="Arial" w:cs="Arial"/>
          <w:i/>
          <w:szCs w:val="22"/>
          <w:lang w:val="es-PY"/>
        </w:rPr>
        <w:t>GTMPs</w:t>
      </w:r>
      <w:proofErr w:type="spellEnd"/>
      <w:r w:rsidRPr="00EC2D71">
        <w:rPr>
          <w:rFonts w:ascii="Arial" w:eastAsia="Arial" w:hAnsi="Arial" w:cs="Arial"/>
          <w:i/>
          <w:szCs w:val="22"/>
          <w:lang w:val="es-PY"/>
        </w:rPr>
        <w:t xml:space="preserve"> en investigación </w:t>
      </w:r>
    </w:p>
    <w:p w:rsidR="009641F0" w:rsidRPr="00532B7F" w:rsidRDefault="009641F0" w:rsidP="009641F0">
      <w:pPr>
        <w:spacing w:after="120"/>
        <w:jc w:val="both"/>
        <w:rPr>
          <w:rFonts w:ascii="Arial" w:eastAsia="Arial" w:hAnsi="Arial" w:cs="Arial"/>
          <w:szCs w:val="22"/>
          <w:lang w:val="es-PY"/>
        </w:rPr>
      </w:pPr>
      <w:r w:rsidRPr="00532B7F">
        <w:rPr>
          <w:rFonts w:ascii="Arial" w:eastAsia="Arial" w:hAnsi="Arial" w:cs="Arial"/>
          <w:szCs w:val="22"/>
          <w:lang w:val="es-PY"/>
        </w:rPr>
        <w:t xml:space="preserve">Para los </w:t>
      </w:r>
      <w:proofErr w:type="spellStart"/>
      <w:r w:rsidRPr="00532B7F">
        <w:rPr>
          <w:rFonts w:ascii="Arial" w:eastAsia="Arial" w:hAnsi="Arial" w:cs="Arial"/>
          <w:szCs w:val="22"/>
          <w:lang w:val="es-PY"/>
        </w:rPr>
        <w:t>GTMPs</w:t>
      </w:r>
      <w:proofErr w:type="spellEnd"/>
      <w:r w:rsidRPr="00532B7F">
        <w:rPr>
          <w:rFonts w:ascii="Arial" w:eastAsia="Arial" w:hAnsi="Arial" w:cs="Arial"/>
          <w:szCs w:val="22"/>
          <w:lang w:val="es-PY"/>
        </w:rPr>
        <w:t xml:space="preserve"> en investigación, la integridad del vector, la actividad biológica (incluida la capacidad de transducción), la potencia y la apariencia son atributos críticos del producto que deben incluirse en los estudios de estabilidad. Se reconoce, sin embargo, que durante el desarrollo temprano el ensayo de potencia puede no estar completamente desarrollado. Cuando sea factible, los estudios de degradación forzada también pueden aportar información importante sobre los productos de degradación e identificar parámetros indicadores de estabilidad que deben evaluarse.</w:t>
      </w:r>
    </w:p>
    <w:p w:rsidR="009641F0" w:rsidRDefault="009641F0" w:rsidP="009641F0">
      <w:pPr>
        <w:spacing w:after="120"/>
        <w:jc w:val="both"/>
        <w:rPr>
          <w:rFonts w:ascii="Arial" w:eastAsia="Arial" w:hAnsi="Arial" w:cs="Arial"/>
          <w:szCs w:val="22"/>
          <w:lang w:val="es-PY"/>
        </w:rPr>
      </w:pPr>
      <w:r w:rsidRPr="00532B7F">
        <w:rPr>
          <w:rFonts w:ascii="Arial" w:eastAsia="Arial" w:hAnsi="Arial" w:cs="Arial"/>
          <w:szCs w:val="22"/>
          <w:lang w:val="es-PY"/>
        </w:rPr>
        <w:t>En el caso de productos formulados con materiales portadores o de soporte, debe estudiarse la estabilidad del complejo formado con la sustancia activa.</w:t>
      </w:r>
    </w:p>
    <w:p w:rsidR="009641F0" w:rsidRPr="006D450E" w:rsidRDefault="009641F0" w:rsidP="009641F0">
      <w:pPr>
        <w:spacing w:after="120"/>
        <w:jc w:val="both"/>
        <w:rPr>
          <w:rFonts w:ascii="Arial" w:eastAsia="Arial" w:hAnsi="Arial" w:cs="Arial"/>
          <w:i/>
          <w:szCs w:val="22"/>
          <w:lang w:val="es-PY"/>
        </w:rPr>
      </w:pPr>
      <w:r w:rsidRPr="006D450E">
        <w:rPr>
          <w:rFonts w:ascii="Arial" w:eastAsia="Arial" w:hAnsi="Arial" w:cs="Arial"/>
          <w:i/>
          <w:szCs w:val="22"/>
          <w:lang w:val="es-PY"/>
        </w:rPr>
        <w:t xml:space="preserve">Datos / resultados de estabilidad </w:t>
      </w:r>
    </w:p>
    <w:p w:rsidR="009641F0" w:rsidRPr="006D450E" w:rsidRDefault="009641F0" w:rsidP="009641F0">
      <w:pPr>
        <w:spacing w:after="120"/>
        <w:jc w:val="both"/>
        <w:rPr>
          <w:rFonts w:ascii="Arial" w:eastAsia="Arial" w:hAnsi="Arial" w:cs="Arial"/>
          <w:szCs w:val="22"/>
          <w:lang w:val="es-PY"/>
        </w:rPr>
      </w:pPr>
      <w:r w:rsidRPr="006D450E">
        <w:rPr>
          <w:rFonts w:ascii="Arial" w:eastAsia="Arial" w:hAnsi="Arial" w:cs="Arial"/>
          <w:szCs w:val="22"/>
          <w:lang w:val="es-PY"/>
        </w:rPr>
        <w:t xml:space="preserve">Los datos de estabilidad deben presentarse para al menos un lote representativo del proceso de fabricación del material del ensayo clínico. Además, pueden proporcionarse datos de estabilidad de lotes de desarrollo relevantes o de lotes </w:t>
      </w:r>
      <w:r w:rsidRPr="006D450E">
        <w:rPr>
          <w:rFonts w:ascii="Arial" w:eastAsia="Arial" w:hAnsi="Arial" w:cs="Arial"/>
          <w:szCs w:val="22"/>
          <w:lang w:val="es-PY"/>
        </w:rPr>
        <w:lastRenderedPageBreak/>
        <w:t>fabricados utilizando procesos de fabricación anteriores. Dichos datos de lote pueden emplearse en la asignación de la vida útil de la sustancia activa, siempre que se aporte una justificación adecuada de la calidad representativa para el material del ensayo clínico.</w:t>
      </w:r>
    </w:p>
    <w:p w:rsidR="009641F0" w:rsidRPr="006D450E" w:rsidRDefault="009641F0" w:rsidP="009641F0">
      <w:pPr>
        <w:spacing w:after="120"/>
        <w:jc w:val="both"/>
        <w:rPr>
          <w:rFonts w:ascii="Arial" w:eastAsia="Arial" w:hAnsi="Arial" w:cs="Arial"/>
          <w:szCs w:val="22"/>
          <w:lang w:val="es-PY"/>
        </w:rPr>
      </w:pPr>
      <w:r w:rsidRPr="006D450E">
        <w:rPr>
          <w:rFonts w:ascii="Arial" w:eastAsia="Arial" w:hAnsi="Arial" w:cs="Arial"/>
          <w:szCs w:val="22"/>
          <w:lang w:val="es-PY"/>
        </w:rPr>
        <w:t>Los datos de estabilidad relevantes disponibles deben resumirse en formato tabular, especificando los lotes analizados, la fecha de fabricación, la versión del proceso, la composición, las condiciones de almacenamiento, los puntos temporales, los métodos de prueba, los criterios de aceptación vigentes en ese momento y los resultados.</w:t>
      </w:r>
    </w:p>
    <w:p w:rsidR="009641F0" w:rsidRPr="006D450E" w:rsidRDefault="009641F0" w:rsidP="009641F0">
      <w:pPr>
        <w:spacing w:after="120"/>
        <w:jc w:val="both"/>
        <w:rPr>
          <w:rFonts w:ascii="Arial" w:eastAsia="Arial" w:hAnsi="Arial" w:cs="Arial"/>
          <w:szCs w:val="22"/>
          <w:lang w:val="es-PY"/>
        </w:rPr>
      </w:pPr>
      <w:r w:rsidRPr="006D450E">
        <w:rPr>
          <w:rFonts w:ascii="Arial" w:eastAsia="Arial" w:hAnsi="Arial" w:cs="Arial"/>
          <w:szCs w:val="22"/>
          <w:lang w:val="es-PY"/>
        </w:rPr>
        <w:t>Para los parámetros cuantitativos, deben presentarse valores numéricos reales. Deben discutirse las tendencias observadas en los datos.</w:t>
      </w:r>
    </w:p>
    <w:p w:rsidR="009641F0" w:rsidRDefault="009641F0" w:rsidP="009641F0">
      <w:pPr>
        <w:spacing w:after="120"/>
        <w:jc w:val="both"/>
        <w:rPr>
          <w:rFonts w:ascii="Arial" w:eastAsia="Arial" w:hAnsi="Arial" w:cs="Arial"/>
          <w:szCs w:val="22"/>
          <w:lang w:val="es-PY"/>
        </w:rPr>
      </w:pPr>
      <w:r w:rsidRPr="006D450E">
        <w:rPr>
          <w:rFonts w:ascii="Arial" w:eastAsia="Arial" w:hAnsi="Arial" w:cs="Arial"/>
          <w:szCs w:val="22"/>
          <w:lang w:val="es-PY"/>
        </w:rPr>
        <w:t>El aumento de los datos disponibles y el conocimiento mejorado sobre la estabilidad de la sustancia activa deberá demostrarse durante las diferentes fases del desarrollo clínico. Para los ensayos clínicos confirmatorios, el solicitante debe tener una comprensión integral del perfil de estabilidad de la sustancia activa.</w:t>
      </w:r>
    </w:p>
    <w:p w:rsidR="009641F0" w:rsidRPr="00844675" w:rsidRDefault="009641F0" w:rsidP="009641F0">
      <w:pPr>
        <w:spacing w:after="120"/>
        <w:jc w:val="both"/>
        <w:rPr>
          <w:rFonts w:ascii="Arial" w:eastAsia="Arial" w:hAnsi="Arial" w:cs="Arial"/>
          <w:i/>
          <w:szCs w:val="22"/>
          <w:lang w:val="es-PY"/>
        </w:rPr>
      </w:pPr>
      <w:r w:rsidRPr="00844675">
        <w:rPr>
          <w:rFonts w:ascii="Arial" w:eastAsia="Arial" w:hAnsi="Arial" w:cs="Arial"/>
          <w:i/>
          <w:szCs w:val="22"/>
          <w:lang w:val="es-PY"/>
        </w:rPr>
        <w:t xml:space="preserve">Determinación de la vida útil </w:t>
      </w:r>
    </w:p>
    <w:p w:rsidR="009641F0" w:rsidRPr="00844675" w:rsidRDefault="009641F0" w:rsidP="009641F0">
      <w:pPr>
        <w:spacing w:after="120"/>
        <w:jc w:val="both"/>
        <w:rPr>
          <w:rFonts w:ascii="Arial" w:eastAsia="Arial" w:hAnsi="Arial" w:cs="Arial"/>
          <w:szCs w:val="22"/>
          <w:lang w:val="es-PY"/>
        </w:rPr>
      </w:pPr>
      <w:r w:rsidRPr="00844675">
        <w:rPr>
          <w:rFonts w:ascii="Arial" w:eastAsia="Arial" w:hAnsi="Arial" w:cs="Arial"/>
          <w:szCs w:val="22"/>
          <w:lang w:val="es-PY"/>
        </w:rPr>
        <w:t xml:space="preserve">La vida útil </w:t>
      </w:r>
      <w:r>
        <w:rPr>
          <w:rFonts w:ascii="Arial" w:eastAsia="Arial" w:hAnsi="Arial" w:cs="Arial"/>
          <w:szCs w:val="22"/>
          <w:lang w:val="es-PY"/>
        </w:rPr>
        <w:t>propuesta</w:t>
      </w:r>
      <w:r w:rsidRPr="00844675">
        <w:rPr>
          <w:rFonts w:ascii="Arial" w:eastAsia="Arial" w:hAnsi="Arial" w:cs="Arial"/>
          <w:szCs w:val="22"/>
          <w:lang w:val="es-PY"/>
        </w:rPr>
        <w:t xml:space="preserve"> de la sustancia activa bajo las condiciones de almacenamiento </w:t>
      </w:r>
      <w:r>
        <w:rPr>
          <w:rFonts w:ascii="Arial" w:eastAsia="Arial" w:hAnsi="Arial" w:cs="Arial"/>
          <w:szCs w:val="22"/>
          <w:lang w:val="es-PY"/>
        </w:rPr>
        <w:t>sugeridas</w:t>
      </w:r>
      <w:r w:rsidRPr="00844675">
        <w:rPr>
          <w:rFonts w:ascii="Arial" w:eastAsia="Arial" w:hAnsi="Arial" w:cs="Arial"/>
          <w:szCs w:val="22"/>
          <w:lang w:val="es-PY"/>
        </w:rPr>
        <w:t xml:space="preserve"> debe proporcionarse y acompañarse de una evaluación de los datos disponibles. Deben discutirse las tendencias observadas.</w:t>
      </w:r>
    </w:p>
    <w:p w:rsidR="009641F0" w:rsidRPr="00844675" w:rsidRDefault="009641F0" w:rsidP="009641F0">
      <w:pPr>
        <w:spacing w:after="120"/>
        <w:jc w:val="both"/>
        <w:rPr>
          <w:rFonts w:ascii="Arial" w:eastAsia="Arial" w:hAnsi="Arial" w:cs="Arial"/>
          <w:szCs w:val="22"/>
          <w:lang w:val="es-PY"/>
        </w:rPr>
      </w:pPr>
      <w:r w:rsidRPr="00844675">
        <w:rPr>
          <w:rFonts w:ascii="Arial" w:eastAsia="Arial" w:hAnsi="Arial" w:cs="Arial"/>
          <w:szCs w:val="22"/>
          <w:lang w:val="es-PY"/>
        </w:rPr>
        <w:t xml:space="preserve">El período de almacenamiento previsto debe basarse en estudios de estabilidad a largo plazo, en tiempo real y a temperatura real, según lo descrito en la guía ICH Q5C. La extensión de la vida útil más allá del período cubierto por los datos de estabilidad en tiempo real puede ser aceptable si está respaldada por datos relevantes, incluidos estudios de estabilidad acelerada (no aplicable a </w:t>
      </w:r>
      <w:proofErr w:type="spellStart"/>
      <w:r w:rsidRPr="00844675">
        <w:rPr>
          <w:rFonts w:ascii="Arial" w:eastAsia="Arial" w:hAnsi="Arial" w:cs="Arial"/>
          <w:szCs w:val="22"/>
          <w:lang w:val="es-PY"/>
        </w:rPr>
        <w:t>ATMPs</w:t>
      </w:r>
      <w:proofErr w:type="spellEnd"/>
      <w:r w:rsidRPr="00844675">
        <w:rPr>
          <w:rFonts w:ascii="Arial" w:eastAsia="Arial" w:hAnsi="Arial" w:cs="Arial"/>
          <w:szCs w:val="22"/>
          <w:lang w:val="es-PY"/>
        </w:rPr>
        <w:t xml:space="preserve"> celulares en investigación) y/o datos de estabilidad relevantes generados con material representativo.</w:t>
      </w:r>
    </w:p>
    <w:p w:rsidR="009641F0" w:rsidRPr="00844675" w:rsidRDefault="009641F0" w:rsidP="009641F0">
      <w:pPr>
        <w:spacing w:after="120"/>
        <w:jc w:val="both"/>
        <w:rPr>
          <w:rFonts w:ascii="Arial" w:eastAsia="Arial" w:hAnsi="Arial" w:cs="Arial"/>
          <w:szCs w:val="22"/>
          <w:lang w:val="es-PY"/>
        </w:rPr>
      </w:pPr>
      <w:r w:rsidRPr="00844675">
        <w:rPr>
          <w:rFonts w:ascii="Arial" w:eastAsia="Arial" w:hAnsi="Arial" w:cs="Arial"/>
          <w:szCs w:val="22"/>
          <w:lang w:val="es-PY"/>
        </w:rPr>
        <w:t>La vida útil máxima después de la extensión no debe ser más del doble, ni más de doce meses más larga que el período cubierto por los datos de estabilidad en tiempo real obtenidos con lote(s) representativo(s). Sin embargo, no es aceptable la extensión de la vida útil más allá de la duración prevista de los estudios de estabilidad a largo plazo.</w:t>
      </w:r>
    </w:p>
    <w:p w:rsidR="009641F0" w:rsidRDefault="009641F0" w:rsidP="009641F0">
      <w:pPr>
        <w:spacing w:after="120"/>
        <w:jc w:val="both"/>
        <w:rPr>
          <w:rFonts w:ascii="Arial" w:eastAsia="Arial" w:hAnsi="Arial" w:cs="Arial"/>
          <w:szCs w:val="22"/>
          <w:lang w:val="es-PY"/>
        </w:rPr>
      </w:pPr>
      <w:r w:rsidRPr="00844675">
        <w:rPr>
          <w:rFonts w:ascii="Arial" w:eastAsia="Arial" w:hAnsi="Arial" w:cs="Arial"/>
          <w:szCs w:val="22"/>
          <w:lang w:val="es-PY"/>
        </w:rPr>
        <w:t xml:space="preserve">Cuando se planifiquen extensiones de la vida útil, el solicitante debe comprometerse a realizar el programa de estabilidad propuesto de acuerdo con el protocolo presentado y, en caso de problemas inesperados, informar a las Autoridades Competentes de la situación y proponer acciones correctivas. El conocimiento previo, incluidas las tecnologías de plataforma, puede tenerse en </w:t>
      </w:r>
      <w:r w:rsidRPr="00844675">
        <w:rPr>
          <w:rFonts w:ascii="Arial" w:eastAsia="Arial" w:hAnsi="Arial" w:cs="Arial"/>
          <w:szCs w:val="22"/>
          <w:lang w:val="es-PY"/>
        </w:rPr>
        <w:lastRenderedPageBreak/>
        <w:t>cuenta al diseñar un protocolo de estabilidad. No obstante, la relevancia de los datos existentes debe justificarse y verificarse mediante datos específicos del producto.</w:t>
      </w:r>
    </w:p>
    <w:p w:rsidR="009641F0" w:rsidRPr="007E4FFC" w:rsidRDefault="009641F0" w:rsidP="009641F0">
      <w:pPr>
        <w:spacing w:after="120"/>
        <w:jc w:val="both"/>
        <w:rPr>
          <w:rFonts w:ascii="Arial" w:eastAsia="Arial" w:hAnsi="Arial" w:cs="Arial"/>
          <w:b/>
          <w:i/>
          <w:szCs w:val="22"/>
          <w:lang w:val="es-PY"/>
        </w:rPr>
      </w:pPr>
      <w:r w:rsidRPr="007E4FFC">
        <w:rPr>
          <w:rFonts w:ascii="Arial" w:eastAsia="Arial" w:hAnsi="Arial" w:cs="Arial"/>
          <w:b/>
          <w:i/>
          <w:szCs w:val="22"/>
          <w:lang w:val="es-PY"/>
        </w:rPr>
        <w:t xml:space="preserve">P. Medicamento en investigación </w:t>
      </w:r>
    </w:p>
    <w:p w:rsidR="009641F0" w:rsidRDefault="009641F0" w:rsidP="009641F0">
      <w:pPr>
        <w:spacing w:after="120"/>
        <w:jc w:val="both"/>
        <w:rPr>
          <w:rFonts w:ascii="Arial" w:eastAsia="Arial" w:hAnsi="Arial" w:cs="Arial"/>
          <w:szCs w:val="22"/>
          <w:lang w:val="es-PY"/>
        </w:rPr>
      </w:pPr>
      <w:r w:rsidRPr="007E4FFC">
        <w:rPr>
          <w:rFonts w:ascii="Arial" w:eastAsia="Arial" w:hAnsi="Arial" w:cs="Arial"/>
          <w:szCs w:val="22"/>
          <w:lang w:val="es-PY"/>
        </w:rPr>
        <w:t xml:space="preserve">La mayoría de las consideraciones específicas de los </w:t>
      </w:r>
      <w:proofErr w:type="spellStart"/>
      <w:r w:rsidRPr="007E4FFC">
        <w:rPr>
          <w:rFonts w:ascii="Arial" w:eastAsia="Arial" w:hAnsi="Arial" w:cs="Arial"/>
          <w:szCs w:val="22"/>
          <w:lang w:val="es-PY"/>
        </w:rPr>
        <w:t>ATMPs</w:t>
      </w:r>
      <w:proofErr w:type="spellEnd"/>
      <w:r w:rsidRPr="007E4FFC">
        <w:rPr>
          <w:rFonts w:ascii="Arial" w:eastAsia="Arial" w:hAnsi="Arial" w:cs="Arial"/>
          <w:szCs w:val="22"/>
          <w:lang w:val="es-PY"/>
        </w:rPr>
        <w:t xml:space="preserve"> en investigación realizadas para la sustancia activa también son aplicables al producto terminado y, por lo tanto, no se repetirán en esta sección. Sin embargo, se señalan algunas consideraciones específicas en lo que respecta al producto terminado.</w:t>
      </w:r>
    </w:p>
    <w:p w:rsidR="009641F0" w:rsidRPr="007A07B0" w:rsidRDefault="009641F0" w:rsidP="009641F0">
      <w:pPr>
        <w:spacing w:after="120"/>
        <w:jc w:val="both"/>
        <w:rPr>
          <w:rFonts w:ascii="Arial" w:eastAsia="Arial" w:hAnsi="Arial" w:cs="Arial"/>
          <w:b/>
          <w:i/>
          <w:szCs w:val="22"/>
          <w:lang w:val="es-PY"/>
        </w:rPr>
      </w:pPr>
      <w:r w:rsidRPr="007A07B0">
        <w:rPr>
          <w:rFonts w:ascii="Arial" w:eastAsia="Arial" w:hAnsi="Arial" w:cs="Arial"/>
          <w:b/>
          <w:i/>
          <w:szCs w:val="22"/>
          <w:lang w:val="es-PY"/>
        </w:rPr>
        <w:t xml:space="preserve">P.1. Descripción y composición del medicamento en investigación </w:t>
      </w:r>
    </w:p>
    <w:p w:rsidR="009641F0" w:rsidRPr="007A07B0" w:rsidRDefault="009641F0" w:rsidP="009641F0">
      <w:pPr>
        <w:spacing w:after="120"/>
        <w:jc w:val="both"/>
        <w:rPr>
          <w:rFonts w:ascii="Arial" w:eastAsia="Arial" w:hAnsi="Arial" w:cs="Arial"/>
          <w:szCs w:val="22"/>
          <w:lang w:val="es-PY"/>
        </w:rPr>
      </w:pPr>
      <w:r w:rsidRPr="007A07B0">
        <w:rPr>
          <w:rFonts w:ascii="Arial" w:eastAsia="Arial" w:hAnsi="Arial" w:cs="Arial"/>
          <w:szCs w:val="22"/>
          <w:lang w:val="es-PY"/>
        </w:rPr>
        <w:t>Debe proporcionarse la composición cualitativa y cuantitativa del ATMP en investigación, incluyendo:</w:t>
      </w:r>
    </w:p>
    <w:p w:rsidR="009641F0" w:rsidRDefault="009641F0" w:rsidP="009641F0">
      <w:pPr>
        <w:spacing w:after="120"/>
        <w:jc w:val="both"/>
        <w:rPr>
          <w:rFonts w:ascii="Arial" w:eastAsia="Arial" w:hAnsi="Arial" w:cs="Arial"/>
          <w:szCs w:val="22"/>
          <w:lang w:val="es-PY"/>
        </w:rPr>
      </w:pPr>
      <w:r w:rsidRPr="007A07B0">
        <w:rPr>
          <w:rFonts w:ascii="Arial" w:eastAsia="Arial" w:hAnsi="Arial" w:cs="Arial"/>
          <w:szCs w:val="22"/>
          <w:lang w:val="es-PY"/>
        </w:rPr>
        <w:t xml:space="preserve">• una breve declaración o una composición tabulada de la forma farmacéutica; </w:t>
      </w:r>
    </w:p>
    <w:p w:rsidR="009641F0" w:rsidRDefault="009641F0" w:rsidP="009641F0">
      <w:pPr>
        <w:spacing w:after="120"/>
        <w:jc w:val="both"/>
        <w:rPr>
          <w:rFonts w:ascii="Arial" w:eastAsia="Arial" w:hAnsi="Arial" w:cs="Arial"/>
          <w:szCs w:val="22"/>
          <w:lang w:val="es-PY"/>
        </w:rPr>
      </w:pPr>
      <w:r w:rsidRPr="007A07B0">
        <w:rPr>
          <w:rFonts w:ascii="Arial" w:eastAsia="Arial" w:hAnsi="Arial" w:cs="Arial"/>
          <w:szCs w:val="22"/>
          <w:lang w:val="es-PY"/>
        </w:rPr>
        <w:t xml:space="preserve">• descripción de la composición del producto, es decir, lista de todos los componentes (sustancias activas, excipientes y cualquier otro componente estructural) del producto y su cantidad por unidad (incluyendo sobrecargas, si las hubiera), la función de cada componente y una referencia a sus estándares de calidad (p. ej., monografías </w:t>
      </w:r>
      <w:proofErr w:type="spellStart"/>
      <w:r w:rsidR="005E4B0A">
        <w:rPr>
          <w:rFonts w:ascii="Arial" w:eastAsia="Arial" w:hAnsi="Arial" w:cs="Arial"/>
          <w:szCs w:val="22"/>
          <w:lang w:val="es-PY"/>
        </w:rPr>
        <w:t>farmacopeicas</w:t>
      </w:r>
      <w:proofErr w:type="spellEnd"/>
      <w:r w:rsidRPr="007A07B0">
        <w:rPr>
          <w:rFonts w:ascii="Arial" w:eastAsia="Arial" w:hAnsi="Arial" w:cs="Arial"/>
          <w:szCs w:val="22"/>
          <w:lang w:val="es-PY"/>
        </w:rPr>
        <w:t xml:space="preserve"> o especificaciones del fabricante); </w:t>
      </w:r>
    </w:p>
    <w:p w:rsidR="009641F0" w:rsidRPr="007A07B0" w:rsidRDefault="009641F0" w:rsidP="009641F0">
      <w:pPr>
        <w:spacing w:after="120"/>
        <w:jc w:val="both"/>
        <w:rPr>
          <w:rFonts w:ascii="Arial" w:eastAsia="Arial" w:hAnsi="Arial" w:cs="Arial"/>
          <w:szCs w:val="22"/>
          <w:lang w:val="es-PY"/>
        </w:rPr>
      </w:pPr>
      <w:r w:rsidRPr="007A07B0">
        <w:rPr>
          <w:rFonts w:ascii="Arial" w:eastAsia="Arial" w:hAnsi="Arial" w:cs="Arial"/>
          <w:szCs w:val="22"/>
          <w:lang w:val="es-PY"/>
        </w:rPr>
        <w:t>• descripción de los componentes acompañantes (p. ej., dispositivos médicos para administrar el producto) y/o diluyentes acompañantes;</w:t>
      </w:r>
    </w:p>
    <w:p w:rsidR="009641F0" w:rsidRPr="007A07B0" w:rsidRDefault="009641F0" w:rsidP="009641F0">
      <w:pPr>
        <w:spacing w:after="120"/>
        <w:jc w:val="both"/>
        <w:rPr>
          <w:rFonts w:ascii="Arial" w:eastAsia="Arial" w:hAnsi="Arial" w:cs="Arial"/>
          <w:szCs w:val="22"/>
          <w:lang w:val="es-PY"/>
        </w:rPr>
      </w:pPr>
      <w:r w:rsidRPr="007A07B0">
        <w:rPr>
          <w:rFonts w:ascii="Arial" w:eastAsia="Arial" w:hAnsi="Arial" w:cs="Arial"/>
          <w:szCs w:val="22"/>
          <w:lang w:val="es-PY"/>
        </w:rPr>
        <w:t>Cuando el dispositivo médico forma parte de la formulación final del producto terminado (p. ej., una matriz añadida a la sustancia activa poco antes de su administración al paciente, destinada a restringir espacialmente el producto o controlar su liberación), el dispositivo médico se considerará un excipiente.</w:t>
      </w:r>
    </w:p>
    <w:p w:rsidR="009641F0" w:rsidRPr="007A07B0" w:rsidRDefault="009641F0" w:rsidP="009641F0">
      <w:pPr>
        <w:spacing w:after="120"/>
        <w:jc w:val="both"/>
        <w:rPr>
          <w:rFonts w:ascii="Arial" w:eastAsia="Arial" w:hAnsi="Arial" w:cs="Arial"/>
          <w:szCs w:val="22"/>
          <w:lang w:val="es-PY"/>
        </w:rPr>
      </w:pPr>
      <w:r w:rsidRPr="007A07B0">
        <w:rPr>
          <w:rFonts w:ascii="Arial" w:eastAsia="Arial" w:hAnsi="Arial" w:cs="Arial"/>
          <w:szCs w:val="22"/>
          <w:lang w:val="es-PY"/>
        </w:rPr>
        <w:t xml:space="preserve">Cuando el dispositivo médico se utilice como sistema de cierre del envase para el producto terminado o esté destinado a administrar el ATMP como producto integral único, y el dispositivo no sea reutilizable (p. ej., una jeringa precargada), debe proporcionarse información </w:t>
      </w:r>
      <w:r w:rsidR="00102FC7">
        <w:rPr>
          <w:rFonts w:ascii="Arial" w:eastAsia="Arial" w:hAnsi="Arial" w:cs="Arial"/>
          <w:szCs w:val="22"/>
          <w:lang w:val="es-PY"/>
        </w:rPr>
        <w:t>en el expediente</w:t>
      </w:r>
      <w:r w:rsidRPr="007A07B0">
        <w:rPr>
          <w:rFonts w:ascii="Arial" w:eastAsia="Arial" w:hAnsi="Arial" w:cs="Arial"/>
          <w:szCs w:val="22"/>
          <w:lang w:val="es-PY"/>
        </w:rPr>
        <w:t>. El producto terminado se regula bajo el marco de medicamentos.</w:t>
      </w:r>
    </w:p>
    <w:p w:rsidR="009641F0" w:rsidRDefault="009641F0" w:rsidP="009641F0">
      <w:pPr>
        <w:spacing w:after="120"/>
        <w:jc w:val="both"/>
        <w:rPr>
          <w:rFonts w:ascii="Arial" w:eastAsia="Arial" w:hAnsi="Arial" w:cs="Arial"/>
          <w:szCs w:val="22"/>
          <w:lang w:val="es-PY"/>
        </w:rPr>
      </w:pPr>
      <w:r w:rsidRPr="007A07B0">
        <w:rPr>
          <w:rFonts w:ascii="Arial" w:eastAsia="Arial" w:hAnsi="Arial" w:cs="Arial"/>
          <w:szCs w:val="22"/>
          <w:lang w:val="es-PY"/>
        </w:rPr>
        <w:t xml:space="preserve">Cuando el ATMP requiera un dispositivo médico independiente para su administración que no sea integral, el dispositivo se regula bajo el marco de dispositivos médicos. </w:t>
      </w:r>
    </w:p>
    <w:p w:rsidR="009641F0" w:rsidRDefault="009641F0" w:rsidP="009641F0">
      <w:pPr>
        <w:spacing w:after="120"/>
        <w:jc w:val="both"/>
        <w:rPr>
          <w:rFonts w:ascii="Arial" w:eastAsia="Arial" w:hAnsi="Arial" w:cs="Arial"/>
          <w:szCs w:val="22"/>
          <w:lang w:val="es-PY"/>
        </w:rPr>
      </w:pPr>
      <w:r w:rsidRPr="007A07B0">
        <w:rPr>
          <w:rFonts w:ascii="Arial" w:eastAsia="Arial" w:hAnsi="Arial" w:cs="Arial"/>
          <w:szCs w:val="22"/>
          <w:lang w:val="es-PY"/>
        </w:rPr>
        <w:t>• un esquema del tipo de envase y cierre utilizado para la forma farmacéutica y para cualquier diluyente de reconstitución y dispositivos acompañantes, si corresponde. Debe proporcionarse una descripción completa en la sección P.7.</w:t>
      </w:r>
    </w:p>
    <w:p w:rsidR="009641F0" w:rsidRPr="0041405E" w:rsidRDefault="009641F0" w:rsidP="009641F0">
      <w:pPr>
        <w:spacing w:after="120"/>
        <w:jc w:val="both"/>
        <w:rPr>
          <w:rFonts w:ascii="Arial" w:eastAsia="Arial" w:hAnsi="Arial" w:cs="Arial"/>
          <w:b/>
          <w:i/>
          <w:szCs w:val="22"/>
          <w:lang w:val="es-PY"/>
        </w:rPr>
      </w:pPr>
      <w:r w:rsidRPr="0041405E">
        <w:rPr>
          <w:rFonts w:ascii="Arial" w:eastAsia="Arial" w:hAnsi="Arial" w:cs="Arial"/>
          <w:b/>
          <w:i/>
          <w:szCs w:val="22"/>
          <w:lang w:val="es-PY"/>
        </w:rPr>
        <w:lastRenderedPageBreak/>
        <w:t xml:space="preserve">P.2. Desarrollo farmacéutico </w:t>
      </w:r>
    </w:p>
    <w:p w:rsidR="009641F0" w:rsidRPr="0041405E" w:rsidRDefault="009641F0" w:rsidP="009641F0">
      <w:pPr>
        <w:spacing w:after="120"/>
        <w:jc w:val="both"/>
        <w:rPr>
          <w:rFonts w:ascii="Arial" w:eastAsia="Arial" w:hAnsi="Arial" w:cs="Arial"/>
          <w:szCs w:val="22"/>
          <w:lang w:val="es-PY"/>
        </w:rPr>
      </w:pPr>
      <w:r w:rsidRPr="0041405E">
        <w:rPr>
          <w:rFonts w:ascii="Arial" w:eastAsia="Arial" w:hAnsi="Arial" w:cs="Arial"/>
          <w:szCs w:val="22"/>
          <w:lang w:val="es-PY"/>
        </w:rPr>
        <w:t>En las etapas tempranas de desarrollo puede haber información limitada para incluir en esta sección.</w:t>
      </w:r>
    </w:p>
    <w:p w:rsidR="009641F0" w:rsidRPr="0041405E" w:rsidRDefault="009641F0" w:rsidP="009641F0">
      <w:pPr>
        <w:spacing w:after="120"/>
        <w:jc w:val="both"/>
        <w:rPr>
          <w:rFonts w:ascii="Arial" w:eastAsia="Arial" w:hAnsi="Arial" w:cs="Arial"/>
          <w:szCs w:val="22"/>
          <w:lang w:val="es-PY"/>
        </w:rPr>
      </w:pPr>
      <w:r w:rsidRPr="0041405E">
        <w:rPr>
          <w:rFonts w:ascii="Arial" w:eastAsia="Arial" w:hAnsi="Arial" w:cs="Arial"/>
          <w:szCs w:val="22"/>
          <w:lang w:val="es-PY"/>
        </w:rPr>
        <w:t>Debe proporcionarse una breve descripción del desarrollo de la formulación, incluyendo la justificación de cualquier nueva forma farmacéutica y de cualquier sobrecarga aplicada. El uso de cualquier excipiente o combinación de excipientes y las condiciones de almacenamiento deben justificarse, y deben hacerse referencias a las secciones correspondientes.</w:t>
      </w:r>
    </w:p>
    <w:p w:rsidR="009641F0" w:rsidRDefault="009641F0" w:rsidP="009641F0">
      <w:pPr>
        <w:spacing w:after="120"/>
        <w:jc w:val="both"/>
        <w:rPr>
          <w:rFonts w:ascii="Arial" w:eastAsia="Arial" w:hAnsi="Arial" w:cs="Arial"/>
          <w:szCs w:val="22"/>
          <w:lang w:val="es-PY"/>
        </w:rPr>
      </w:pPr>
      <w:r w:rsidRPr="0041405E">
        <w:rPr>
          <w:rFonts w:ascii="Arial" w:eastAsia="Arial" w:hAnsi="Arial" w:cs="Arial"/>
          <w:szCs w:val="22"/>
          <w:lang w:val="es-PY"/>
        </w:rPr>
        <w:t>Debe discutirse la relevancia de las características estructurales y funcionales de los componentes no celulares en un producto combinado. La interacción del componente celular y de cualquier componente adicional no celular con el dispositivo debe evaluarse, y deben presentarse el desarrollo y las características del producto combinado en su conjunto.</w:t>
      </w:r>
    </w:p>
    <w:p w:rsidR="009641F0" w:rsidRPr="00DC192B" w:rsidRDefault="009641F0" w:rsidP="009641F0">
      <w:pPr>
        <w:spacing w:after="120"/>
        <w:jc w:val="both"/>
        <w:rPr>
          <w:rFonts w:ascii="Arial" w:eastAsia="Arial" w:hAnsi="Arial" w:cs="Arial"/>
          <w:i/>
          <w:szCs w:val="22"/>
          <w:lang w:val="es-PY"/>
        </w:rPr>
      </w:pPr>
      <w:r w:rsidRPr="00DC192B">
        <w:rPr>
          <w:rFonts w:ascii="Arial" w:eastAsia="Arial" w:hAnsi="Arial" w:cs="Arial"/>
          <w:i/>
          <w:szCs w:val="22"/>
          <w:lang w:val="es-PY"/>
        </w:rPr>
        <w:t xml:space="preserve">Compatibilidad </w:t>
      </w:r>
    </w:p>
    <w:p w:rsidR="009641F0" w:rsidRPr="00DC192B" w:rsidRDefault="009641F0" w:rsidP="009641F0">
      <w:pPr>
        <w:spacing w:after="120"/>
        <w:jc w:val="both"/>
        <w:rPr>
          <w:rFonts w:ascii="Arial" w:eastAsia="Arial" w:hAnsi="Arial" w:cs="Arial"/>
          <w:szCs w:val="22"/>
          <w:lang w:val="es-PY"/>
        </w:rPr>
      </w:pPr>
      <w:r w:rsidRPr="00DC192B">
        <w:rPr>
          <w:rFonts w:ascii="Arial" w:eastAsia="Arial" w:hAnsi="Arial" w:cs="Arial"/>
          <w:szCs w:val="22"/>
          <w:lang w:val="es-PY"/>
        </w:rPr>
        <w:t>Debe documentarse, antes de su uso, que la combinación de la formulación prevista y el material de envasado no afecta la dosificación correcta, asegurando, por ejemplo, que el producto no sea adsorbido en la pared del envase o del sistema de infusión. Esto es particularmente relevante para presentaciones de dosis bajas y altamente diluidas. En particular, deben abordarse los riesgos de pérdida de potencia o fuerza, aumento de impurezas, y los estudios deben reproducir la situación real en la mayor medida posible.</w:t>
      </w:r>
    </w:p>
    <w:p w:rsidR="009641F0" w:rsidRPr="00DC192B" w:rsidRDefault="009641F0" w:rsidP="009641F0">
      <w:pPr>
        <w:spacing w:after="120"/>
        <w:jc w:val="both"/>
        <w:rPr>
          <w:rFonts w:ascii="Arial" w:eastAsia="Arial" w:hAnsi="Arial" w:cs="Arial"/>
          <w:szCs w:val="22"/>
          <w:lang w:val="es-PY"/>
        </w:rPr>
      </w:pPr>
      <w:r w:rsidRPr="00DC192B">
        <w:rPr>
          <w:rFonts w:ascii="Arial" w:eastAsia="Arial" w:hAnsi="Arial" w:cs="Arial"/>
          <w:szCs w:val="22"/>
          <w:lang w:val="es-PY"/>
        </w:rPr>
        <w:t>Cuando corresponda, debe abordarse la administración fiable de dosis muy pequeñas en estudios exploratorios.</w:t>
      </w:r>
    </w:p>
    <w:p w:rsidR="009641F0" w:rsidRPr="00DC192B" w:rsidRDefault="009641F0" w:rsidP="009641F0">
      <w:pPr>
        <w:spacing w:after="120"/>
        <w:jc w:val="both"/>
        <w:rPr>
          <w:rFonts w:ascii="Arial" w:eastAsia="Arial" w:hAnsi="Arial" w:cs="Arial"/>
          <w:szCs w:val="22"/>
          <w:lang w:val="es-PY"/>
        </w:rPr>
      </w:pPr>
      <w:r w:rsidRPr="00DC192B">
        <w:rPr>
          <w:rFonts w:ascii="Arial" w:eastAsia="Arial" w:hAnsi="Arial" w:cs="Arial"/>
          <w:szCs w:val="22"/>
          <w:lang w:val="es-PY"/>
        </w:rPr>
        <w:t>Reconstitución del producto: Las actividades de reconstitución pueden realizarse en el lugar de administración. Esto cubre actividades requeridas después de la liberación del lote y antes de la administración del ATMP al paciente, y que no pueden considerarse pasos de fabricación, p. ej., descongelación o mezcla con otras sustancias añadidas para fines de administración (incluidas matrices) y otras actividades. El triturado y moldeado forman parte de procedimientos quirúrgicos y, por lo tanto, no son actividades de fabricación ni de reconstitución. Ninguna actividad que implique una manipulación sustancial puede considerarse reconstitución (p. ej., cultivo). En general, el tiempo hasta la administración debe minimizarse para los medicamentos celulares en investigación.</w:t>
      </w:r>
    </w:p>
    <w:p w:rsidR="009641F0" w:rsidRPr="00DC192B" w:rsidRDefault="009641F0" w:rsidP="009641F0">
      <w:pPr>
        <w:spacing w:after="120"/>
        <w:jc w:val="both"/>
        <w:rPr>
          <w:rFonts w:ascii="Arial" w:eastAsia="Arial" w:hAnsi="Arial" w:cs="Arial"/>
          <w:szCs w:val="22"/>
          <w:lang w:val="es-PY"/>
        </w:rPr>
      </w:pPr>
      <w:r w:rsidRPr="00DC192B">
        <w:rPr>
          <w:rFonts w:ascii="Arial" w:eastAsia="Arial" w:hAnsi="Arial" w:cs="Arial"/>
          <w:szCs w:val="22"/>
          <w:lang w:val="es-PY"/>
        </w:rPr>
        <w:t xml:space="preserve">El proceso de reconstitución debe describirse, incluyendo todos los componentes que entran en contacto con el ATMP en investigación como parte de la aplicación clínica (p. ej., membranas para contención local, colas de fibrina) y el período de </w:t>
      </w:r>
      <w:r w:rsidRPr="00DC192B">
        <w:rPr>
          <w:rFonts w:ascii="Arial" w:eastAsia="Arial" w:hAnsi="Arial" w:cs="Arial"/>
          <w:szCs w:val="22"/>
          <w:lang w:val="es-PY"/>
        </w:rPr>
        <w:lastRenderedPageBreak/>
        <w:t>reconstitución. Debe demostrarse la compatibilidad con los materiales utilizados (p. ej., disolventes, diluyentes, matrices) y resumirse el método de preparación, incluyendo el equipo utilizado (puede hacerse referencia a una descripción completa en el protocolo clínico o en un documento separado</w:t>
      </w:r>
      <w:r w:rsidR="0067505B">
        <w:rPr>
          <w:rFonts w:ascii="Arial" w:eastAsia="Arial" w:hAnsi="Arial" w:cs="Arial"/>
          <w:szCs w:val="22"/>
          <w:lang w:val="es-PY"/>
        </w:rPr>
        <w:t>)</w:t>
      </w:r>
      <w:r w:rsidRPr="00DC192B">
        <w:rPr>
          <w:rFonts w:ascii="Arial" w:eastAsia="Arial" w:hAnsi="Arial" w:cs="Arial"/>
          <w:szCs w:val="22"/>
          <w:lang w:val="es-PY"/>
        </w:rPr>
        <w:t>. A través de estudios apropiados debe demostrarse que el proceso de reconstitución especificado es suficientemente robusto y consistente para garantizar que el producto cumple las especificaciones y puede administrarse sin impacto negativo en la calidad, seguridad o propiedades clínicas del ATMP. Para una MAA, el proceso de reconstitución definido debe validarse formalmente.</w:t>
      </w:r>
    </w:p>
    <w:p w:rsidR="009641F0" w:rsidRDefault="009641F0" w:rsidP="009641F0">
      <w:pPr>
        <w:spacing w:after="120"/>
        <w:jc w:val="both"/>
        <w:rPr>
          <w:rFonts w:ascii="Arial" w:eastAsia="Arial" w:hAnsi="Arial" w:cs="Arial"/>
          <w:szCs w:val="22"/>
          <w:lang w:val="es-PY"/>
        </w:rPr>
      </w:pPr>
      <w:r w:rsidRPr="00DC192B">
        <w:rPr>
          <w:rFonts w:ascii="Arial" w:eastAsia="Arial" w:hAnsi="Arial" w:cs="Arial"/>
          <w:szCs w:val="22"/>
          <w:lang w:val="es-PY"/>
        </w:rPr>
        <w:t>Si un diluyente se empaqueta conjuntamente con el producto terminado, la información sobre el diluyente debe colocarse en una sección separada del Producto Terminado. La compatibilidad del producto terminado con los diluyentes de reconstitución debe discutirse en la sección P.2. Los datos de estudios de constitución o dilución realizados como parte de los estudios formales de estabilidad para confirmar la calidad del producto durante la vida útil deben informarse en la sección P.8.</w:t>
      </w:r>
    </w:p>
    <w:p w:rsidR="009641F0" w:rsidRPr="005C03B5" w:rsidRDefault="009641F0" w:rsidP="009641F0">
      <w:pPr>
        <w:spacing w:after="120"/>
        <w:jc w:val="both"/>
        <w:rPr>
          <w:rFonts w:ascii="Arial" w:eastAsia="Arial" w:hAnsi="Arial" w:cs="Arial"/>
          <w:i/>
          <w:szCs w:val="22"/>
          <w:lang w:val="es-PY"/>
        </w:rPr>
      </w:pPr>
      <w:r w:rsidRPr="005C03B5">
        <w:rPr>
          <w:rFonts w:ascii="Arial" w:eastAsia="Arial" w:hAnsi="Arial" w:cs="Arial"/>
          <w:i/>
          <w:szCs w:val="22"/>
          <w:lang w:val="es-PY"/>
        </w:rPr>
        <w:t xml:space="preserve">Desarrollo del proceso de fabricación </w:t>
      </w:r>
    </w:p>
    <w:p w:rsidR="009641F0" w:rsidRDefault="009641F0" w:rsidP="009641F0">
      <w:pPr>
        <w:spacing w:after="120"/>
        <w:jc w:val="both"/>
        <w:rPr>
          <w:rFonts w:ascii="Arial" w:eastAsia="Arial" w:hAnsi="Arial" w:cs="Arial"/>
          <w:szCs w:val="22"/>
          <w:lang w:val="es-PY"/>
        </w:rPr>
      </w:pPr>
      <w:r w:rsidRPr="007D7FC8">
        <w:rPr>
          <w:rFonts w:ascii="Arial" w:eastAsia="Arial" w:hAnsi="Arial" w:cs="Arial"/>
          <w:szCs w:val="22"/>
          <w:lang w:val="es-PY"/>
        </w:rPr>
        <w:t>Cualquier cambio en el proceso de fabricación durante las fases clínicas debe documentarse y justificarse en relación con su impacto en la calidad, la seguridad, las propiedades clínicas, la dosificación y la estabilidad del medicamento.</w:t>
      </w:r>
    </w:p>
    <w:p w:rsidR="009641F0" w:rsidRPr="008E30C6" w:rsidRDefault="009641F0" w:rsidP="009641F0">
      <w:pPr>
        <w:spacing w:after="120"/>
        <w:jc w:val="both"/>
        <w:rPr>
          <w:rFonts w:ascii="Arial" w:eastAsia="Arial" w:hAnsi="Arial" w:cs="Arial"/>
          <w:i/>
          <w:szCs w:val="22"/>
          <w:lang w:val="es-PY"/>
        </w:rPr>
      </w:pPr>
      <w:r w:rsidRPr="008E30C6">
        <w:rPr>
          <w:rFonts w:ascii="Arial" w:eastAsia="Arial" w:hAnsi="Arial" w:cs="Arial"/>
          <w:i/>
          <w:szCs w:val="22"/>
          <w:lang w:val="es-PY"/>
        </w:rPr>
        <w:t xml:space="preserve">Comparabilidad </w:t>
      </w:r>
    </w:p>
    <w:p w:rsidR="009641F0" w:rsidRPr="008E30C6" w:rsidRDefault="009641F0" w:rsidP="009641F0">
      <w:pPr>
        <w:spacing w:after="120"/>
        <w:jc w:val="both"/>
        <w:rPr>
          <w:rFonts w:ascii="Arial" w:eastAsia="Arial" w:hAnsi="Arial" w:cs="Arial"/>
          <w:szCs w:val="22"/>
          <w:lang w:val="es-PY"/>
        </w:rPr>
      </w:pPr>
      <w:r w:rsidRPr="008E30C6">
        <w:rPr>
          <w:rFonts w:ascii="Arial" w:eastAsia="Arial" w:hAnsi="Arial" w:cs="Arial"/>
          <w:szCs w:val="22"/>
          <w:lang w:val="es-PY"/>
        </w:rPr>
        <w:t>El desarrollo de un ATMP en investigación puede abarcar cambios en el proceso de fabricación que podrían tener un impacto en el producto terminado. Los cambios en el proceso de fabricación, incluidos los cambios en la formulación y en la forma farmacéutica en comparación con ensayos clínicos anteriores, deben describirse.</w:t>
      </w:r>
    </w:p>
    <w:p w:rsidR="009641F0" w:rsidRPr="008E30C6" w:rsidRDefault="009641F0" w:rsidP="009641F0">
      <w:pPr>
        <w:spacing w:after="120"/>
        <w:jc w:val="both"/>
        <w:rPr>
          <w:rFonts w:ascii="Arial" w:eastAsia="Arial" w:hAnsi="Arial" w:cs="Arial"/>
          <w:szCs w:val="22"/>
          <w:lang w:val="es-PY"/>
        </w:rPr>
      </w:pPr>
      <w:r w:rsidRPr="008E30C6">
        <w:rPr>
          <w:rFonts w:ascii="Arial" w:eastAsia="Arial" w:hAnsi="Arial" w:cs="Arial"/>
          <w:szCs w:val="22"/>
          <w:lang w:val="es-PY"/>
        </w:rPr>
        <w:t>Un ejercicio de comparabilidad adecuado debe respaldar los cambios significativos, por ejemplo, cambios de formulación, considerando su posible impacto en la calidad, la seguridad, las propiedades clínicas, la dosificación y la estabilidad. En este sentido, las expectativas son similares a las descritas en la sección S.2.6. Estos datos deben ser suficientemente detallados para permitir una comprensión adecuada de los cambios y la evaluación de las posibles consecuencias para la seguridad del paciente.</w:t>
      </w:r>
    </w:p>
    <w:p w:rsidR="009641F0" w:rsidRDefault="009641F0" w:rsidP="009641F0">
      <w:pPr>
        <w:spacing w:after="120"/>
        <w:jc w:val="both"/>
        <w:rPr>
          <w:rFonts w:ascii="Arial" w:eastAsia="Arial" w:hAnsi="Arial" w:cs="Arial"/>
          <w:szCs w:val="22"/>
          <w:lang w:val="es-PY"/>
        </w:rPr>
      </w:pPr>
      <w:r w:rsidRPr="008E30C6">
        <w:rPr>
          <w:rFonts w:ascii="Arial" w:eastAsia="Arial" w:hAnsi="Arial" w:cs="Arial"/>
          <w:szCs w:val="22"/>
          <w:lang w:val="es-PY"/>
        </w:rPr>
        <w:t>Los mismos principios para demostrar comparabilidad a lo largo del desarrollo que se aplican a la sustancia activa también se aplican al producto terminado.</w:t>
      </w:r>
    </w:p>
    <w:p w:rsidR="009641F0" w:rsidRPr="000A46D6" w:rsidRDefault="009641F0" w:rsidP="009641F0">
      <w:pPr>
        <w:spacing w:after="120"/>
        <w:jc w:val="both"/>
        <w:rPr>
          <w:rFonts w:ascii="Arial" w:eastAsia="Arial" w:hAnsi="Arial" w:cs="Arial"/>
          <w:b/>
          <w:szCs w:val="22"/>
          <w:lang w:val="es-PY"/>
        </w:rPr>
      </w:pPr>
      <w:r w:rsidRPr="000A46D6">
        <w:rPr>
          <w:rFonts w:ascii="Arial" w:eastAsia="Arial" w:hAnsi="Arial" w:cs="Arial"/>
          <w:b/>
          <w:szCs w:val="22"/>
          <w:lang w:val="es-PY"/>
        </w:rPr>
        <w:t>P.3. Fabricación</w:t>
      </w:r>
    </w:p>
    <w:p w:rsidR="009641F0" w:rsidRPr="000A46D6" w:rsidRDefault="009641F0" w:rsidP="009641F0">
      <w:pPr>
        <w:spacing w:after="120"/>
        <w:jc w:val="both"/>
        <w:rPr>
          <w:rFonts w:ascii="Arial" w:eastAsia="Arial" w:hAnsi="Arial" w:cs="Arial"/>
          <w:b/>
          <w:szCs w:val="22"/>
          <w:lang w:val="es-PY"/>
        </w:rPr>
      </w:pPr>
      <w:r w:rsidRPr="000A46D6">
        <w:rPr>
          <w:rFonts w:ascii="Arial" w:eastAsia="Arial" w:hAnsi="Arial" w:cs="Arial"/>
          <w:b/>
          <w:szCs w:val="22"/>
          <w:lang w:val="es-PY"/>
        </w:rPr>
        <w:lastRenderedPageBreak/>
        <w:t xml:space="preserve">P.3.1. Fabricante(s) </w:t>
      </w:r>
    </w:p>
    <w:p w:rsidR="009641F0" w:rsidRPr="000A46D6" w:rsidRDefault="009641F0" w:rsidP="009641F0">
      <w:pPr>
        <w:spacing w:after="120"/>
        <w:jc w:val="both"/>
        <w:rPr>
          <w:rFonts w:ascii="Arial" w:eastAsia="Arial" w:hAnsi="Arial" w:cs="Arial"/>
          <w:szCs w:val="22"/>
          <w:lang w:val="es-PY"/>
        </w:rPr>
      </w:pPr>
      <w:r w:rsidRPr="000A46D6">
        <w:rPr>
          <w:rFonts w:ascii="Arial" w:eastAsia="Arial" w:hAnsi="Arial" w:cs="Arial"/>
          <w:szCs w:val="22"/>
          <w:lang w:val="es-PY"/>
        </w:rPr>
        <w:t>Deben proporcionarse el/los nombre(s), dirección(es) y responsabilidades de todos los fabricantes para cada sitio de producción propuesto involucrado en la fabricación, las pruebas y la liberación o importación de lotes. En caso de que múltiples fabricantes contribuyan a la fabricación del ATMP en investigación, sus respectivas responsabilidades deben estar claramente definidas.</w:t>
      </w:r>
    </w:p>
    <w:p w:rsidR="009641F0" w:rsidRPr="006A3F32" w:rsidRDefault="009641F0" w:rsidP="009641F0">
      <w:pPr>
        <w:spacing w:after="120"/>
        <w:jc w:val="both"/>
        <w:rPr>
          <w:rFonts w:ascii="Arial" w:eastAsia="Arial" w:hAnsi="Arial" w:cs="Arial"/>
          <w:b/>
          <w:i/>
          <w:szCs w:val="22"/>
          <w:lang w:val="es-PY"/>
        </w:rPr>
      </w:pPr>
      <w:r w:rsidRPr="006A3F32">
        <w:rPr>
          <w:rFonts w:ascii="Arial" w:eastAsia="Arial" w:hAnsi="Arial" w:cs="Arial"/>
          <w:b/>
          <w:i/>
          <w:szCs w:val="22"/>
          <w:lang w:val="es-PY"/>
        </w:rPr>
        <w:t xml:space="preserve">P.3.2. Fórmula del lote </w:t>
      </w:r>
    </w:p>
    <w:p w:rsidR="009641F0" w:rsidRDefault="009641F0" w:rsidP="009641F0">
      <w:pPr>
        <w:spacing w:after="120"/>
        <w:jc w:val="both"/>
        <w:rPr>
          <w:rFonts w:ascii="Arial" w:eastAsia="Arial" w:hAnsi="Arial" w:cs="Arial"/>
          <w:szCs w:val="22"/>
          <w:lang w:val="es-PY"/>
        </w:rPr>
      </w:pPr>
      <w:r w:rsidRPr="000A46D6">
        <w:rPr>
          <w:rFonts w:ascii="Arial" w:eastAsia="Arial" w:hAnsi="Arial" w:cs="Arial"/>
          <w:szCs w:val="22"/>
          <w:lang w:val="es-PY"/>
        </w:rPr>
        <w:t>Debe presentarse la composición/fórmula del lote o lotes que se utilizarán en el ensayo clínico. Esto debe incluir una lista de todos los componentes que se emplearán. Deben indicarse los tamaños de lote o el rango de tamaños de lote.</w:t>
      </w:r>
      <w:r>
        <w:rPr>
          <w:rFonts w:ascii="Arial" w:eastAsia="Arial" w:hAnsi="Arial" w:cs="Arial"/>
          <w:szCs w:val="22"/>
          <w:lang w:val="es-PY"/>
        </w:rPr>
        <w:t xml:space="preserve"> </w:t>
      </w:r>
    </w:p>
    <w:p w:rsidR="009641F0" w:rsidRPr="006A3F32" w:rsidRDefault="009641F0" w:rsidP="009641F0">
      <w:pPr>
        <w:spacing w:after="120"/>
        <w:jc w:val="both"/>
        <w:rPr>
          <w:rFonts w:ascii="Arial" w:eastAsia="Arial" w:hAnsi="Arial" w:cs="Arial"/>
          <w:b/>
          <w:i/>
          <w:szCs w:val="22"/>
          <w:lang w:val="es-PY"/>
        </w:rPr>
      </w:pPr>
      <w:r w:rsidRPr="006A3F32">
        <w:rPr>
          <w:rFonts w:ascii="Arial" w:eastAsia="Arial" w:hAnsi="Arial" w:cs="Arial"/>
          <w:b/>
          <w:i/>
          <w:szCs w:val="22"/>
          <w:lang w:val="es-PY"/>
        </w:rPr>
        <w:t xml:space="preserve">P.3.3. Descripción del proceso de fabricación y controles de proceso </w:t>
      </w:r>
    </w:p>
    <w:p w:rsidR="009641F0" w:rsidRPr="000F1AB9" w:rsidRDefault="009641F0" w:rsidP="009641F0">
      <w:pPr>
        <w:spacing w:after="120"/>
        <w:jc w:val="both"/>
        <w:rPr>
          <w:rFonts w:ascii="Arial" w:eastAsia="Arial" w:hAnsi="Arial" w:cs="Arial"/>
          <w:szCs w:val="22"/>
          <w:lang w:val="es-PY"/>
        </w:rPr>
      </w:pPr>
      <w:r w:rsidRPr="000F1AB9">
        <w:rPr>
          <w:rFonts w:ascii="Arial" w:eastAsia="Arial" w:hAnsi="Arial" w:cs="Arial"/>
          <w:szCs w:val="22"/>
          <w:lang w:val="es-PY"/>
        </w:rPr>
        <w:t>Debe proporcionarse un diagrama de flujo que muestre todos los pasos del proceso de fabricación, incluyendo l</w:t>
      </w:r>
      <w:r w:rsidR="00AE4C56">
        <w:rPr>
          <w:rFonts w:ascii="Arial" w:eastAsia="Arial" w:hAnsi="Arial" w:cs="Arial"/>
          <w:szCs w:val="22"/>
          <w:lang w:val="es-PY"/>
        </w:rPr>
        <w:t xml:space="preserve">os </w:t>
      </w:r>
      <w:r w:rsidRPr="000F1AB9">
        <w:rPr>
          <w:rFonts w:ascii="Arial" w:eastAsia="Arial" w:hAnsi="Arial" w:cs="Arial"/>
          <w:szCs w:val="22"/>
          <w:lang w:val="es-PY"/>
        </w:rPr>
        <w:t>parámetros de proceso y pruebas en proceso</w:t>
      </w:r>
      <w:r w:rsidR="00AE4C56">
        <w:rPr>
          <w:rFonts w:ascii="Arial" w:eastAsia="Arial" w:hAnsi="Arial" w:cs="Arial"/>
          <w:szCs w:val="22"/>
          <w:lang w:val="es-PY"/>
        </w:rPr>
        <w:t xml:space="preserve"> relevantes</w:t>
      </w:r>
      <w:r w:rsidRPr="000F1AB9">
        <w:rPr>
          <w:rFonts w:ascii="Arial" w:eastAsia="Arial" w:hAnsi="Arial" w:cs="Arial"/>
          <w:szCs w:val="22"/>
          <w:lang w:val="es-PY"/>
        </w:rPr>
        <w:t xml:space="preserve">, acompañado de una breve descripción del proceso. Los </w:t>
      </w:r>
      <w:r w:rsidR="00AE4C56">
        <w:rPr>
          <w:rFonts w:ascii="Arial" w:eastAsia="Arial" w:hAnsi="Arial" w:cs="Arial"/>
          <w:szCs w:val="22"/>
          <w:lang w:val="es-PY"/>
        </w:rPr>
        <w:t>parámetros de proceso</w:t>
      </w:r>
      <w:r w:rsidRPr="000F1AB9">
        <w:rPr>
          <w:rFonts w:ascii="Arial" w:eastAsia="Arial" w:hAnsi="Arial" w:cs="Arial"/>
          <w:szCs w:val="22"/>
          <w:lang w:val="es-PY"/>
        </w:rPr>
        <w:t xml:space="preserve"> pueden registrarse como límites de acción o reportarse como criterios de aceptación preliminares, y el enfoque debe estar en los atributos relevantes para la seguridad. Para otros </w:t>
      </w:r>
      <w:r w:rsidR="00AE4C56">
        <w:rPr>
          <w:rFonts w:ascii="Arial" w:eastAsia="Arial" w:hAnsi="Arial" w:cs="Arial"/>
          <w:szCs w:val="22"/>
          <w:lang w:val="es-PY"/>
        </w:rPr>
        <w:t>parámetros en proceso</w:t>
      </w:r>
      <w:r w:rsidRPr="000F1AB9">
        <w:rPr>
          <w:rFonts w:ascii="Arial" w:eastAsia="Arial" w:hAnsi="Arial" w:cs="Arial"/>
          <w:szCs w:val="22"/>
          <w:lang w:val="es-PY"/>
        </w:rPr>
        <w:t>, puede ser apropiado únicamente el monitoreo, y no es necesario reportar criterios de aceptación ni límites de acción.</w:t>
      </w:r>
    </w:p>
    <w:p w:rsidR="009641F0" w:rsidRPr="000F1AB9" w:rsidRDefault="009641F0" w:rsidP="009641F0">
      <w:pPr>
        <w:spacing w:after="120"/>
        <w:jc w:val="both"/>
        <w:rPr>
          <w:rFonts w:ascii="Arial" w:eastAsia="Arial" w:hAnsi="Arial" w:cs="Arial"/>
          <w:szCs w:val="22"/>
          <w:lang w:val="es-PY"/>
        </w:rPr>
      </w:pPr>
      <w:r w:rsidRPr="000F1AB9">
        <w:rPr>
          <w:rFonts w:ascii="Arial" w:eastAsia="Arial" w:hAnsi="Arial" w:cs="Arial"/>
          <w:szCs w:val="22"/>
          <w:lang w:val="es-PY"/>
        </w:rPr>
        <w:t>Durante el desarrollo, a medida que se adquiere mayor conocimiento del proceso, deben proporcionarse más detalles de los IPC y revisarse los criterios de aceptación.</w:t>
      </w:r>
    </w:p>
    <w:p w:rsidR="009641F0" w:rsidRDefault="009641F0" w:rsidP="009641F0">
      <w:pPr>
        <w:spacing w:after="120"/>
        <w:jc w:val="both"/>
        <w:rPr>
          <w:rFonts w:ascii="Arial" w:eastAsia="Arial" w:hAnsi="Arial" w:cs="Arial"/>
          <w:szCs w:val="22"/>
          <w:lang w:val="es-PY"/>
        </w:rPr>
      </w:pPr>
      <w:r w:rsidRPr="000F1AB9">
        <w:rPr>
          <w:rFonts w:ascii="Arial" w:eastAsia="Arial" w:hAnsi="Arial" w:cs="Arial"/>
          <w:szCs w:val="22"/>
          <w:lang w:val="es-PY"/>
        </w:rPr>
        <w:t xml:space="preserve">La reprocesamiento puede ser aceptable para pasos particulares de fabricación (p. ej., </w:t>
      </w:r>
      <w:proofErr w:type="spellStart"/>
      <w:r w:rsidRPr="000F1AB9">
        <w:rPr>
          <w:rFonts w:ascii="Arial" w:eastAsia="Arial" w:hAnsi="Arial" w:cs="Arial"/>
          <w:szCs w:val="22"/>
          <w:lang w:val="es-PY"/>
        </w:rPr>
        <w:t>re-filtración</w:t>
      </w:r>
      <w:proofErr w:type="spellEnd"/>
      <w:r w:rsidRPr="000F1AB9">
        <w:rPr>
          <w:rFonts w:ascii="Arial" w:eastAsia="Arial" w:hAnsi="Arial" w:cs="Arial"/>
          <w:szCs w:val="22"/>
          <w:lang w:val="es-PY"/>
        </w:rPr>
        <w:t>) únicamente si dichos pasos están adecuadamente descritos y justificados de manera apropiada.</w:t>
      </w:r>
    </w:p>
    <w:p w:rsidR="009641F0" w:rsidRPr="006A3F32" w:rsidRDefault="009641F0" w:rsidP="009641F0">
      <w:pPr>
        <w:spacing w:after="120"/>
        <w:jc w:val="both"/>
        <w:rPr>
          <w:rFonts w:ascii="Arial" w:eastAsia="Arial" w:hAnsi="Arial" w:cs="Arial"/>
          <w:b/>
          <w:i/>
          <w:szCs w:val="22"/>
          <w:lang w:val="es-PY"/>
        </w:rPr>
      </w:pPr>
      <w:r w:rsidRPr="006A3F32">
        <w:rPr>
          <w:rFonts w:ascii="Arial" w:eastAsia="Arial" w:hAnsi="Arial" w:cs="Arial"/>
          <w:b/>
          <w:i/>
          <w:szCs w:val="22"/>
          <w:lang w:val="es-PY"/>
        </w:rPr>
        <w:t xml:space="preserve">P.3.4. Control de pasos críticos e intermedios </w:t>
      </w:r>
    </w:p>
    <w:p w:rsidR="009641F0" w:rsidRPr="006A3F32" w:rsidRDefault="009641F0" w:rsidP="009641F0">
      <w:pPr>
        <w:spacing w:after="120"/>
        <w:jc w:val="both"/>
        <w:rPr>
          <w:rFonts w:ascii="Arial" w:eastAsia="Arial" w:hAnsi="Arial" w:cs="Arial"/>
          <w:szCs w:val="22"/>
          <w:lang w:val="es-PY"/>
        </w:rPr>
      </w:pPr>
      <w:r w:rsidRPr="006A3F32">
        <w:rPr>
          <w:rFonts w:ascii="Arial" w:eastAsia="Arial" w:hAnsi="Arial" w:cs="Arial"/>
          <w:szCs w:val="22"/>
          <w:lang w:val="es-PY"/>
        </w:rPr>
        <w:t>Deben proporcionarse las pruebas y criterios de aceptación para el control de los pasos críticos en el proceso de fabricación. Se reconoce que, debido a la limitada disponibilidad de datos en una etapa temprana del desarrollo, puede no estar disponible la información completa.</w:t>
      </w:r>
    </w:p>
    <w:p w:rsidR="009641F0" w:rsidRPr="006A3F32" w:rsidRDefault="009641F0" w:rsidP="009641F0">
      <w:pPr>
        <w:spacing w:after="120"/>
        <w:jc w:val="both"/>
        <w:rPr>
          <w:rFonts w:ascii="Arial" w:eastAsia="Arial" w:hAnsi="Arial" w:cs="Arial"/>
          <w:szCs w:val="22"/>
          <w:lang w:val="es-PY"/>
        </w:rPr>
      </w:pPr>
      <w:r w:rsidRPr="006A3F32">
        <w:rPr>
          <w:rFonts w:ascii="Arial" w:eastAsia="Arial" w:hAnsi="Arial" w:cs="Arial"/>
          <w:szCs w:val="22"/>
          <w:lang w:val="es-PY"/>
        </w:rPr>
        <w:t>Los pasos críticos de fabricación necesarios para garantizar una determinada etapa de diferenciación celular requerida para el uso previsto deben controlarse con marcadores relevantes. Las consideraciones sobre el proceso de fabricación también deben tener en cuenta el perfil de riesgo asociado al producto.</w:t>
      </w:r>
    </w:p>
    <w:p w:rsidR="009641F0" w:rsidRPr="006A3F32" w:rsidRDefault="009641F0" w:rsidP="009641F0">
      <w:pPr>
        <w:spacing w:after="120"/>
        <w:jc w:val="both"/>
        <w:rPr>
          <w:rFonts w:ascii="Arial" w:eastAsia="Arial" w:hAnsi="Arial" w:cs="Arial"/>
          <w:szCs w:val="22"/>
          <w:lang w:val="es-PY"/>
        </w:rPr>
      </w:pPr>
      <w:r w:rsidRPr="006A3F32">
        <w:rPr>
          <w:rFonts w:ascii="Arial" w:eastAsia="Arial" w:hAnsi="Arial" w:cs="Arial"/>
          <w:szCs w:val="22"/>
          <w:lang w:val="es-PY"/>
        </w:rPr>
        <w:lastRenderedPageBreak/>
        <w:t>Si se prevén tiempos de espera para los intermediarios del proceso, deben proporcionarse los períodos y condiciones de almacenamiento y justificarse con datos en términos de propiedades fisicoquímicas, biológicas y microbiológicas.</w:t>
      </w:r>
    </w:p>
    <w:p w:rsidR="009641F0" w:rsidRDefault="009641F0" w:rsidP="009641F0">
      <w:pPr>
        <w:spacing w:after="120"/>
        <w:jc w:val="both"/>
        <w:rPr>
          <w:rFonts w:ascii="Arial" w:eastAsia="Arial" w:hAnsi="Arial" w:cs="Arial"/>
          <w:szCs w:val="22"/>
          <w:lang w:val="es-PY"/>
        </w:rPr>
      </w:pPr>
      <w:r w:rsidRPr="006A3F32">
        <w:rPr>
          <w:rFonts w:ascii="Arial" w:eastAsia="Arial" w:hAnsi="Arial" w:cs="Arial"/>
          <w:szCs w:val="22"/>
          <w:lang w:val="es-PY"/>
        </w:rPr>
        <w:t xml:space="preserve">Además, se requiere información sobre cómo se asegura la integridad de los filtros de grado esterilizante antes y después de su uso. Para la esterilización por filtración, la carga microbiana máxima aceptable antes de la filtración debe proporcionarse en la solicitud y justificarse en el contexto de la capacidad de retención del filtro y el volumen máximo de filtración. En la mayoría de las situaciones, no se aceptarán más de 10 UFC/100 ml. Pueden utilizarse volúmenes de prueba inferiores a 100 ml si están justificados. </w:t>
      </w:r>
    </w:p>
    <w:p w:rsidR="009641F0" w:rsidRPr="004C4A03" w:rsidRDefault="009641F0" w:rsidP="009641F0">
      <w:pPr>
        <w:spacing w:after="120"/>
        <w:jc w:val="both"/>
        <w:rPr>
          <w:rFonts w:ascii="Arial" w:eastAsia="Arial" w:hAnsi="Arial" w:cs="Arial"/>
          <w:b/>
          <w:i/>
          <w:szCs w:val="22"/>
          <w:lang w:val="es-PY"/>
        </w:rPr>
      </w:pPr>
      <w:r w:rsidRPr="004C4A03">
        <w:rPr>
          <w:rFonts w:ascii="Arial" w:eastAsia="Arial" w:hAnsi="Arial" w:cs="Arial"/>
          <w:b/>
          <w:i/>
          <w:szCs w:val="22"/>
          <w:lang w:val="es-PY"/>
        </w:rPr>
        <w:t xml:space="preserve">P.3.5. Validación y/o evaluación del proceso </w:t>
      </w:r>
    </w:p>
    <w:p w:rsidR="009641F0" w:rsidRPr="004C4A03" w:rsidRDefault="009641F0" w:rsidP="009641F0">
      <w:pPr>
        <w:spacing w:after="120"/>
        <w:jc w:val="both"/>
        <w:rPr>
          <w:rFonts w:ascii="Arial" w:eastAsia="Arial" w:hAnsi="Arial" w:cs="Arial"/>
          <w:szCs w:val="22"/>
          <w:lang w:val="es-PY"/>
        </w:rPr>
      </w:pPr>
      <w:r w:rsidRPr="004C4A03">
        <w:rPr>
          <w:rFonts w:ascii="Arial" w:eastAsia="Arial" w:hAnsi="Arial" w:cs="Arial"/>
          <w:szCs w:val="22"/>
          <w:lang w:val="es-PY"/>
        </w:rPr>
        <w:t>El estado de validación del procesamiento aséptico y de la liofilización, cuando corresponda, debe describirse brevemente. Teniendo en cuenta Directrices de Buenas Prácticas de Fabricación específicas para Medicamentos de Terapia Avanzada, la validación de los procesos de esterilización debe cumplir el mismo estándar que para los productos autorizados para comercialización.</w:t>
      </w:r>
    </w:p>
    <w:p w:rsidR="009641F0" w:rsidRPr="004C4A03" w:rsidRDefault="009641F0" w:rsidP="009641F0">
      <w:pPr>
        <w:spacing w:after="120"/>
        <w:jc w:val="both"/>
        <w:rPr>
          <w:rFonts w:ascii="Arial" w:eastAsia="Arial" w:hAnsi="Arial" w:cs="Arial"/>
          <w:szCs w:val="22"/>
          <w:lang w:val="es-PY"/>
        </w:rPr>
      </w:pPr>
      <w:r w:rsidRPr="004C4A03">
        <w:rPr>
          <w:rFonts w:ascii="Arial" w:eastAsia="Arial" w:hAnsi="Arial" w:cs="Arial"/>
          <w:szCs w:val="22"/>
          <w:lang w:val="es-PY"/>
        </w:rPr>
        <w:t>Tal como se indica en ICH M4Q, deben proporcionarse la descripción, documentación y resultados de los estudios de evaluación para los pasos críticos o ensayos críticos utilizados en el proceso de fabricación (p. ej., información directamente relacionada con la seguridad del producto, como la validación del proceso de esterilización o del procesamiento aséptico).</w:t>
      </w:r>
    </w:p>
    <w:p w:rsidR="009641F0" w:rsidRDefault="009641F0" w:rsidP="009641F0">
      <w:pPr>
        <w:spacing w:after="120"/>
        <w:jc w:val="both"/>
        <w:rPr>
          <w:rFonts w:ascii="Arial" w:eastAsia="Arial" w:hAnsi="Arial" w:cs="Arial"/>
          <w:szCs w:val="22"/>
          <w:lang w:val="es-PY"/>
        </w:rPr>
      </w:pPr>
      <w:r w:rsidRPr="004C4A03">
        <w:rPr>
          <w:rFonts w:ascii="Arial" w:eastAsia="Arial" w:hAnsi="Arial" w:cs="Arial"/>
          <w:szCs w:val="22"/>
          <w:lang w:val="es-PY"/>
        </w:rPr>
        <w:t>La evaluación de la seguridad viral debe proporcionarse en la sección 3.2.A.2, cuando corresponda.</w:t>
      </w:r>
    </w:p>
    <w:p w:rsidR="009641F0" w:rsidRPr="006374A0" w:rsidRDefault="009641F0" w:rsidP="009641F0">
      <w:pPr>
        <w:spacing w:after="120"/>
        <w:jc w:val="both"/>
        <w:rPr>
          <w:rFonts w:ascii="Arial" w:eastAsia="Arial" w:hAnsi="Arial" w:cs="Arial"/>
          <w:b/>
          <w:i/>
          <w:szCs w:val="22"/>
          <w:lang w:val="es-PY"/>
        </w:rPr>
      </w:pPr>
      <w:r w:rsidRPr="006374A0">
        <w:rPr>
          <w:rFonts w:ascii="Arial" w:eastAsia="Arial" w:hAnsi="Arial" w:cs="Arial"/>
          <w:b/>
          <w:i/>
          <w:szCs w:val="22"/>
          <w:lang w:val="es-PY"/>
        </w:rPr>
        <w:t xml:space="preserve">P.4. Control de excipientes </w:t>
      </w:r>
    </w:p>
    <w:p w:rsidR="009641F0" w:rsidRPr="00EC6A2E" w:rsidRDefault="009641F0" w:rsidP="009641F0">
      <w:pPr>
        <w:spacing w:after="120"/>
        <w:jc w:val="both"/>
        <w:rPr>
          <w:rFonts w:ascii="Arial" w:eastAsia="Arial" w:hAnsi="Arial" w:cs="Arial"/>
          <w:szCs w:val="22"/>
          <w:lang w:val="es-PY"/>
        </w:rPr>
      </w:pPr>
      <w:r w:rsidRPr="00EC6A2E">
        <w:rPr>
          <w:rFonts w:ascii="Arial" w:eastAsia="Arial" w:hAnsi="Arial" w:cs="Arial"/>
          <w:szCs w:val="22"/>
          <w:lang w:val="es-PY"/>
        </w:rPr>
        <w:t xml:space="preserve">Pueden hacerse referencias a </w:t>
      </w:r>
      <w:r w:rsidR="00AE4C56">
        <w:rPr>
          <w:rFonts w:ascii="Arial" w:eastAsia="Arial" w:hAnsi="Arial" w:cs="Arial"/>
          <w:szCs w:val="22"/>
          <w:lang w:val="es-PY"/>
        </w:rPr>
        <w:t>farmacopeas internacionalmente reconocidas</w:t>
      </w:r>
      <w:r w:rsidRPr="00EC6A2E">
        <w:rPr>
          <w:rFonts w:ascii="Arial" w:eastAsia="Arial" w:hAnsi="Arial" w:cs="Arial"/>
          <w:szCs w:val="22"/>
          <w:lang w:val="es-PY"/>
        </w:rPr>
        <w:t>. Para los excipientes no cubiertos por ninguno de los estándares mencionados, debe proporcionarse una especificación interna.</w:t>
      </w:r>
    </w:p>
    <w:p w:rsidR="009641F0" w:rsidRPr="00EC6A2E" w:rsidRDefault="009641F0" w:rsidP="009641F0">
      <w:pPr>
        <w:spacing w:after="120"/>
        <w:jc w:val="both"/>
        <w:rPr>
          <w:rFonts w:ascii="Arial" w:eastAsia="Arial" w:hAnsi="Arial" w:cs="Arial"/>
          <w:szCs w:val="22"/>
          <w:lang w:val="es-PY"/>
        </w:rPr>
      </w:pPr>
      <w:r w:rsidRPr="00EC6A2E">
        <w:rPr>
          <w:rFonts w:ascii="Arial" w:eastAsia="Arial" w:hAnsi="Arial" w:cs="Arial"/>
          <w:szCs w:val="22"/>
          <w:lang w:val="es-PY"/>
        </w:rPr>
        <w:t xml:space="preserve">Debe incluirse en el expediente información sobre la elección de los excipientes, sus propiedades, sus características y el diseño y las pruebas de una matriz/andamiaje final como parte del desarrollo farmacéutico. También debe proporcionarse información sobre la fuente. Las matrices, andamios, dispositivos, biomateriales, biomoléculas o materiales de </w:t>
      </w:r>
      <w:proofErr w:type="spellStart"/>
      <w:r w:rsidRPr="00EC6A2E">
        <w:rPr>
          <w:rFonts w:ascii="Arial" w:eastAsia="Arial" w:hAnsi="Arial" w:cs="Arial"/>
          <w:szCs w:val="22"/>
          <w:lang w:val="es-PY"/>
        </w:rPr>
        <w:t>complejación</w:t>
      </w:r>
      <w:proofErr w:type="spellEnd"/>
      <w:r w:rsidRPr="00EC6A2E">
        <w:rPr>
          <w:rFonts w:ascii="Arial" w:eastAsia="Arial" w:hAnsi="Arial" w:cs="Arial"/>
          <w:szCs w:val="22"/>
          <w:lang w:val="es-PY"/>
        </w:rPr>
        <w:t xml:space="preserve"> que no formen parte integral de la sustancia activa se consideran excipientes del producto terminado. Los principios generales aplicados a la evaluación biológica de dispositivos médicos también pueden aplicarse a la evaluación de biomateriales destinados a ser excipientes.</w:t>
      </w:r>
    </w:p>
    <w:p w:rsidR="009641F0" w:rsidRPr="00EC6A2E" w:rsidRDefault="009641F0" w:rsidP="009641F0">
      <w:pPr>
        <w:spacing w:after="120"/>
        <w:jc w:val="both"/>
        <w:rPr>
          <w:rFonts w:ascii="Arial" w:eastAsia="Arial" w:hAnsi="Arial" w:cs="Arial"/>
          <w:szCs w:val="22"/>
          <w:lang w:val="es-PY"/>
        </w:rPr>
      </w:pPr>
      <w:r w:rsidRPr="00EC6A2E">
        <w:rPr>
          <w:rFonts w:ascii="Arial" w:eastAsia="Arial" w:hAnsi="Arial" w:cs="Arial"/>
          <w:szCs w:val="22"/>
          <w:lang w:val="es-PY"/>
        </w:rPr>
        <w:lastRenderedPageBreak/>
        <w:t>Los excipientes establecidos (no novedosos) deben ser preferiblemente de grado farmacéutico. Cuando se utilicen materiales de grado no farmacéutico, será necesario invertir más esfuerzo en la caracterización y pruebas internas.</w:t>
      </w:r>
    </w:p>
    <w:p w:rsidR="009641F0" w:rsidRPr="00FC326C" w:rsidRDefault="009641F0" w:rsidP="009641F0">
      <w:pPr>
        <w:spacing w:after="120"/>
        <w:jc w:val="both"/>
        <w:rPr>
          <w:rFonts w:ascii="Arial" w:eastAsia="Arial" w:hAnsi="Arial" w:cs="Arial"/>
          <w:i/>
          <w:szCs w:val="22"/>
          <w:lang w:val="es-PY"/>
        </w:rPr>
      </w:pPr>
      <w:proofErr w:type="spellStart"/>
      <w:r w:rsidRPr="00FC326C">
        <w:rPr>
          <w:rFonts w:ascii="Arial" w:eastAsia="Arial" w:hAnsi="Arial" w:cs="Arial"/>
          <w:i/>
          <w:szCs w:val="22"/>
          <w:lang w:val="es-PY"/>
        </w:rPr>
        <w:t>ATMPs</w:t>
      </w:r>
      <w:proofErr w:type="spellEnd"/>
      <w:r w:rsidRPr="00FC326C">
        <w:rPr>
          <w:rFonts w:ascii="Arial" w:eastAsia="Arial" w:hAnsi="Arial" w:cs="Arial"/>
          <w:i/>
          <w:szCs w:val="22"/>
          <w:lang w:val="es-PY"/>
        </w:rPr>
        <w:t xml:space="preserve"> celulares en investigación </w:t>
      </w:r>
    </w:p>
    <w:p w:rsidR="009641F0" w:rsidRPr="00EC6A2E" w:rsidRDefault="009641F0" w:rsidP="009641F0">
      <w:pPr>
        <w:spacing w:after="120"/>
        <w:jc w:val="both"/>
        <w:rPr>
          <w:rFonts w:ascii="Arial" w:eastAsia="Arial" w:hAnsi="Arial" w:cs="Arial"/>
          <w:szCs w:val="22"/>
          <w:lang w:val="es-PY"/>
        </w:rPr>
      </w:pPr>
      <w:r w:rsidRPr="00EC6A2E">
        <w:rPr>
          <w:rFonts w:ascii="Arial" w:eastAsia="Arial" w:hAnsi="Arial" w:cs="Arial"/>
          <w:szCs w:val="22"/>
          <w:lang w:val="es-PY"/>
        </w:rPr>
        <w:t xml:space="preserve">Los excipientes deben cualificarse en relación con su combinación con células. La estabilidad de los componentes no celulares, como andamios, dispositivos, biomateriales, biomoléculas o materiales de </w:t>
      </w:r>
      <w:proofErr w:type="spellStart"/>
      <w:r w:rsidRPr="00EC6A2E">
        <w:rPr>
          <w:rFonts w:ascii="Arial" w:eastAsia="Arial" w:hAnsi="Arial" w:cs="Arial"/>
          <w:szCs w:val="22"/>
          <w:lang w:val="es-PY"/>
        </w:rPr>
        <w:t>complejación</w:t>
      </w:r>
      <w:proofErr w:type="spellEnd"/>
      <w:r w:rsidRPr="00EC6A2E">
        <w:rPr>
          <w:rFonts w:ascii="Arial" w:eastAsia="Arial" w:hAnsi="Arial" w:cs="Arial"/>
          <w:szCs w:val="22"/>
          <w:lang w:val="es-PY"/>
        </w:rPr>
        <w:t>, debe establecerse.</w:t>
      </w:r>
    </w:p>
    <w:p w:rsidR="009641F0" w:rsidRPr="00FC326C" w:rsidRDefault="009641F0" w:rsidP="009641F0">
      <w:pPr>
        <w:spacing w:after="120"/>
        <w:jc w:val="both"/>
        <w:rPr>
          <w:rFonts w:ascii="Arial" w:eastAsia="Arial" w:hAnsi="Arial" w:cs="Arial"/>
          <w:i/>
          <w:szCs w:val="22"/>
          <w:lang w:val="es-PY"/>
        </w:rPr>
      </w:pPr>
      <w:proofErr w:type="spellStart"/>
      <w:r w:rsidRPr="00FC326C">
        <w:rPr>
          <w:rFonts w:ascii="Arial" w:eastAsia="Arial" w:hAnsi="Arial" w:cs="Arial"/>
          <w:i/>
          <w:szCs w:val="22"/>
          <w:lang w:val="es-PY"/>
        </w:rPr>
        <w:t>GTMPs</w:t>
      </w:r>
      <w:proofErr w:type="spellEnd"/>
      <w:r w:rsidRPr="00FC326C">
        <w:rPr>
          <w:rFonts w:ascii="Arial" w:eastAsia="Arial" w:hAnsi="Arial" w:cs="Arial"/>
          <w:i/>
          <w:szCs w:val="22"/>
          <w:lang w:val="es-PY"/>
        </w:rPr>
        <w:t xml:space="preserve"> en investigación </w:t>
      </w:r>
    </w:p>
    <w:p w:rsidR="009641F0" w:rsidRDefault="009641F0" w:rsidP="009641F0">
      <w:pPr>
        <w:spacing w:after="120"/>
        <w:jc w:val="both"/>
        <w:rPr>
          <w:rFonts w:ascii="Arial" w:eastAsia="Arial" w:hAnsi="Arial" w:cs="Arial"/>
          <w:szCs w:val="22"/>
          <w:lang w:val="es-PY"/>
        </w:rPr>
      </w:pPr>
      <w:r w:rsidRPr="00EC6A2E">
        <w:rPr>
          <w:rFonts w:ascii="Arial" w:eastAsia="Arial" w:hAnsi="Arial" w:cs="Arial"/>
          <w:szCs w:val="22"/>
          <w:lang w:val="es-PY"/>
        </w:rPr>
        <w:t xml:space="preserve">Los diluyentes, estabilizadores u otros excipientes añadidos durante la preparación del vector final o del producto terminado deben demostrar que no afectan las propiedades del vector en las concentraciones empleadas. Los materiales de </w:t>
      </w:r>
      <w:proofErr w:type="spellStart"/>
      <w:r w:rsidRPr="00EC6A2E">
        <w:rPr>
          <w:rFonts w:ascii="Arial" w:eastAsia="Arial" w:hAnsi="Arial" w:cs="Arial"/>
          <w:szCs w:val="22"/>
          <w:lang w:val="es-PY"/>
        </w:rPr>
        <w:t>complejación</w:t>
      </w:r>
      <w:proofErr w:type="spellEnd"/>
      <w:r w:rsidRPr="00EC6A2E">
        <w:rPr>
          <w:rFonts w:ascii="Arial" w:eastAsia="Arial" w:hAnsi="Arial" w:cs="Arial"/>
          <w:szCs w:val="22"/>
          <w:lang w:val="es-PY"/>
        </w:rPr>
        <w:t xml:space="preserve"> utilizados para formular el producto terminado de terapia génica en investigación se consideran excipientes y deben cualificarse para su propósito previsto. La calidad y pureza de los materiales de </w:t>
      </w:r>
      <w:proofErr w:type="spellStart"/>
      <w:r w:rsidRPr="00EC6A2E">
        <w:rPr>
          <w:rFonts w:ascii="Arial" w:eastAsia="Arial" w:hAnsi="Arial" w:cs="Arial"/>
          <w:szCs w:val="22"/>
          <w:lang w:val="es-PY"/>
        </w:rPr>
        <w:t>complejación</w:t>
      </w:r>
      <w:proofErr w:type="spellEnd"/>
      <w:r w:rsidRPr="00EC6A2E">
        <w:rPr>
          <w:rFonts w:ascii="Arial" w:eastAsia="Arial" w:hAnsi="Arial" w:cs="Arial"/>
          <w:szCs w:val="22"/>
          <w:lang w:val="es-PY"/>
        </w:rPr>
        <w:t xml:space="preserve"> es esencial para la calidad posterior del GTMP en investigación; por lo tanto, la caracterización y especificación adecuadas de dichos materiales, así como su cualificación para el propósito previsto, se consideran vitales. Para los ácidos nucleicos </w:t>
      </w:r>
      <w:proofErr w:type="spellStart"/>
      <w:r w:rsidRPr="00EC6A2E">
        <w:rPr>
          <w:rFonts w:ascii="Arial" w:eastAsia="Arial" w:hAnsi="Arial" w:cs="Arial"/>
          <w:szCs w:val="22"/>
          <w:lang w:val="es-PY"/>
        </w:rPr>
        <w:t>complejados</w:t>
      </w:r>
      <w:proofErr w:type="spellEnd"/>
      <w:r w:rsidRPr="00EC6A2E">
        <w:rPr>
          <w:rFonts w:ascii="Arial" w:eastAsia="Arial" w:hAnsi="Arial" w:cs="Arial"/>
          <w:szCs w:val="22"/>
          <w:lang w:val="es-PY"/>
        </w:rPr>
        <w:t>, debe abordarse la estructura del complejo y la interacción entre el/</w:t>
      </w:r>
      <w:proofErr w:type="gramStart"/>
      <w:r w:rsidRPr="00EC6A2E">
        <w:rPr>
          <w:rFonts w:ascii="Arial" w:eastAsia="Arial" w:hAnsi="Arial" w:cs="Arial"/>
          <w:szCs w:val="22"/>
          <w:lang w:val="es-PY"/>
        </w:rPr>
        <w:t>los vehículo</w:t>
      </w:r>
      <w:proofErr w:type="gramEnd"/>
      <w:r w:rsidRPr="00EC6A2E">
        <w:rPr>
          <w:rFonts w:ascii="Arial" w:eastAsia="Arial" w:hAnsi="Arial" w:cs="Arial"/>
          <w:szCs w:val="22"/>
          <w:lang w:val="es-PY"/>
        </w:rPr>
        <w:t xml:space="preserve">(s) y los ácidos nucleicos cargados negativamente. Deben incluirse pruebas adecuadas para establecer que el ácido nucleico </w:t>
      </w:r>
      <w:proofErr w:type="spellStart"/>
      <w:r w:rsidRPr="00EC6A2E">
        <w:rPr>
          <w:rFonts w:ascii="Arial" w:eastAsia="Arial" w:hAnsi="Arial" w:cs="Arial"/>
          <w:szCs w:val="22"/>
          <w:lang w:val="es-PY"/>
        </w:rPr>
        <w:t>complejado</w:t>
      </w:r>
      <w:proofErr w:type="spellEnd"/>
      <w:r w:rsidRPr="00EC6A2E">
        <w:rPr>
          <w:rFonts w:ascii="Arial" w:eastAsia="Arial" w:hAnsi="Arial" w:cs="Arial"/>
          <w:szCs w:val="22"/>
          <w:lang w:val="es-PY"/>
        </w:rPr>
        <w:t xml:space="preserve"> posee las características bioquímicas y biológicas deseadas requeridas para su uso previsto.</w:t>
      </w:r>
    </w:p>
    <w:p w:rsidR="009641F0" w:rsidRPr="00A676F6" w:rsidRDefault="009641F0" w:rsidP="009641F0">
      <w:pPr>
        <w:spacing w:after="120"/>
        <w:jc w:val="both"/>
        <w:rPr>
          <w:rFonts w:ascii="Arial" w:eastAsia="Arial" w:hAnsi="Arial" w:cs="Arial"/>
          <w:b/>
          <w:i/>
          <w:szCs w:val="22"/>
          <w:lang w:val="es-PY"/>
        </w:rPr>
      </w:pPr>
      <w:r w:rsidRPr="00A676F6">
        <w:rPr>
          <w:rFonts w:ascii="Arial" w:eastAsia="Arial" w:hAnsi="Arial" w:cs="Arial"/>
          <w:b/>
          <w:i/>
          <w:szCs w:val="22"/>
          <w:lang w:val="es-PY"/>
        </w:rPr>
        <w:t xml:space="preserve">P.4.1. Especificación </w:t>
      </w:r>
    </w:p>
    <w:p w:rsidR="009641F0" w:rsidRPr="008902F9" w:rsidRDefault="009641F0" w:rsidP="009641F0">
      <w:pPr>
        <w:spacing w:after="120"/>
        <w:jc w:val="both"/>
        <w:rPr>
          <w:rFonts w:ascii="Arial" w:eastAsia="Arial" w:hAnsi="Arial" w:cs="Arial"/>
          <w:szCs w:val="22"/>
          <w:lang w:val="es-PY"/>
        </w:rPr>
      </w:pPr>
      <w:r w:rsidRPr="008902F9">
        <w:rPr>
          <w:rFonts w:ascii="Arial" w:eastAsia="Arial" w:hAnsi="Arial" w:cs="Arial"/>
          <w:szCs w:val="22"/>
          <w:lang w:val="es-PY"/>
        </w:rPr>
        <w:t xml:space="preserve">Pueden aplicarse referencias a </w:t>
      </w:r>
      <w:r w:rsidR="00401AD6">
        <w:rPr>
          <w:rFonts w:ascii="Arial" w:eastAsia="Arial" w:hAnsi="Arial" w:cs="Arial"/>
          <w:szCs w:val="22"/>
          <w:lang w:val="es-PY"/>
        </w:rPr>
        <w:t>farmacopeas internacionalmente reconocidas</w:t>
      </w:r>
      <w:r w:rsidRPr="008902F9">
        <w:rPr>
          <w:rFonts w:ascii="Arial" w:eastAsia="Arial" w:hAnsi="Arial" w:cs="Arial"/>
          <w:szCs w:val="22"/>
          <w:lang w:val="es-PY"/>
        </w:rPr>
        <w:t>. Para los excipientes no cubiertos por ninguno de los estándares mencionados, debe proporcionarse una especificación interna.</w:t>
      </w:r>
    </w:p>
    <w:p w:rsidR="009641F0" w:rsidRDefault="009641F0" w:rsidP="009641F0">
      <w:pPr>
        <w:spacing w:after="120"/>
        <w:jc w:val="both"/>
        <w:rPr>
          <w:rFonts w:ascii="Arial" w:eastAsia="Arial" w:hAnsi="Arial" w:cs="Arial"/>
          <w:szCs w:val="22"/>
          <w:lang w:val="es-PY"/>
        </w:rPr>
      </w:pPr>
      <w:r w:rsidRPr="008902F9">
        <w:rPr>
          <w:rFonts w:ascii="Arial" w:eastAsia="Arial" w:hAnsi="Arial" w:cs="Arial"/>
          <w:szCs w:val="22"/>
          <w:lang w:val="es-PY"/>
        </w:rPr>
        <w:t>Los criterios de aceptación deben presentarse preferiblemente como límites cuantitativos, rangos u otros atributos o variables para las pruebas descritas. Los criterios de liberación pueden refinarse a medida que el desarrollo del producto avance hacia la Solicitud de Autorización de Comercialización.</w:t>
      </w:r>
    </w:p>
    <w:p w:rsidR="009641F0" w:rsidRPr="00A8059F" w:rsidRDefault="009641F0" w:rsidP="009641F0">
      <w:pPr>
        <w:spacing w:after="120"/>
        <w:jc w:val="both"/>
        <w:rPr>
          <w:rFonts w:ascii="Arial" w:eastAsia="Arial" w:hAnsi="Arial" w:cs="Arial"/>
          <w:b/>
          <w:i/>
          <w:szCs w:val="22"/>
          <w:lang w:val="es-PY"/>
        </w:rPr>
      </w:pPr>
      <w:r w:rsidRPr="00A8059F">
        <w:rPr>
          <w:rFonts w:ascii="Arial" w:eastAsia="Arial" w:hAnsi="Arial" w:cs="Arial"/>
          <w:b/>
          <w:i/>
          <w:szCs w:val="22"/>
          <w:lang w:val="es-PY"/>
        </w:rPr>
        <w:t>P.4.2. Procedimientos analíticos</w:t>
      </w:r>
    </w:p>
    <w:p w:rsidR="009641F0" w:rsidRPr="00A8059F" w:rsidRDefault="009641F0" w:rsidP="009641F0">
      <w:pPr>
        <w:spacing w:after="120"/>
        <w:jc w:val="both"/>
        <w:rPr>
          <w:rFonts w:ascii="Arial" w:eastAsia="Arial" w:hAnsi="Arial" w:cs="Arial"/>
          <w:szCs w:val="22"/>
          <w:lang w:val="es-PY"/>
        </w:rPr>
      </w:pPr>
      <w:r w:rsidRPr="00A8059F">
        <w:rPr>
          <w:rFonts w:ascii="Arial" w:eastAsia="Arial" w:hAnsi="Arial" w:cs="Arial"/>
          <w:szCs w:val="22"/>
          <w:lang w:val="es-PY"/>
        </w:rPr>
        <w:t xml:space="preserve">Cuando un excipiente no esté descrito en una monografía </w:t>
      </w:r>
      <w:proofErr w:type="spellStart"/>
      <w:r w:rsidRPr="00A8059F">
        <w:rPr>
          <w:rFonts w:ascii="Arial" w:eastAsia="Arial" w:hAnsi="Arial" w:cs="Arial"/>
          <w:szCs w:val="22"/>
          <w:lang w:val="es-PY"/>
        </w:rPr>
        <w:t>farmacopeica</w:t>
      </w:r>
      <w:proofErr w:type="spellEnd"/>
      <w:r w:rsidRPr="00A8059F">
        <w:rPr>
          <w:rFonts w:ascii="Arial" w:eastAsia="Arial" w:hAnsi="Arial" w:cs="Arial"/>
          <w:szCs w:val="22"/>
          <w:lang w:val="es-PY"/>
        </w:rPr>
        <w:t>, deberán describirse los métodos analíticos utilizados y su idoneidad.</w:t>
      </w:r>
    </w:p>
    <w:p w:rsidR="009641F0" w:rsidRPr="00A8059F" w:rsidRDefault="009641F0" w:rsidP="009641F0">
      <w:pPr>
        <w:spacing w:after="120"/>
        <w:jc w:val="both"/>
        <w:rPr>
          <w:rFonts w:ascii="Arial" w:eastAsia="Arial" w:hAnsi="Arial" w:cs="Arial"/>
          <w:b/>
          <w:i/>
          <w:szCs w:val="22"/>
          <w:lang w:val="es-PY"/>
        </w:rPr>
      </w:pPr>
      <w:r w:rsidRPr="00A8059F">
        <w:rPr>
          <w:rFonts w:ascii="Arial" w:eastAsia="Arial" w:hAnsi="Arial" w:cs="Arial"/>
          <w:b/>
          <w:i/>
          <w:szCs w:val="22"/>
          <w:lang w:val="es-PY"/>
        </w:rPr>
        <w:t>P.4.3. Validación de los procedimientos analíticos</w:t>
      </w:r>
    </w:p>
    <w:p w:rsidR="009641F0" w:rsidRPr="00A8059F" w:rsidRDefault="009641F0" w:rsidP="009641F0">
      <w:pPr>
        <w:spacing w:after="120"/>
        <w:jc w:val="both"/>
        <w:rPr>
          <w:rFonts w:ascii="Arial" w:eastAsia="Arial" w:hAnsi="Arial" w:cs="Arial"/>
          <w:szCs w:val="22"/>
          <w:lang w:val="es-PY"/>
        </w:rPr>
      </w:pPr>
      <w:r w:rsidRPr="00A8059F">
        <w:rPr>
          <w:rFonts w:ascii="Arial" w:eastAsia="Arial" w:hAnsi="Arial" w:cs="Arial"/>
          <w:szCs w:val="22"/>
          <w:lang w:val="es-PY"/>
        </w:rPr>
        <w:lastRenderedPageBreak/>
        <w:t>Se hace referencia a la sección S.4.3.</w:t>
      </w:r>
    </w:p>
    <w:p w:rsidR="009641F0" w:rsidRPr="00A8059F" w:rsidRDefault="009641F0" w:rsidP="009641F0">
      <w:pPr>
        <w:spacing w:after="120"/>
        <w:jc w:val="both"/>
        <w:rPr>
          <w:rFonts w:ascii="Arial" w:eastAsia="Arial" w:hAnsi="Arial" w:cs="Arial"/>
          <w:b/>
          <w:i/>
          <w:szCs w:val="22"/>
          <w:lang w:val="es-PY"/>
        </w:rPr>
      </w:pPr>
      <w:r w:rsidRPr="00A8059F">
        <w:rPr>
          <w:rFonts w:ascii="Arial" w:eastAsia="Arial" w:hAnsi="Arial" w:cs="Arial"/>
          <w:b/>
          <w:i/>
          <w:szCs w:val="22"/>
          <w:lang w:val="es-PY"/>
        </w:rPr>
        <w:t>P.4.4. Justificación de la especificación</w:t>
      </w:r>
    </w:p>
    <w:p w:rsidR="009641F0" w:rsidRPr="00A8059F" w:rsidRDefault="009641F0" w:rsidP="009641F0">
      <w:pPr>
        <w:spacing w:after="120"/>
        <w:jc w:val="both"/>
        <w:rPr>
          <w:rFonts w:ascii="Arial" w:eastAsia="Arial" w:hAnsi="Arial" w:cs="Arial"/>
          <w:szCs w:val="22"/>
          <w:lang w:val="es-PY"/>
        </w:rPr>
      </w:pPr>
      <w:r w:rsidRPr="00A8059F">
        <w:rPr>
          <w:rFonts w:ascii="Arial" w:eastAsia="Arial" w:hAnsi="Arial" w:cs="Arial"/>
          <w:szCs w:val="22"/>
          <w:lang w:val="es-PY"/>
        </w:rPr>
        <w:t xml:space="preserve">Para los excipientes no </w:t>
      </w:r>
      <w:proofErr w:type="spellStart"/>
      <w:r w:rsidR="005E4B0A">
        <w:rPr>
          <w:rFonts w:ascii="Arial" w:eastAsia="Arial" w:hAnsi="Arial" w:cs="Arial"/>
          <w:szCs w:val="22"/>
          <w:lang w:val="es-PY"/>
        </w:rPr>
        <w:t>farmacopeicos</w:t>
      </w:r>
      <w:proofErr w:type="spellEnd"/>
      <w:r w:rsidRPr="00A8059F">
        <w:rPr>
          <w:rFonts w:ascii="Arial" w:eastAsia="Arial" w:hAnsi="Arial" w:cs="Arial"/>
          <w:szCs w:val="22"/>
          <w:lang w:val="es-PY"/>
        </w:rPr>
        <w:t>, tal como se indica en la sección P.4.1, deberán proporcionarse las especificaciones internas y justificarse adecuadamente.</w:t>
      </w:r>
    </w:p>
    <w:p w:rsidR="009641F0" w:rsidRPr="00A8059F" w:rsidRDefault="009641F0" w:rsidP="009641F0">
      <w:pPr>
        <w:spacing w:after="120"/>
        <w:jc w:val="both"/>
        <w:rPr>
          <w:rFonts w:ascii="Arial" w:eastAsia="Arial" w:hAnsi="Arial" w:cs="Arial"/>
          <w:b/>
          <w:i/>
          <w:szCs w:val="22"/>
          <w:lang w:val="es-PY"/>
        </w:rPr>
      </w:pPr>
      <w:r w:rsidRPr="00A8059F">
        <w:rPr>
          <w:rFonts w:ascii="Arial" w:eastAsia="Arial" w:hAnsi="Arial" w:cs="Arial"/>
          <w:b/>
          <w:i/>
          <w:szCs w:val="22"/>
          <w:lang w:val="es-PY"/>
        </w:rPr>
        <w:t>P.4.5. Excipientes de origen humano o animal</w:t>
      </w:r>
    </w:p>
    <w:p w:rsidR="009641F0" w:rsidRPr="00A8059F" w:rsidRDefault="009641F0" w:rsidP="009641F0">
      <w:pPr>
        <w:spacing w:after="120"/>
        <w:jc w:val="both"/>
        <w:rPr>
          <w:rFonts w:ascii="Arial" w:eastAsia="Arial" w:hAnsi="Arial" w:cs="Arial"/>
          <w:szCs w:val="22"/>
          <w:lang w:val="es-PY"/>
        </w:rPr>
      </w:pPr>
      <w:r w:rsidRPr="00A8059F">
        <w:rPr>
          <w:rFonts w:ascii="Arial" w:eastAsia="Arial" w:hAnsi="Arial" w:cs="Arial"/>
          <w:szCs w:val="22"/>
          <w:lang w:val="es-PY"/>
        </w:rPr>
        <w:t xml:space="preserve">En el caso de excipientes de origen humano o animal, deberá aportarse información relativa a la evaluación de seguridad frente a agentes adventicios (por ejemplo, fuentes, especificaciones, descripción de los ensayos realizados) y datos de seguridad viral. Asimismo, deberá documentarse </w:t>
      </w:r>
      <w:r w:rsidR="00401AD6">
        <w:rPr>
          <w:rFonts w:ascii="Arial" w:eastAsia="Arial" w:hAnsi="Arial" w:cs="Arial"/>
          <w:szCs w:val="22"/>
          <w:lang w:val="es-PY"/>
        </w:rPr>
        <w:t>la ausencia</w:t>
      </w:r>
      <w:r w:rsidRPr="00A8059F">
        <w:rPr>
          <w:rFonts w:ascii="Arial" w:eastAsia="Arial" w:hAnsi="Arial" w:cs="Arial"/>
          <w:szCs w:val="22"/>
          <w:lang w:val="es-PY"/>
        </w:rPr>
        <w:t xml:space="preserve"> </w:t>
      </w:r>
      <w:r w:rsidR="00401AD6">
        <w:rPr>
          <w:rFonts w:ascii="Arial" w:eastAsia="Arial" w:hAnsi="Arial" w:cs="Arial"/>
          <w:szCs w:val="22"/>
          <w:lang w:val="es-PY"/>
        </w:rPr>
        <w:t xml:space="preserve">de agentes causantes de </w:t>
      </w:r>
      <w:r w:rsidRPr="00A8059F">
        <w:rPr>
          <w:rFonts w:ascii="Arial" w:eastAsia="Arial" w:hAnsi="Arial" w:cs="Arial"/>
          <w:szCs w:val="22"/>
          <w:lang w:val="es-PY"/>
        </w:rPr>
        <w:t>encefalopatías espongiformes transmisibles (TSE).</w:t>
      </w:r>
    </w:p>
    <w:p w:rsidR="009641F0" w:rsidRDefault="009641F0" w:rsidP="009641F0">
      <w:pPr>
        <w:spacing w:after="120"/>
        <w:jc w:val="both"/>
        <w:rPr>
          <w:rFonts w:ascii="Arial" w:eastAsia="Arial" w:hAnsi="Arial" w:cs="Arial"/>
          <w:szCs w:val="22"/>
          <w:lang w:val="es-PY"/>
        </w:rPr>
      </w:pPr>
      <w:r w:rsidRPr="00A8059F">
        <w:rPr>
          <w:rFonts w:ascii="Arial" w:eastAsia="Arial" w:hAnsi="Arial" w:cs="Arial"/>
          <w:szCs w:val="22"/>
          <w:lang w:val="es-PY"/>
        </w:rPr>
        <w:t xml:space="preserve">Si se utiliza albúmina humana u otro medicamento derivado del plasma humano como excipiente, </w:t>
      </w:r>
      <w:r w:rsidR="00401AD6">
        <w:rPr>
          <w:rFonts w:ascii="Arial" w:eastAsia="Arial" w:hAnsi="Arial" w:cs="Arial"/>
          <w:szCs w:val="22"/>
          <w:lang w:val="es-PY"/>
        </w:rPr>
        <w:t xml:space="preserve">debe presentarse </w:t>
      </w:r>
      <w:r w:rsidRPr="00A8059F">
        <w:rPr>
          <w:rFonts w:ascii="Arial" w:eastAsia="Arial" w:hAnsi="Arial" w:cs="Arial"/>
          <w:szCs w:val="22"/>
          <w:lang w:val="es-PY"/>
        </w:rPr>
        <w:t xml:space="preserve">información relativa a la evaluación de seguridad frente a agentes </w:t>
      </w:r>
      <w:r w:rsidR="00401AD6" w:rsidRPr="00A8059F">
        <w:rPr>
          <w:rFonts w:ascii="Arial" w:eastAsia="Arial" w:hAnsi="Arial" w:cs="Arial"/>
          <w:szCs w:val="22"/>
          <w:lang w:val="es-PY"/>
        </w:rPr>
        <w:t>extraños</w:t>
      </w:r>
      <w:r w:rsidRPr="00A8059F">
        <w:rPr>
          <w:rFonts w:ascii="Arial" w:eastAsia="Arial" w:hAnsi="Arial" w:cs="Arial"/>
          <w:szCs w:val="22"/>
          <w:lang w:val="es-PY"/>
        </w:rPr>
        <w:t>. En caso de que el componente derivado del plasma ya se haya empleado en un producto con autorización de comercialización, podrá hacerse referencia a dicha autorización.</w:t>
      </w:r>
    </w:p>
    <w:p w:rsidR="009641F0" w:rsidRPr="00FD131F" w:rsidRDefault="009641F0" w:rsidP="009641F0">
      <w:pPr>
        <w:spacing w:after="120"/>
        <w:jc w:val="both"/>
        <w:rPr>
          <w:rFonts w:ascii="Arial" w:eastAsia="Arial" w:hAnsi="Arial" w:cs="Arial"/>
          <w:b/>
          <w:i/>
          <w:szCs w:val="22"/>
          <w:lang w:val="es-PY"/>
        </w:rPr>
      </w:pPr>
      <w:r w:rsidRPr="00FD131F">
        <w:rPr>
          <w:rFonts w:ascii="Arial" w:eastAsia="Arial" w:hAnsi="Arial" w:cs="Arial"/>
          <w:b/>
          <w:i/>
          <w:szCs w:val="22"/>
          <w:lang w:val="es-PY"/>
        </w:rPr>
        <w:t>P.4.6. Excipientes novedosos</w:t>
      </w:r>
    </w:p>
    <w:p w:rsidR="009641F0" w:rsidRDefault="009641F0" w:rsidP="009641F0">
      <w:pPr>
        <w:spacing w:after="120"/>
        <w:jc w:val="both"/>
        <w:rPr>
          <w:rFonts w:ascii="Arial" w:eastAsia="Arial" w:hAnsi="Arial" w:cs="Arial"/>
          <w:szCs w:val="22"/>
          <w:lang w:val="es-PY"/>
        </w:rPr>
      </w:pPr>
      <w:r w:rsidRPr="00FD131F">
        <w:rPr>
          <w:rFonts w:ascii="Arial" w:eastAsia="Arial" w:hAnsi="Arial" w:cs="Arial"/>
          <w:szCs w:val="22"/>
          <w:lang w:val="es-PY"/>
        </w:rPr>
        <w:t>Para los excipientes que se utilicen por primera vez en un medicamento o mediante una nueva vía de administración, deberán proporcionarse todos los detalles relativos a su fabricación, caracterización y controles, con referencias cruzadas a los datos de seguridad de apoyo (no clínicos y/o clínicos), de acuerdo con el formato aplicable a la sustancia activa.</w:t>
      </w:r>
    </w:p>
    <w:p w:rsidR="009641F0" w:rsidRPr="002258B2" w:rsidRDefault="009641F0" w:rsidP="009641F0">
      <w:pPr>
        <w:spacing w:after="120"/>
        <w:jc w:val="both"/>
        <w:rPr>
          <w:rFonts w:ascii="Arial" w:eastAsia="Arial" w:hAnsi="Arial" w:cs="Arial"/>
          <w:b/>
          <w:i/>
          <w:szCs w:val="22"/>
          <w:lang w:val="es-PY"/>
        </w:rPr>
      </w:pPr>
      <w:r w:rsidRPr="002258B2">
        <w:rPr>
          <w:rFonts w:ascii="Arial" w:eastAsia="Arial" w:hAnsi="Arial" w:cs="Arial"/>
          <w:b/>
          <w:i/>
          <w:szCs w:val="22"/>
          <w:lang w:val="es-PY"/>
        </w:rPr>
        <w:t>P.5. Control del medicamento en investigación</w:t>
      </w:r>
    </w:p>
    <w:p w:rsidR="009641F0" w:rsidRPr="002258B2" w:rsidRDefault="009641F0" w:rsidP="009641F0">
      <w:pPr>
        <w:spacing w:after="120"/>
        <w:jc w:val="both"/>
        <w:rPr>
          <w:rFonts w:ascii="Arial" w:eastAsia="Arial" w:hAnsi="Arial" w:cs="Arial"/>
          <w:b/>
          <w:i/>
          <w:szCs w:val="22"/>
          <w:lang w:val="es-PY"/>
        </w:rPr>
      </w:pPr>
      <w:r w:rsidRPr="002258B2">
        <w:rPr>
          <w:rFonts w:ascii="Arial" w:eastAsia="Arial" w:hAnsi="Arial" w:cs="Arial"/>
          <w:b/>
          <w:i/>
          <w:szCs w:val="22"/>
          <w:lang w:val="es-PY"/>
        </w:rPr>
        <w:t>P.5.1. Especificación</w:t>
      </w:r>
    </w:p>
    <w:p w:rsidR="009641F0" w:rsidRPr="002258B2" w:rsidRDefault="009641F0" w:rsidP="009641F0">
      <w:pPr>
        <w:spacing w:after="120"/>
        <w:jc w:val="both"/>
        <w:rPr>
          <w:rFonts w:ascii="Arial" w:eastAsia="Arial" w:hAnsi="Arial" w:cs="Arial"/>
          <w:szCs w:val="22"/>
          <w:lang w:val="es-PY"/>
        </w:rPr>
      </w:pPr>
      <w:r w:rsidRPr="002258B2">
        <w:rPr>
          <w:rFonts w:ascii="Arial" w:eastAsia="Arial" w:hAnsi="Arial" w:cs="Arial"/>
          <w:szCs w:val="22"/>
          <w:lang w:val="es-PY"/>
        </w:rPr>
        <w:t>Las pruebas de control de calidad deben realizarse a nivel de producto terminado; sin embargo, cuando se aporte una justificación adecuada, las pruebas de liberación podrán llevarse a cabo a nivel de la sustancia activa o mediante controles en proceso en una etapa intermedia, pero lo más cercana posible al nivel de producto terminado. Las pruebas sobre atributos específicos del producto formulado en su envase final, así como los atributos de calidad que puedan haberse visto afectados por las etapas de formulación, deberán incluirse en las pruebas de liberación.</w:t>
      </w:r>
    </w:p>
    <w:p w:rsidR="009641F0" w:rsidRPr="002258B2" w:rsidRDefault="009641F0" w:rsidP="009641F0">
      <w:pPr>
        <w:spacing w:after="120"/>
        <w:jc w:val="both"/>
        <w:rPr>
          <w:rFonts w:ascii="Arial" w:eastAsia="Arial" w:hAnsi="Arial" w:cs="Arial"/>
          <w:szCs w:val="22"/>
          <w:lang w:val="es-PY"/>
        </w:rPr>
      </w:pPr>
      <w:r w:rsidRPr="002258B2">
        <w:rPr>
          <w:rFonts w:ascii="Arial" w:eastAsia="Arial" w:hAnsi="Arial" w:cs="Arial"/>
          <w:szCs w:val="22"/>
          <w:lang w:val="es-PY"/>
        </w:rPr>
        <w:t xml:space="preserve">Los mismos principios descritos para establecer la especificación de la sustancia activa deben aplicarse al medicamento. En la especificación deberán definirse las </w:t>
      </w:r>
      <w:r w:rsidRPr="002258B2">
        <w:rPr>
          <w:rFonts w:ascii="Arial" w:eastAsia="Arial" w:hAnsi="Arial" w:cs="Arial"/>
          <w:szCs w:val="22"/>
          <w:lang w:val="es-PY"/>
        </w:rPr>
        <w:lastRenderedPageBreak/>
        <w:t>pruebas utilizadas, así como sus criterios de aceptación, para los lotes del producto que se emplearán en el ensayo clínico, con el fin de garantizar un control suficiente de la calidad del producto.</w:t>
      </w:r>
    </w:p>
    <w:p w:rsidR="009641F0" w:rsidRPr="002258B2" w:rsidRDefault="009641F0" w:rsidP="009641F0">
      <w:pPr>
        <w:spacing w:after="120"/>
        <w:jc w:val="both"/>
        <w:rPr>
          <w:rFonts w:ascii="Arial" w:eastAsia="Arial" w:hAnsi="Arial" w:cs="Arial"/>
          <w:szCs w:val="22"/>
          <w:lang w:val="es-PY"/>
        </w:rPr>
      </w:pPr>
      <w:r w:rsidRPr="002258B2">
        <w:rPr>
          <w:rFonts w:ascii="Arial" w:eastAsia="Arial" w:hAnsi="Arial" w:cs="Arial"/>
          <w:szCs w:val="22"/>
          <w:lang w:val="es-PY"/>
        </w:rPr>
        <w:t>Las pruebas de contenido, identidad y pureza son obligatorias. Las pruebas de esterilidad y endotoxinas son obligatorias para productos estériles. La prueba de micoplasma es requerida para los medicamentos en investigación basados en células (</w:t>
      </w:r>
      <w:proofErr w:type="spellStart"/>
      <w:r w:rsidRPr="002258B2">
        <w:rPr>
          <w:rFonts w:ascii="Arial" w:eastAsia="Arial" w:hAnsi="Arial" w:cs="Arial"/>
          <w:szCs w:val="22"/>
          <w:lang w:val="es-PY"/>
        </w:rPr>
        <w:t>ATMPs</w:t>
      </w:r>
      <w:proofErr w:type="spellEnd"/>
      <w:r w:rsidRPr="002258B2">
        <w:rPr>
          <w:rFonts w:ascii="Arial" w:eastAsia="Arial" w:hAnsi="Arial" w:cs="Arial"/>
          <w:szCs w:val="22"/>
          <w:lang w:val="es-PY"/>
        </w:rPr>
        <w:t>). Debe incluirse una prueba de potencia, salvo que se justifique lo contrario. Para partículas no virales deberá determinarse la eficiencia específica de transfección.</w:t>
      </w:r>
    </w:p>
    <w:p w:rsidR="009641F0" w:rsidRPr="002258B2" w:rsidRDefault="009641F0" w:rsidP="009641F0">
      <w:pPr>
        <w:spacing w:after="120"/>
        <w:jc w:val="both"/>
        <w:rPr>
          <w:rFonts w:ascii="Arial" w:eastAsia="Arial" w:hAnsi="Arial" w:cs="Arial"/>
          <w:szCs w:val="22"/>
          <w:lang w:val="es-PY"/>
        </w:rPr>
      </w:pPr>
      <w:r w:rsidRPr="002258B2">
        <w:rPr>
          <w:rFonts w:ascii="Arial" w:eastAsia="Arial" w:hAnsi="Arial" w:cs="Arial"/>
          <w:szCs w:val="22"/>
          <w:lang w:val="es-PY"/>
        </w:rPr>
        <w:t>Los criterios de aceptación para los atributos de calidad del medicamento deben tener en cuenta las consideraciones de seguridad y la etapa de desarrollo. Dado que los criterios de aceptación se basan normalmente en un número limitado de lotes de desarrollo y lotes utilizados en estudios no clínicos y clínicos, su naturaleza es intrínsecamente preliminar. Podrán requerir revisión y ajuste durante el desarrollo posterior.</w:t>
      </w:r>
    </w:p>
    <w:p w:rsidR="009641F0" w:rsidRPr="002258B2" w:rsidRDefault="009641F0" w:rsidP="009641F0">
      <w:pPr>
        <w:spacing w:after="120"/>
        <w:jc w:val="both"/>
        <w:rPr>
          <w:rFonts w:ascii="Arial" w:eastAsia="Arial" w:hAnsi="Arial" w:cs="Arial"/>
          <w:szCs w:val="22"/>
          <w:lang w:val="es-PY"/>
        </w:rPr>
      </w:pPr>
      <w:r w:rsidRPr="002258B2">
        <w:rPr>
          <w:rFonts w:ascii="Arial" w:eastAsia="Arial" w:hAnsi="Arial" w:cs="Arial"/>
          <w:szCs w:val="22"/>
          <w:lang w:val="es-PY"/>
        </w:rPr>
        <w:t>Los métodos analíticos y los límites para el contenido y la actividad biológica deben orientarse a garantizar una dosificación correcta.</w:t>
      </w:r>
    </w:p>
    <w:p w:rsidR="009641F0" w:rsidRPr="002258B2" w:rsidRDefault="009641F0" w:rsidP="009641F0">
      <w:pPr>
        <w:spacing w:after="120"/>
        <w:jc w:val="both"/>
        <w:rPr>
          <w:rFonts w:ascii="Arial" w:eastAsia="Arial" w:hAnsi="Arial" w:cs="Arial"/>
          <w:szCs w:val="22"/>
          <w:lang w:val="es-PY"/>
        </w:rPr>
      </w:pPr>
      <w:r w:rsidRPr="002258B2">
        <w:rPr>
          <w:rFonts w:ascii="Arial" w:eastAsia="Arial" w:hAnsi="Arial" w:cs="Arial"/>
          <w:szCs w:val="22"/>
          <w:lang w:val="es-PY"/>
        </w:rPr>
        <w:t>Para las impurezas no contempladas en la especificación de la sustancia activa, o aquellas que puedan aumentar durante el almacenamiento, deberán establecerse límites superiores, salvo que se justifique lo contrario, teniendo en cuenta las consideraciones de seguridad.</w:t>
      </w:r>
    </w:p>
    <w:p w:rsidR="009641F0" w:rsidRPr="002258B2" w:rsidRDefault="009641F0" w:rsidP="009641F0">
      <w:pPr>
        <w:spacing w:after="120"/>
        <w:jc w:val="both"/>
        <w:rPr>
          <w:rFonts w:ascii="Arial" w:eastAsia="Arial" w:hAnsi="Arial" w:cs="Arial"/>
          <w:szCs w:val="22"/>
          <w:lang w:val="es-PY"/>
        </w:rPr>
      </w:pPr>
      <w:r w:rsidRPr="002258B2">
        <w:rPr>
          <w:rFonts w:ascii="Arial" w:eastAsia="Arial" w:hAnsi="Arial" w:cs="Arial"/>
          <w:szCs w:val="22"/>
          <w:lang w:val="es-PY"/>
        </w:rPr>
        <w:t>A medida que aumente el conocimiento y la experiencia, podrá ser necesario añadir o eliminar pruebas de atributos de calidad específicos y modificar los métodos analíticos. Las especificaciones y criterios de aceptación establecidos para ensayos anteriores deberán revisarse en los ensayos clínicos confirmatorios y, cuando corresponda, ajustarse al conocimiento actual y a la etapa de desarrollo. Los datos de análisis de lotes utilizados en ensayos confirmatorios serán cruciales para definir la especificación de liberación del producto terminado comercial.</w:t>
      </w:r>
    </w:p>
    <w:p w:rsidR="009641F0" w:rsidRPr="002258B2" w:rsidRDefault="009641F0" w:rsidP="009641F0">
      <w:pPr>
        <w:spacing w:after="120"/>
        <w:jc w:val="both"/>
        <w:rPr>
          <w:rFonts w:ascii="Arial" w:eastAsia="Arial" w:hAnsi="Arial" w:cs="Arial"/>
          <w:szCs w:val="22"/>
          <w:lang w:val="es-PY"/>
        </w:rPr>
      </w:pPr>
      <w:r w:rsidRPr="002258B2">
        <w:rPr>
          <w:rFonts w:ascii="Arial" w:eastAsia="Arial" w:hAnsi="Arial" w:cs="Arial"/>
          <w:szCs w:val="22"/>
          <w:lang w:val="es-PY"/>
        </w:rPr>
        <w:t>En determinadas circunstancias, concretamente con productos celulares autólogos, la cantidad limitada de producto terminado podría no permitir pruebas extensivas de liberación. En tales casos, podría ser posible basarse en criterios de liberación de producto intermedio, siempre que se haya demostrado que son representativos del producto terminado sobre la base de una evaluación/validación suficiente del proceso y de datos de caracterización del proceso y del producto recopilados durante el desarrollo.</w:t>
      </w:r>
    </w:p>
    <w:p w:rsidR="009641F0" w:rsidRDefault="009641F0" w:rsidP="009641F0">
      <w:pPr>
        <w:spacing w:after="120"/>
        <w:jc w:val="both"/>
        <w:rPr>
          <w:rFonts w:ascii="Arial" w:eastAsia="Arial" w:hAnsi="Arial" w:cs="Arial"/>
          <w:szCs w:val="22"/>
          <w:lang w:val="es-PY"/>
        </w:rPr>
      </w:pPr>
      <w:r w:rsidRPr="002258B2">
        <w:rPr>
          <w:rFonts w:ascii="Arial" w:eastAsia="Arial" w:hAnsi="Arial" w:cs="Arial"/>
          <w:szCs w:val="22"/>
          <w:lang w:val="es-PY"/>
        </w:rPr>
        <w:lastRenderedPageBreak/>
        <w:t>En casos específicos, la liberación de lotes de producto terminado puede ser necesaria antes de que estén disponibles todos los resultados de las pruebas de especificación, debido a la naturaleza del producto. Cuando la prueba completa de liberación no pueda finalizarse antes de la administración del producto al receptor, esto deberá justificarse y sustentarse mediante un análisis de riesgos. Las medidas de mitigación de riesgos deberán especificarse en documentos complementarios. En la sección de calidad deberá incluirse una referencia cruzada a dichos documentos. No obstante, deberá definirse y justificarse un conjunto crítico de pruebas esenciales que puedan realizarse en el tiempo limitado previo al uso clínico. El procedimiento seguido cuando se obtengan resultados fuera de especificación después de la liberación del producto deberá describirse. Cuando sea factible, se recomienda encarecidamente almacenar muestras de retención para análisis futuros.</w:t>
      </w:r>
    </w:p>
    <w:p w:rsidR="009641F0" w:rsidRPr="007B4B47" w:rsidRDefault="009641F0" w:rsidP="009641F0">
      <w:pPr>
        <w:spacing w:after="120"/>
        <w:jc w:val="both"/>
        <w:rPr>
          <w:rFonts w:ascii="Arial" w:eastAsia="Arial" w:hAnsi="Arial" w:cs="Arial"/>
          <w:b/>
          <w:i/>
          <w:szCs w:val="22"/>
          <w:lang w:val="es-PY"/>
        </w:rPr>
      </w:pPr>
      <w:r w:rsidRPr="007B4B47">
        <w:rPr>
          <w:rFonts w:ascii="Arial" w:eastAsia="Arial" w:hAnsi="Arial" w:cs="Arial"/>
          <w:b/>
          <w:i/>
          <w:szCs w:val="22"/>
          <w:lang w:val="es-PY"/>
        </w:rPr>
        <w:t>P.5.2. Procedimientos analíticos</w:t>
      </w:r>
    </w:p>
    <w:p w:rsidR="009641F0" w:rsidRPr="007B4B47" w:rsidRDefault="009641F0" w:rsidP="009641F0">
      <w:pPr>
        <w:spacing w:after="120"/>
        <w:jc w:val="both"/>
        <w:rPr>
          <w:rFonts w:ascii="Arial" w:eastAsia="Arial" w:hAnsi="Arial" w:cs="Arial"/>
          <w:szCs w:val="22"/>
          <w:lang w:val="es-PY"/>
        </w:rPr>
      </w:pPr>
      <w:r w:rsidRPr="007B4B47">
        <w:rPr>
          <w:rFonts w:ascii="Arial" w:eastAsia="Arial" w:hAnsi="Arial" w:cs="Arial"/>
          <w:szCs w:val="22"/>
          <w:lang w:val="es-PY"/>
        </w:rPr>
        <w:t xml:space="preserve">Los métodos analíticos no </w:t>
      </w:r>
      <w:r>
        <w:rPr>
          <w:rFonts w:ascii="Arial" w:eastAsia="Arial" w:hAnsi="Arial" w:cs="Arial"/>
          <w:szCs w:val="22"/>
          <w:lang w:val="es-PY"/>
        </w:rPr>
        <w:t>compendiados</w:t>
      </w:r>
      <w:r w:rsidRPr="007B4B47">
        <w:rPr>
          <w:rFonts w:ascii="Arial" w:eastAsia="Arial" w:hAnsi="Arial" w:cs="Arial"/>
          <w:szCs w:val="22"/>
          <w:lang w:val="es-PY"/>
        </w:rPr>
        <w:t xml:space="preserve"> deberán describirse para todas las pruebas incluidas en la especificación. Para los métodos </w:t>
      </w:r>
      <w:r>
        <w:rPr>
          <w:rFonts w:ascii="Arial" w:eastAsia="Arial" w:hAnsi="Arial" w:cs="Arial"/>
          <w:szCs w:val="22"/>
          <w:lang w:val="es-PY"/>
        </w:rPr>
        <w:t>compendiados</w:t>
      </w:r>
      <w:r w:rsidRPr="007B4B47">
        <w:rPr>
          <w:rFonts w:ascii="Arial" w:eastAsia="Arial" w:hAnsi="Arial" w:cs="Arial"/>
          <w:szCs w:val="22"/>
          <w:lang w:val="es-PY"/>
        </w:rPr>
        <w:t xml:space="preserve"> deberán proporcionarse las referencias correspondientes. Para requisitos adicionales, véase la sección S.4.2.</w:t>
      </w:r>
    </w:p>
    <w:p w:rsidR="009641F0" w:rsidRPr="007B4B47" w:rsidRDefault="009641F0" w:rsidP="009641F0">
      <w:pPr>
        <w:spacing w:after="120"/>
        <w:jc w:val="both"/>
        <w:rPr>
          <w:rFonts w:ascii="Arial" w:eastAsia="Arial" w:hAnsi="Arial" w:cs="Arial"/>
          <w:b/>
          <w:i/>
          <w:szCs w:val="22"/>
          <w:lang w:val="es-PY"/>
        </w:rPr>
      </w:pPr>
      <w:r w:rsidRPr="007B4B47">
        <w:rPr>
          <w:rFonts w:ascii="Arial" w:eastAsia="Arial" w:hAnsi="Arial" w:cs="Arial"/>
          <w:b/>
          <w:i/>
          <w:szCs w:val="22"/>
          <w:lang w:val="es-PY"/>
        </w:rPr>
        <w:t>P.5.3. Validación de los procedimientos analíticos</w:t>
      </w:r>
    </w:p>
    <w:p w:rsidR="009641F0" w:rsidRPr="007B4B47" w:rsidRDefault="009641F0" w:rsidP="009641F0">
      <w:pPr>
        <w:spacing w:after="120"/>
        <w:jc w:val="both"/>
        <w:rPr>
          <w:rFonts w:ascii="Arial" w:eastAsia="Arial" w:hAnsi="Arial" w:cs="Arial"/>
          <w:szCs w:val="22"/>
          <w:lang w:val="es-PY"/>
        </w:rPr>
      </w:pPr>
      <w:r w:rsidRPr="007B4B47">
        <w:rPr>
          <w:rFonts w:ascii="Arial" w:eastAsia="Arial" w:hAnsi="Arial" w:cs="Arial"/>
          <w:szCs w:val="22"/>
          <w:lang w:val="es-PY"/>
        </w:rPr>
        <w:t>Para los requisitos, véase la sección S.4.3.</w:t>
      </w:r>
    </w:p>
    <w:p w:rsidR="009641F0" w:rsidRPr="007B4B47" w:rsidRDefault="009641F0" w:rsidP="009641F0">
      <w:pPr>
        <w:spacing w:after="120"/>
        <w:jc w:val="both"/>
        <w:rPr>
          <w:rFonts w:ascii="Arial" w:eastAsia="Arial" w:hAnsi="Arial" w:cs="Arial"/>
          <w:b/>
          <w:i/>
          <w:szCs w:val="22"/>
          <w:lang w:val="es-PY"/>
        </w:rPr>
      </w:pPr>
      <w:r w:rsidRPr="007B4B47">
        <w:rPr>
          <w:rFonts w:ascii="Arial" w:eastAsia="Arial" w:hAnsi="Arial" w:cs="Arial"/>
          <w:b/>
          <w:i/>
          <w:szCs w:val="22"/>
          <w:lang w:val="es-PY"/>
        </w:rPr>
        <w:t>P.5.4. Análisis de lotes</w:t>
      </w:r>
    </w:p>
    <w:p w:rsidR="009641F0" w:rsidRPr="007B4B47" w:rsidRDefault="009641F0" w:rsidP="009641F0">
      <w:pPr>
        <w:spacing w:after="120"/>
        <w:jc w:val="both"/>
        <w:rPr>
          <w:rFonts w:ascii="Arial" w:eastAsia="Arial" w:hAnsi="Arial" w:cs="Arial"/>
          <w:szCs w:val="22"/>
          <w:lang w:val="es-PY"/>
        </w:rPr>
      </w:pPr>
      <w:r w:rsidRPr="007B4B47">
        <w:rPr>
          <w:rFonts w:ascii="Arial" w:eastAsia="Arial" w:hAnsi="Arial" w:cs="Arial"/>
          <w:szCs w:val="22"/>
          <w:lang w:val="es-PY"/>
        </w:rPr>
        <w:t>Dado que las especificaciones pueden ser inicialmente muy amplias, los datos reales de los lotes son importantes para la evaluación de la calidad. Para los parámetros cuantitativos deberán presentarse valores numéricos reales. Véase también la sección S.4.4.</w:t>
      </w:r>
    </w:p>
    <w:p w:rsidR="009641F0" w:rsidRPr="007B4B47" w:rsidRDefault="009641F0" w:rsidP="009641F0">
      <w:pPr>
        <w:spacing w:after="120"/>
        <w:jc w:val="both"/>
        <w:rPr>
          <w:rFonts w:ascii="Arial" w:eastAsia="Arial" w:hAnsi="Arial" w:cs="Arial"/>
          <w:szCs w:val="22"/>
          <w:lang w:val="es-PY"/>
        </w:rPr>
      </w:pPr>
      <w:r w:rsidRPr="007B4B47">
        <w:rPr>
          <w:rFonts w:ascii="Arial" w:eastAsia="Arial" w:hAnsi="Arial" w:cs="Arial"/>
          <w:szCs w:val="22"/>
          <w:lang w:val="es-PY"/>
        </w:rPr>
        <w:t xml:space="preserve">El objetivo de esta sección es demostrar la calidad de los lotes (conformidad con la especificación preliminar establecida) que se utilizarán en el ensayo clínico. En los ensayos clínicos de fases tempranas, en los que solo se haya fabricado un número limitado de lotes, deberán proporcionarse los resultados de las pruebas de los lotes clínicos y no clínicos relevantes, incluyendo aquellos que se utilizarán en el ensayo clínico respaldado por el </w:t>
      </w:r>
      <w:r w:rsidR="00170A27">
        <w:rPr>
          <w:rFonts w:ascii="Arial" w:eastAsia="Arial" w:hAnsi="Arial" w:cs="Arial"/>
          <w:szCs w:val="22"/>
          <w:lang w:val="es-PY"/>
        </w:rPr>
        <w:t>expediente del producto en investigación</w:t>
      </w:r>
      <w:r w:rsidRPr="007B4B47">
        <w:rPr>
          <w:rFonts w:ascii="Arial" w:eastAsia="Arial" w:hAnsi="Arial" w:cs="Arial"/>
          <w:szCs w:val="22"/>
          <w:lang w:val="es-PY"/>
        </w:rPr>
        <w:t>. Para productos con un historial de producción más prolongado, podría aceptarse la presentación de resultados de un número representativo de lotes, siempre que se justifique adecuadamente.</w:t>
      </w:r>
    </w:p>
    <w:p w:rsidR="009641F0" w:rsidRPr="007B4B47" w:rsidRDefault="009641F0" w:rsidP="009641F0">
      <w:pPr>
        <w:spacing w:after="120"/>
        <w:jc w:val="both"/>
        <w:rPr>
          <w:rFonts w:ascii="Arial" w:eastAsia="Arial" w:hAnsi="Arial" w:cs="Arial"/>
          <w:szCs w:val="22"/>
          <w:lang w:val="es-PY"/>
        </w:rPr>
      </w:pPr>
      <w:r w:rsidRPr="007B4B47">
        <w:rPr>
          <w:rFonts w:ascii="Arial" w:eastAsia="Arial" w:hAnsi="Arial" w:cs="Arial"/>
          <w:szCs w:val="22"/>
          <w:lang w:val="es-PY"/>
        </w:rPr>
        <w:t xml:space="preserve">El número de lote, el tamaño de lote, el lugar de fabricación, la fecha de fabricación, los métodos de control, los criterios de aceptación y los resultados de </w:t>
      </w:r>
      <w:r w:rsidRPr="007B4B47">
        <w:rPr>
          <w:rFonts w:ascii="Arial" w:eastAsia="Arial" w:hAnsi="Arial" w:cs="Arial"/>
          <w:szCs w:val="22"/>
          <w:lang w:val="es-PY"/>
        </w:rPr>
        <w:lastRenderedPageBreak/>
        <w:t>las pruebas deberán listarse junto con el uso previsto de los lotes. El proceso de fabricación utilizado para cada lote deberá identificarse.</w:t>
      </w:r>
    </w:p>
    <w:p w:rsidR="009641F0" w:rsidRDefault="009641F0" w:rsidP="009641F0">
      <w:pPr>
        <w:spacing w:after="120"/>
        <w:jc w:val="both"/>
        <w:rPr>
          <w:rFonts w:ascii="Arial" w:eastAsia="Arial" w:hAnsi="Arial" w:cs="Arial"/>
          <w:szCs w:val="22"/>
          <w:lang w:val="es-PY"/>
        </w:rPr>
      </w:pPr>
      <w:r w:rsidRPr="007B4B47">
        <w:rPr>
          <w:rFonts w:ascii="Arial" w:eastAsia="Arial" w:hAnsi="Arial" w:cs="Arial"/>
          <w:szCs w:val="22"/>
          <w:lang w:val="es-PY"/>
        </w:rPr>
        <w:t xml:space="preserve">Deberá incluirse una declaración que indique si los datos de análisis de lotes presentados corresponden a los lotes que se utilizarán en el ensayo clínico, o si podrían utilizarse lotes adicionales que aún no se hayan fabricado en el momento de la presentación del </w:t>
      </w:r>
      <w:r w:rsidR="00170A27">
        <w:rPr>
          <w:rFonts w:ascii="Arial" w:eastAsia="Arial" w:hAnsi="Arial" w:cs="Arial"/>
          <w:szCs w:val="22"/>
          <w:lang w:val="es-PY"/>
        </w:rPr>
        <w:t>expediente del producto en investigación</w:t>
      </w:r>
      <w:r w:rsidRPr="007B4B47">
        <w:rPr>
          <w:rFonts w:ascii="Arial" w:eastAsia="Arial" w:hAnsi="Arial" w:cs="Arial"/>
          <w:szCs w:val="22"/>
          <w:lang w:val="es-PY"/>
        </w:rPr>
        <w:t>.</w:t>
      </w:r>
    </w:p>
    <w:p w:rsidR="009641F0" w:rsidRPr="00684D51" w:rsidRDefault="009641F0" w:rsidP="009641F0">
      <w:pPr>
        <w:spacing w:after="120"/>
        <w:jc w:val="both"/>
        <w:rPr>
          <w:rFonts w:ascii="Arial" w:eastAsia="Arial" w:hAnsi="Arial" w:cs="Arial"/>
          <w:b/>
          <w:i/>
          <w:szCs w:val="22"/>
          <w:lang w:val="es-PY"/>
        </w:rPr>
      </w:pPr>
      <w:r w:rsidRPr="00684D51">
        <w:rPr>
          <w:rFonts w:ascii="Arial" w:eastAsia="Arial" w:hAnsi="Arial" w:cs="Arial"/>
          <w:b/>
          <w:i/>
          <w:szCs w:val="22"/>
          <w:lang w:val="es-PY"/>
        </w:rPr>
        <w:t>P.5.5. Caracterización de impurezas</w:t>
      </w:r>
    </w:p>
    <w:p w:rsidR="009641F0" w:rsidRPr="00684D51" w:rsidRDefault="009641F0" w:rsidP="009641F0">
      <w:pPr>
        <w:spacing w:after="120"/>
        <w:jc w:val="both"/>
        <w:rPr>
          <w:rFonts w:ascii="Arial" w:eastAsia="Arial" w:hAnsi="Arial" w:cs="Arial"/>
          <w:szCs w:val="22"/>
          <w:lang w:val="es-PY"/>
        </w:rPr>
      </w:pPr>
      <w:r w:rsidRPr="00684D51">
        <w:rPr>
          <w:rFonts w:ascii="Arial" w:eastAsia="Arial" w:hAnsi="Arial" w:cs="Arial"/>
          <w:szCs w:val="22"/>
          <w:lang w:val="es-PY"/>
        </w:rPr>
        <w:t xml:space="preserve">Las impurezas adicionales y los productos de degradación observados en el medicamento de terapia avanzada en investigación (ATMP), tales como aquellos resultantes de la interacción de las células con </w:t>
      </w:r>
      <w:r w:rsidR="00170A27">
        <w:rPr>
          <w:rFonts w:ascii="Arial" w:eastAsia="Arial" w:hAnsi="Arial" w:cs="Arial"/>
          <w:szCs w:val="22"/>
          <w:lang w:val="es-PY"/>
        </w:rPr>
        <w:t xml:space="preserve">la estructura de soporte </w:t>
      </w:r>
      <w:r>
        <w:rPr>
          <w:rFonts w:ascii="Arial" w:eastAsia="Arial" w:hAnsi="Arial" w:cs="Arial"/>
          <w:szCs w:val="22"/>
          <w:lang w:val="es-PY"/>
        </w:rPr>
        <w:t>(</w:t>
      </w:r>
      <w:proofErr w:type="spellStart"/>
      <w:r>
        <w:rPr>
          <w:rFonts w:ascii="Arial" w:eastAsia="Arial" w:hAnsi="Arial" w:cs="Arial"/>
          <w:szCs w:val="22"/>
          <w:lang w:val="es-PY"/>
        </w:rPr>
        <w:t>scaffold</w:t>
      </w:r>
      <w:proofErr w:type="spellEnd"/>
      <w:r>
        <w:rPr>
          <w:rFonts w:ascii="Arial" w:eastAsia="Arial" w:hAnsi="Arial" w:cs="Arial"/>
          <w:szCs w:val="22"/>
          <w:lang w:val="es-PY"/>
        </w:rPr>
        <w:t>)</w:t>
      </w:r>
      <w:r w:rsidRPr="00684D51">
        <w:rPr>
          <w:rFonts w:ascii="Arial" w:eastAsia="Arial" w:hAnsi="Arial" w:cs="Arial"/>
          <w:szCs w:val="22"/>
          <w:lang w:val="es-PY"/>
        </w:rPr>
        <w:t>, pero que no estén contemplados en la sección S.3.2, deberán identificarse y cuantificarse según sea necesario.</w:t>
      </w:r>
    </w:p>
    <w:p w:rsidR="009641F0" w:rsidRDefault="009641F0" w:rsidP="009641F0">
      <w:pPr>
        <w:spacing w:after="120"/>
        <w:jc w:val="both"/>
        <w:rPr>
          <w:rFonts w:ascii="Arial" w:eastAsia="Arial" w:hAnsi="Arial" w:cs="Arial"/>
          <w:szCs w:val="22"/>
          <w:lang w:val="es-PY"/>
        </w:rPr>
      </w:pPr>
      <w:r w:rsidRPr="00684D51">
        <w:rPr>
          <w:rFonts w:ascii="Arial" w:eastAsia="Arial" w:hAnsi="Arial" w:cs="Arial"/>
          <w:szCs w:val="22"/>
          <w:lang w:val="es-PY"/>
        </w:rPr>
        <w:t>El producto terminado deberá someterse a pruebas para detectar reactivos residuales de fabricación con toxicidades conocidas o potenciales, y deberá describirse el procedimiento de ensayo correspondiente. Cuando esté justificado, en función del riesgo asociado al tipo de impureza, los datos derivados de la calificación del proceso y/o de la caracterización de lotes, o un cálculo teórico de las cantidades residuales, podrán sustituir a los datos de especificación. Si forman parte de la especificación, deberán incluirse los límites para cada impureza.</w:t>
      </w:r>
    </w:p>
    <w:p w:rsidR="009641F0" w:rsidRPr="0063200E" w:rsidRDefault="009641F0" w:rsidP="009641F0">
      <w:pPr>
        <w:spacing w:after="120"/>
        <w:jc w:val="both"/>
        <w:rPr>
          <w:rFonts w:ascii="Arial" w:eastAsia="Arial" w:hAnsi="Arial" w:cs="Arial"/>
          <w:b/>
          <w:i/>
          <w:szCs w:val="22"/>
          <w:lang w:val="es-PY"/>
        </w:rPr>
      </w:pPr>
      <w:r w:rsidRPr="0063200E">
        <w:rPr>
          <w:rFonts w:ascii="Arial" w:eastAsia="Arial" w:hAnsi="Arial" w:cs="Arial"/>
          <w:b/>
          <w:i/>
          <w:szCs w:val="22"/>
          <w:lang w:val="es-PY"/>
        </w:rPr>
        <w:t>P.5.6. Justificación de la especificación</w:t>
      </w:r>
    </w:p>
    <w:p w:rsidR="009641F0" w:rsidRPr="0063200E" w:rsidRDefault="009641F0" w:rsidP="009641F0">
      <w:pPr>
        <w:spacing w:after="120"/>
        <w:jc w:val="both"/>
        <w:rPr>
          <w:rFonts w:ascii="Arial" w:eastAsia="Arial" w:hAnsi="Arial" w:cs="Arial"/>
          <w:szCs w:val="22"/>
          <w:lang w:val="es-PY"/>
        </w:rPr>
      </w:pPr>
      <w:r w:rsidRPr="0063200E">
        <w:rPr>
          <w:rFonts w:ascii="Arial" w:eastAsia="Arial" w:hAnsi="Arial" w:cs="Arial"/>
          <w:szCs w:val="22"/>
          <w:lang w:val="es-PY"/>
        </w:rPr>
        <w:t>Deberá proporcionarse una justificación para los atributos de calidad incluidos en la especificación del producto, basada principalmente en la especificación de la sustancia activa, la composición del producto terminado y el mecanismo de acción del producto final. Deberán considerarse los atributos de calidad indicativos de la estabilidad. Los criterios de aceptación propuestos deberán justificarse y, si se basan únicamente en lotes no clínicos, deberá discutirse la representatividad de dichos lotes.</w:t>
      </w:r>
    </w:p>
    <w:p w:rsidR="009641F0" w:rsidRPr="0063200E" w:rsidRDefault="009641F0" w:rsidP="009641F0">
      <w:pPr>
        <w:spacing w:after="120"/>
        <w:jc w:val="both"/>
        <w:rPr>
          <w:rFonts w:ascii="Arial" w:eastAsia="Arial" w:hAnsi="Arial" w:cs="Arial"/>
          <w:b/>
          <w:i/>
          <w:szCs w:val="22"/>
          <w:lang w:val="es-PY"/>
        </w:rPr>
      </w:pPr>
      <w:r w:rsidRPr="0063200E">
        <w:rPr>
          <w:rFonts w:ascii="Arial" w:eastAsia="Arial" w:hAnsi="Arial" w:cs="Arial"/>
          <w:b/>
          <w:i/>
          <w:szCs w:val="22"/>
          <w:lang w:val="es-PY"/>
        </w:rPr>
        <w:t>P.6. Estándares o materiales de referencia</w:t>
      </w:r>
    </w:p>
    <w:p w:rsidR="009641F0" w:rsidRDefault="009641F0" w:rsidP="009641F0">
      <w:pPr>
        <w:spacing w:after="120"/>
        <w:jc w:val="both"/>
        <w:rPr>
          <w:rFonts w:ascii="Arial" w:eastAsia="Arial" w:hAnsi="Arial" w:cs="Arial"/>
          <w:szCs w:val="22"/>
          <w:lang w:val="es-PY"/>
        </w:rPr>
      </w:pPr>
      <w:r w:rsidRPr="0063200E">
        <w:rPr>
          <w:rFonts w:ascii="Arial" w:eastAsia="Arial" w:hAnsi="Arial" w:cs="Arial"/>
          <w:szCs w:val="22"/>
          <w:lang w:val="es-PY"/>
        </w:rPr>
        <w:t xml:space="preserve">Deberán presentarse, cuando corresponda, los parámetros para la caracterización del estándar de referencia. Podrá hacerse referencia a la sección S.5 </w:t>
      </w:r>
      <w:r>
        <w:rPr>
          <w:rFonts w:ascii="Arial" w:eastAsia="Arial" w:hAnsi="Arial" w:cs="Arial"/>
          <w:szCs w:val="22"/>
          <w:lang w:val="es-PY"/>
        </w:rPr>
        <w:t>(</w:t>
      </w:r>
      <w:r w:rsidRPr="0063200E">
        <w:rPr>
          <w:rFonts w:ascii="Arial" w:eastAsia="Arial" w:hAnsi="Arial" w:cs="Arial"/>
          <w:i/>
          <w:szCs w:val="22"/>
          <w:lang w:val="es-PY"/>
        </w:rPr>
        <w:t xml:space="preserve">Reference </w:t>
      </w:r>
      <w:proofErr w:type="spellStart"/>
      <w:r w:rsidRPr="0063200E">
        <w:rPr>
          <w:rFonts w:ascii="Arial" w:eastAsia="Arial" w:hAnsi="Arial" w:cs="Arial"/>
          <w:i/>
          <w:szCs w:val="22"/>
          <w:lang w:val="es-PY"/>
        </w:rPr>
        <w:t>Standards</w:t>
      </w:r>
      <w:proofErr w:type="spellEnd"/>
      <w:r w:rsidRPr="0063200E">
        <w:rPr>
          <w:rFonts w:ascii="Arial" w:eastAsia="Arial" w:hAnsi="Arial" w:cs="Arial"/>
          <w:i/>
          <w:szCs w:val="22"/>
          <w:lang w:val="es-PY"/>
        </w:rPr>
        <w:t xml:space="preserve"> </w:t>
      </w:r>
      <w:proofErr w:type="spellStart"/>
      <w:r w:rsidRPr="0063200E">
        <w:rPr>
          <w:rFonts w:ascii="Arial" w:eastAsia="Arial" w:hAnsi="Arial" w:cs="Arial"/>
          <w:i/>
          <w:szCs w:val="22"/>
          <w:lang w:val="es-PY"/>
        </w:rPr>
        <w:t>or</w:t>
      </w:r>
      <w:proofErr w:type="spellEnd"/>
      <w:r w:rsidRPr="0063200E">
        <w:rPr>
          <w:rFonts w:ascii="Arial" w:eastAsia="Arial" w:hAnsi="Arial" w:cs="Arial"/>
          <w:i/>
          <w:szCs w:val="22"/>
          <w:lang w:val="es-PY"/>
        </w:rPr>
        <w:t xml:space="preserve"> </w:t>
      </w:r>
      <w:proofErr w:type="spellStart"/>
      <w:r w:rsidRPr="0063200E">
        <w:rPr>
          <w:rFonts w:ascii="Arial" w:eastAsia="Arial" w:hAnsi="Arial" w:cs="Arial"/>
          <w:i/>
          <w:szCs w:val="22"/>
          <w:lang w:val="es-PY"/>
        </w:rPr>
        <w:t>Materials</w:t>
      </w:r>
      <w:proofErr w:type="spellEnd"/>
      <w:r>
        <w:rPr>
          <w:rFonts w:ascii="Arial" w:eastAsia="Arial" w:hAnsi="Arial" w:cs="Arial"/>
          <w:szCs w:val="22"/>
          <w:lang w:val="es-PY"/>
        </w:rPr>
        <w:t>)</w:t>
      </w:r>
      <w:r w:rsidRPr="0063200E">
        <w:rPr>
          <w:rFonts w:ascii="Arial" w:eastAsia="Arial" w:hAnsi="Arial" w:cs="Arial"/>
          <w:szCs w:val="22"/>
          <w:lang w:val="es-PY"/>
        </w:rPr>
        <w:t xml:space="preserve"> cuando sea aplicable.</w:t>
      </w:r>
    </w:p>
    <w:p w:rsidR="009641F0" w:rsidRPr="0063200E" w:rsidRDefault="009641F0" w:rsidP="009641F0">
      <w:pPr>
        <w:spacing w:after="120"/>
        <w:jc w:val="both"/>
        <w:rPr>
          <w:rFonts w:ascii="Arial" w:eastAsia="Arial" w:hAnsi="Arial" w:cs="Arial"/>
          <w:b/>
          <w:i/>
          <w:szCs w:val="22"/>
          <w:lang w:val="es-PY"/>
        </w:rPr>
      </w:pPr>
      <w:r w:rsidRPr="0063200E">
        <w:rPr>
          <w:rFonts w:ascii="Arial" w:eastAsia="Arial" w:hAnsi="Arial" w:cs="Arial"/>
          <w:b/>
          <w:i/>
          <w:szCs w:val="22"/>
          <w:lang w:val="es-PY"/>
        </w:rPr>
        <w:t>P.7. Sistema de cierre del envase</w:t>
      </w:r>
    </w:p>
    <w:p w:rsidR="009641F0" w:rsidRPr="0063200E" w:rsidRDefault="009641F0" w:rsidP="009641F0">
      <w:pPr>
        <w:spacing w:after="120"/>
        <w:jc w:val="both"/>
        <w:rPr>
          <w:rFonts w:ascii="Arial" w:eastAsia="Arial" w:hAnsi="Arial" w:cs="Arial"/>
          <w:szCs w:val="22"/>
          <w:lang w:val="es-PY"/>
        </w:rPr>
      </w:pPr>
      <w:r w:rsidRPr="0063200E">
        <w:rPr>
          <w:rFonts w:ascii="Arial" w:eastAsia="Arial" w:hAnsi="Arial" w:cs="Arial"/>
          <w:szCs w:val="22"/>
          <w:lang w:val="es-PY"/>
        </w:rPr>
        <w:t xml:space="preserve">El envase primario previsto para el medicamento en investigación en el ensayo clínico deberá describirse, y su compatibilidad con el producto deberá justificarse </w:t>
      </w:r>
      <w:r w:rsidRPr="0063200E">
        <w:rPr>
          <w:rFonts w:ascii="Arial" w:eastAsia="Arial" w:hAnsi="Arial" w:cs="Arial"/>
          <w:szCs w:val="22"/>
          <w:lang w:val="es-PY"/>
        </w:rPr>
        <w:lastRenderedPageBreak/>
        <w:t xml:space="preserve">en la sección P.2. Cuando corresponda, deberá hacerse referencia a la monografía </w:t>
      </w:r>
      <w:proofErr w:type="spellStart"/>
      <w:r w:rsidRPr="0063200E">
        <w:rPr>
          <w:rFonts w:ascii="Arial" w:eastAsia="Arial" w:hAnsi="Arial" w:cs="Arial"/>
          <w:szCs w:val="22"/>
          <w:lang w:val="es-PY"/>
        </w:rPr>
        <w:t>farmacopeica</w:t>
      </w:r>
      <w:proofErr w:type="spellEnd"/>
      <w:r w:rsidRPr="0063200E">
        <w:rPr>
          <w:rFonts w:ascii="Arial" w:eastAsia="Arial" w:hAnsi="Arial" w:cs="Arial"/>
          <w:szCs w:val="22"/>
          <w:lang w:val="es-PY"/>
        </w:rPr>
        <w:t xml:space="preserve"> pertinente.</w:t>
      </w:r>
    </w:p>
    <w:p w:rsidR="009641F0" w:rsidRPr="0063200E" w:rsidRDefault="009641F0" w:rsidP="009641F0">
      <w:pPr>
        <w:spacing w:after="120"/>
        <w:jc w:val="both"/>
        <w:rPr>
          <w:rFonts w:ascii="Arial" w:eastAsia="Arial" w:hAnsi="Arial" w:cs="Arial"/>
          <w:szCs w:val="22"/>
          <w:lang w:val="es-PY"/>
        </w:rPr>
      </w:pPr>
      <w:r w:rsidRPr="0063200E">
        <w:rPr>
          <w:rFonts w:ascii="Arial" w:eastAsia="Arial" w:hAnsi="Arial" w:cs="Arial"/>
          <w:szCs w:val="22"/>
          <w:lang w:val="es-PY"/>
        </w:rPr>
        <w:t xml:space="preserve">Si el producto se envasa en un dispositivo de administración no estándar, o si se utilizan materiales no </w:t>
      </w:r>
      <w:r>
        <w:rPr>
          <w:rFonts w:ascii="Arial" w:eastAsia="Arial" w:hAnsi="Arial" w:cs="Arial"/>
          <w:szCs w:val="22"/>
          <w:lang w:val="es-PY"/>
        </w:rPr>
        <w:t>compendiados</w:t>
      </w:r>
      <w:r w:rsidRPr="0063200E">
        <w:rPr>
          <w:rFonts w:ascii="Arial" w:eastAsia="Arial" w:hAnsi="Arial" w:cs="Arial"/>
          <w:szCs w:val="22"/>
          <w:lang w:val="es-PY"/>
        </w:rPr>
        <w:t>, deberán proporcionarse la descripción y las especificaciones correspondientes. Si se va a utilizar un dispositivo médico para la administración, su estatus regulatorio deberá declararse explícitamente. Véase la sección 7 para más información.</w:t>
      </w:r>
    </w:p>
    <w:p w:rsidR="009641F0" w:rsidRDefault="009641F0" w:rsidP="009641F0">
      <w:pPr>
        <w:spacing w:after="120"/>
        <w:jc w:val="both"/>
        <w:rPr>
          <w:rFonts w:ascii="Arial" w:eastAsia="Arial" w:hAnsi="Arial" w:cs="Arial"/>
          <w:szCs w:val="22"/>
          <w:lang w:val="es-PY"/>
        </w:rPr>
      </w:pPr>
      <w:r w:rsidRPr="0063200E">
        <w:rPr>
          <w:rFonts w:ascii="Arial" w:eastAsia="Arial" w:hAnsi="Arial" w:cs="Arial"/>
          <w:szCs w:val="22"/>
          <w:lang w:val="es-PY"/>
        </w:rPr>
        <w:t>Para los productos parenterales con potencial de interacción entre el producto y el sistema de cierre del envase, podría ser necesario aportar más detalles sobre la compatibilidad. Además, deberán referenciarse datos de biocompatibilidad si el dispositivo entra en contacto con tejido humano. Cuando corresponda, deberá proporcionarse información sobre los procedimientos de esterilización del envase y del cierre.</w:t>
      </w:r>
    </w:p>
    <w:p w:rsidR="009641F0" w:rsidRPr="001A489F" w:rsidRDefault="009641F0" w:rsidP="009641F0">
      <w:pPr>
        <w:spacing w:after="120"/>
        <w:jc w:val="both"/>
        <w:rPr>
          <w:rFonts w:ascii="Arial" w:eastAsia="Arial" w:hAnsi="Arial" w:cs="Arial"/>
          <w:b/>
          <w:i/>
          <w:szCs w:val="22"/>
          <w:lang w:val="es-PY"/>
        </w:rPr>
      </w:pPr>
      <w:r w:rsidRPr="001A489F">
        <w:rPr>
          <w:rFonts w:ascii="Arial" w:eastAsia="Arial" w:hAnsi="Arial" w:cs="Arial"/>
          <w:b/>
          <w:i/>
          <w:szCs w:val="22"/>
          <w:lang w:val="es-PY"/>
        </w:rPr>
        <w:t>P.8. Estabilidad</w:t>
      </w:r>
    </w:p>
    <w:p w:rsidR="009641F0" w:rsidRPr="00CD05F4" w:rsidRDefault="009641F0" w:rsidP="009641F0">
      <w:pPr>
        <w:spacing w:after="120"/>
        <w:jc w:val="both"/>
        <w:rPr>
          <w:rFonts w:ascii="Arial" w:eastAsia="Arial" w:hAnsi="Arial" w:cs="Arial"/>
          <w:szCs w:val="22"/>
          <w:lang w:val="es-PY"/>
        </w:rPr>
      </w:pPr>
      <w:r w:rsidRPr="00CD05F4">
        <w:rPr>
          <w:rFonts w:ascii="Arial" w:eastAsia="Arial" w:hAnsi="Arial" w:cs="Arial"/>
          <w:szCs w:val="22"/>
          <w:lang w:val="es-PY"/>
        </w:rPr>
        <w:t xml:space="preserve">Se aplican los mismos requisitos que para la sustancia activa al medicamento de terapia avanzada en investigación (ATMP), incluyendo el protocolo de estabilidad, los resultados de estabilidad, la determinación de la vida útil </w:t>
      </w:r>
      <w:r>
        <w:rPr>
          <w:rFonts w:ascii="Arial" w:eastAsia="Arial" w:hAnsi="Arial" w:cs="Arial"/>
          <w:szCs w:val="22"/>
          <w:lang w:val="es-PY"/>
        </w:rPr>
        <w:t>(</w:t>
      </w:r>
      <w:r w:rsidRPr="00CD05F4">
        <w:rPr>
          <w:rFonts w:ascii="Arial" w:eastAsia="Arial" w:hAnsi="Arial" w:cs="Arial"/>
          <w:szCs w:val="22"/>
          <w:lang w:val="es-PY"/>
        </w:rPr>
        <w:t>incluida la extensión de la vida útil más allá del período cubierto por los datos de estabilidad en tiempo real</w:t>
      </w:r>
      <w:r>
        <w:rPr>
          <w:rFonts w:ascii="Arial" w:eastAsia="Arial" w:hAnsi="Arial" w:cs="Arial"/>
          <w:szCs w:val="22"/>
          <w:lang w:val="es-PY"/>
        </w:rPr>
        <w:t>)</w:t>
      </w:r>
      <w:r w:rsidRPr="00CD05F4">
        <w:rPr>
          <w:rFonts w:ascii="Arial" w:eastAsia="Arial" w:hAnsi="Arial" w:cs="Arial"/>
          <w:szCs w:val="22"/>
          <w:lang w:val="es-PY"/>
        </w:rPr>
        <w:t>, así como el compromiso de estabilidad y la extensión posterior a la autorización. Las condiciones de almacenamiento, incluyendo el rango de temperatura, deberán definirse y los estudios de estabilidad deberán generar suficiente garantía de que el medicamento en investigación será estable durante el período de almacenamiento previsto. El protocolo de estabilidad para el ATMP en investigación deberá tener en cuenta el conocimiento adquirido sobre el perfil de estabilidad de la sustancia activa y justificar la vida útil propuesta del producto desde su liberación hasta su administración a los pacientes.</w:t>
      </w:r>
    </w:p>
    <w:p w:rsidR="009641F0" w:rsidRPr="00CD05F4" w:rsidRDefault="009641F0" w:rsidP="009641F0">
      <w:pPr>
        <w:spacing w:after="120"/>
        <w:jc w:val="both"/>
        <w:rPr>
          <w:rFonts w:ascii="Arial" w:eastAsia="Arial" w:hAnsi="Arial" w:cs="Arial"/>
          <w:szCs w:val="22"/>
          <w:lang w:val="es-PY"/>
        </w:rPr>
      </w:pPr>
      <w:r w:rsidRPr="00CD05F4">
        <w:rPr>
          <w:rFonts w:ascii="Arial" w:eastAsia="Arial" w:hAnsi="Arial" w:cs="Arial"/>
          <w:szCs w:val="22"/>
          <w:lang w:val="es-PY"/>
        </w:rPr>
        <w:t xml:space="preserve">Las condiciones de transporte y almacenamiento deberán estar respaldadas por datos experimentales relativos al mantenimiento de la integridad celular en los </w:t>
      </w:r>
      <w:proofErr w:type="spellStart"/>
      <w:r w:rsidRPr="00CD05F4">
        <w:rPr>
          <w:rFonts w:ascii="Arial" w:eastAsia="Arial" w:hAnsi="Arial" w:cs="Arial"/>
          <w:szCs w:val="22"/>
          <w:lang w:val="es-PY"/>
        </w:rPr>
        <w:t>ATMPs</w:t>
      </w:r>
      <w:proofErr w:type="spellEnd"/>
      <w:r w:rsidRPr="00CD05F4">
        <w:rPr>
          <w:rFonts w:ascii="Arial" w:eastAsia="Arial" w:hAnsi="Arial" w:cs="Arial"/>
          <w:szCs w:val="22"/>
          <w:lang w:val="es-PY"/>
        </w:rPr>
        <w:t xml:space="preserve"> celulares en investigación y a la estabilidad del producto durante el período de validez definido. Cuando corresponda, deberán documentarse y justificarse los métodos específicos de congelación y descongelación del producto.</w:t>
      </w:r>
    </w:p>
    <w:p w:rsidR="009641F0" w:rsidRPr="00CD05F4" w:rsidRDefault="009641F0" w:rsidP="009641F0">
      <w:pPr>
        <w:spacing w:after="120"/>
        <w:jc w:val="both"/>
        <w:rPr>
          <w:rFonts w:ascii="Arial" w:eastAsia="Arial" w:hAnsi="Arial" w:cs="Arial"/>
          <w:szCs w:val="22"/>
          <w:lang w:val="es-PY"/>
        </w:rPr>
      </w:pPr>
      <w:r w:rsidRPr="00CD05F4">
        <w:rPr>
          <w:rFonts w:ascii="Arial" w:eastAsia="Arial" w:hAnsi="Arial" w:cs="Arial"/>
          <w:szCs w:val="22"/>
          <w:lang w:val="es-PY"/>
        </w:rPr>
        <w:t>Deberán presentarse datos de estabilidad en uso para las preparaciones destinadas a utilizarse tras la descongelación, reconstitución, dilución, mezcla o en presentaciones multidosis. Estos estudios no son necesarios si la preparación se utiliza inmediatamente después de la apertura o reconstitución.</w:t>
      </w:r>
    </w:p>
    <w:p w:rsidR="009641F0" w:rsidRPr="00CD05F4" w:rsidRDefault="009641F0" w:rsidP="009641F0">
      <w:pPr>
        <w:spacing w:after="120"/>
        <w:jc w:val="both"/>
        <w:rPr>
          <w:rFonts w:ascii="Arial" w:eastAsia="Arial" w:hAnsi="Arial" w:cs="Arial"/>
          <w:szCs w:val="22"/>
          <w:lang w:val="es-PY"/>
        </w:rPr>
      </w:pPr>
      <w:r w:rsidRPr="00CD05F4">
        <w:rPr>
          <w:rFonts w:ascii="Arial" w:eastAsia="Arial" w:hAnsi="Arial" w:cs="Arial"/>
          <w:szCs w:val="22"/>
          <w:lang w:val="es-PY"/>
        </w:rPr>
        <w:lastRenderedPageBreak/>
        <w:t>La estabilidad de los componentes no celulares deberá evaluarse en presencia de los componentes celulares, con el fin de determinar si sufren degradación o alteraciones fisicoquímicas (por ejemplo, agregación, oxidación) que puedan afectar la calidad del producto al influir en el comportamiento y la supervivencia celular. El efecto del componente celular o de los tejidos circundantes sobre la degradación (velocidad y, en su caso, productos) o la estabilidad del componente estructural deberá abordarse en la sección no clínica.</w:t>
      </w:r>
    </w:p>
    <w:p w:rsidR="009641F0" w:rsidRDefault="009641F0" w:rsidP="009641F0">
      <w:pPr>
        <w:spacing w:after="120"/>
        <w:jc w:val="both"/>
        <w:rPr>
          <w:rFonts w:ascii="Arial" w:eastAsia="Arial" w:hAnsi="Arial" w:cs="Arial"/>
          <w:szCs w:val="22"/>
          <w:lang w:val="es-PY"/>
        </w:rPr>
      </w:pPr>
      <w:r w:rsidRPr="00CD05F4">
        <w:rPr>
          <w:rFonts w:ascii="Arial" w:eastAsia="Arial" w:hAnsi="Arial" w:cs="Arial"/>
          <w:szCs w:val="22"/>
          <w:lang w:val="es-PY"/>
        </w:rPr>
        <w:t xml:space="preserve">Los enfoques de </w:t>
      </w:r>
      <w:proofErr w:type="spellStart"/>
      <w:r w:rsidRPr="00CD05F4">
        <w:rPr>
          <w:rFonts w:ascii="Arial" w:eastAsia="Arial" w:hAnsi="Arial" w:cs="Arial"/>
          <w:szCs w:val="22"/>
          <w:lang w:val="es-PY"/>
        </w:rPr>
        <w:t>bracketing</w:t>
      </w:r>
      <w:proofErr w:type="spellEnd"/>
      <w:r w:rsidRPr="00CD05F4">
        <w:rPr>
          <w:rFonts w:ascii="Arial" w:eastAsia="Arial" w:hAnsi="Arial" w:cs="Arial"/>
          <w:szCs w:val="22"/>
          <w:lang w:val="es-PY"/>
        </w:rPr>
        <w:t xml:space="preserve"> y </w:t>
      </w:r>
      <w:proofErr w:type="spellStart"/>
      <w:r w:rsidRPr="00CD05F4">
        <w:rPr>
          <w:rFonts w:ascii="Arial" w:eastAsia="Arial" w:hAnsi="Arial" w:cs="Arial"/>
          <w:szCs w:val="22"/>
          <w:lang w:val="es-PY"/>
        </w:rPr>
        <w:t>matrixing</w:t>
      </w:r>
      <w:proofErr w:type="spellEnd"/>
      <w:r w:rsidRPr="00CD05F4">
        <w:rPr>
          <w:rFonts w:ascii="Arial" w:eastAsia="Arial" w:hAnsi="Arial" w:cs="Arial"/>
          <w:szCs w:val="22"/>
          <w:lang w:val="es-PY"/>
        </w:rPr>
        <w:t xml:space="preserve"> podrán aceptarse, cuando estén debidamente justificados.</w:t>
      </w:r>
    </w:p>
    <w:p w:rsidR="009641F0" w:rsidRPr="001A489F" w:rsidRDefault="009641F0" w:rsidP="009641F0">
      <w:pPr>
        <w:spacing w:after="120"/>
        <w:jc w:val="both"/>
        <w:rPr>
          <w:rFonts w:ascii="Arial" w:eastAsia="Arial" w:hAnsi="Arial" w:cs="Arial"/>
          <w:b/>
          <w:i/>
          <w:szCs w:val="22"/>
          <w:lang w:val="es-PY"/>
        </w:rPr>
      </w:pPr>
      <w:r w:rsidRPr="001A489F">
        <w:rPr>
          <w:rFonts w:ascii="Arial" w:eastAsia="Arial" w:hAnsi="Arial" w:cs="Arial"/>
          <w:b/>
          <w:i/>
          <w:szCs w:val="22"/>
          <w:lang w:val="es-PY"/>
        </w:rPr>
        <w:t>A.1. Instalaciones y equipos</w:t>
      </w:r>
    </w:p>
    <w:p w:rsidR="009641F0" w:rsidRPr="00BD0EE0" w:rsidRDefault="009641F0" w:rsidP="009641F0">
      <w:pPr>
        <w:spacing w:after="120"/>
        <w:jc w:val="both"/>
        <w:rPr>
          <w:rFonts w:ascii="Arial" w:eastAsia="Arial" w:hAnsi="Arial" w:cs="Arial"/>
          <w:szCs w:val="22"/>
          <w:lang w:val="es-PY"/>
        </w:rPr>
      </w:pPr>
      <w:r w:rsidRPr="00BD0EE0">
        <w:rPr>
          <w:rFonts w:ascii="Arial" w:eastAsia="Arial" w:hAnsi="Arial" w:cs="Arial"/>
          <w:szCs w:val="22"/>
          <w:lang w:val="es-PY"/>
        </w:rPr>
        <w:t>No aplica.</w:t>
      </w:r>
    </w:p>
    <w:p w:rsidR="009641F0" w:rsidRPr="001A489F" w:rsidRDefault="009641F0" w:rsidP="009641F0">
      <w:pPr>
        <w:spacing w:after="120"/>
        <w:jc w:val="both"/>
        <w:rPr>
          <w:rFonts w:ascii="Arial" w:eastAsia="Arial" w:hAnsi="Arial" w:cs="Arial"/>
          <w:b/>
          <w:i/>
          <w:szCs w:val="22"/>
          <w:lang w:val="es-PY"/>
        </w:rPr>
      </w:pPr>
      <w:r w:rsidRPr="001A489F">
        <w:rPr>
          <w:rFonts w:ascii="Arial" w:eastAsia="Arial" w:hAnsi="Arial" w:cs="Arial"/>
          <w:b/>
          <w:i/>
          <w:szCs w:val="22"/>
          <w:lang w:val="es-PY"/>
        </w:rPr>
        <w:t>A.2. Evaluación de la seguridad frente a agentes adventicios</w:t>
      </w:r>
    </w:p>
    <w:p w:rsidR="009641F0" w:rsidRPr="00BD0EE0" w:rsidRDefault="009641F0" w:rsidP="009641F0">
      <w:pPr>
        <w:spacing w:after="120"/>
        <w:jc w:val="both"/>
        <w:rPr>
          <w:rFonts w:ascii="Arial" w:eastAsia="Arial" w:hAnsi="Arial" w:cs="Arial"/>
          <w:szCs w:val="22"/>
          <w:lang w:val="es-PY"/>
        </w:rPr>
      </w:pPr>
      <w:r w:rsidRPr="00BD0EE0">
        <w:rPr>
          <w:rFonts w:ascii="Arial" w:eastAsia="Arial" w:hAnsi="Arial" w:cs="Arial"/>
          <w:szCs w:val="22"/>
          <w:lang w:val="es-PY"/>
        </w:rPr>
        <w:t>Todos los materiales de origen humano o animal, incluidos los medios de cultivo celular y los suplementos de medio utilizados en el proceso de fabricación tanto de la sustancia activa como del medicamento, o aquellos materiales que entren en contacto con la sustancia activa o el medicamento durante el proceso de fabricación, deberán ser identificados. En esta sección deberá proporcionarse información que evalúe el riesgo de posible contaminación con agentes adventicios de origen humano o animal.</w:t>
      </w:r>
    </w:p>
    <w:p w:rsidR="009641F0" w:rsidRPr="00BD0EE0" w:rsidRDefault="009641F0" w:rsidP="009641F0">
      <w:pPr>
        <w:spacing w:after="120"/>
        <w:jc w:val="both"/>
        <w:rPr>
          <w:rFonts w:ascii="Arial" w:eastAsia="Arial" w:hAnsi="Arial" w:cs="Arial"/>
          <w:szCs w:val="22"/>
          <w:lang w:val="es-PY"/>
        </w:rPr>
      </w:pPr>
      <w:r w:rsidRPr="00BD0EE0">
        <w:rPr>
          <w:rFonts w:ascii="Arial" w:eastAsia="Arial" w:hAnsi="Arial" w:cs="Arial"/>
          <w:szCs w:val="22"/>
          <w:lang w:val="es-PY"/>
        </w:rPr>
        <w:t>La contaminación de un medicamento de terapia avanzada en investigación (ATMP) podría originarse en los materiales iniciales o materias primas, o introducirse de manera adventicia durante el proceso de fabricación. Deberá aportarse información sobre la prevención y el control de agentes adventicios virales y no virales (por ejemplo, agentes de encefalopatía espongiforme transmisible, bacterias, micoplasma, hongos y virus adventicios). Esta información puede incluir, por ejemplo, la certificación y/o pruebas de materias primas y excipientes, así como el control del proceso de producción, según corresponda al material, proceso y agente.</w:t>
      </w:r>
    </w:p>
    <w:p w:rsidR="009641F0" w:rsidRPr="00BD0EE0" w:rsidRDefault="009641F0" w:rsidP="009641F0">
      <w:pPr>
        <w:spacing w:after="120"/>
        <w:jc w:val="both"/>
        <w:rPr>
          <w:rFonts w:ascii="Arial" w:eastAsia="Arial" w:hAnsi="Arial" w:cs="Arial"/>
          <w:szCs w:val="22"/>
          <w:lang w:val="es-PY"/>
        </w:rPr>
      </w:pPr>
      <w:r w:rsidRPr="00BD0EE0">
        <w:rPr>
          <w:rFonts w:ascii="Arial" w:eastAsia="Arial" w:hAnsi="Arial" w:cs="Arial"/>
          <w:szCs w:val="22"/>
          <w:lang w:val="es-PY"/>
        </w:rPr>
        <w:t>Deberán realizarse pruebas exhaustivas para demostrar la ausencia de bacterias, hongos, micoplasma y endotoxinas a nivel de producto terminado, siguiendo un enfoque basado en el riesgo y considerando las características de administración. Sin embargo, la prueba de micoplasma debería realizarse idealmente en la cosecha de la última etapa de cultivo antes de un procesamiento posterior (por ejemplo, lisis, filtración, lavado o purificación), ya que las pruebas posteriores al tratamiento aumentan significativamente el riesgo de no detectar una posible contaminación por micoplasma.</w:t>
      </w:r>
    </w:p>
    <w:p w:rsidR="009641F0" w:rsidRDefault="009641F0" w:rsidP="009641F0">
      <w:pPr>
        <w:spacing w:after="120"/>
        <w:jc w:val="both"/>
        <w:rPr>
          <w:rFonts w:ascii="Arial" w:eastAsia="Arial" w:hAnsi="Arial" w:cs="Arial"/>
          <w:szCs w:val="22"/>
          <w:lang w:val="es-PY"/>
        </w:rPr>
      </w:pPr>
      <w:r w:rsidRPr="00BD0EE0">
        <w:rPr>
          <w:rFonts w:ascii="Arial" w:eastAsia="Arial" w:hAnsi="Arial" w:cs="Arial"/>
          <w:szCs w:val="22"/>
          <w:lang w:val="es-PY"/>
        </w:rPr>
        <w:lastRenderedPageBreak/>
        <w:t xml:space="preserve">Las pruebas para demostrar la ausencia de bacterias y hongos deberán seguir los requisitos </w:t>
      </w:r>
      <w:r w:rsidR="00DC4599">
        <w:rPr>
          <w:rFonts w:ascii="Arial" w:eastAsia="Arial" w:hAnsi="Arial" w:cs="Arial"/>
          <w:szCs w:val="22"/>
          <w:lang w:val="es-PY"/>
        </w:rPr>
        <w:t>de farmacopeas internacionalmente reconocidas</w:t>
      </w:r>
      <w:r w:rsidRPr="00BD0EE0">
        <w:rPr>
          <w:rFonts w:ascii="Arial" w:eastAsia="Arial" w:hAnsi="Arial" w:cs="Arial"/>
          <w:szCs w:val="22"/>
          <w:lang w:val="es-PY"/>
        </w:rPr>
        <w:t>.</w:t>
      </w:r>
    </w:p>
    <w:p w:rsidR="009641F0" w:rsidRDefault="009641F0" w:rsidP="009641F0">
      <w:pPr>
        <w:spacing w:after="120"/>
        <w:jc w:val="both"/>
        <w:rPr>
          <w:rFonts w:ascii="Arial" w:eastAsia="Arial" w:hAnsi="Arial" w:cs="Arial"/>
          <w:i/>
          <w:szCs w:val="22"/>
          <w:lang w:val="es-PY"/>
        </w:rPr>
      </w:pPr>
      <w:r w:rsidRPr="00FB7C71">
        <w:rPr>
          <w:rFonts w:ascii="Arial" w:eastAsia="Arial" w:hAnsi="Arial" w:cs="Arial"/>
          <w:i/>
          <w:szCs w:val="22"/>
          <w:lang w:val="es-PY"/>
        </w:rPr>
        <w:t>Agentes de encefalopatía espongiforme transmisible (TSE)</w:t>
      </w:r>
    </w:p>
    <w:p w:rsidR="009641F0" w:rsidRPr="0001266B" w:rsidRDefault="009641F0" w:rsidP="009641F0">
      <w:pPr>
        <w:spacing w:after="120"/>
        <w:jc w:val="both"/>
        <w:rPr>
          <w:rFonts w:ascii="Arial" w:eastAsia="Arial" w:hAnsi="Arial" w:cs="Arial"/>
          <w:szCs w:val="22"/>
          <w:lang w:val="es-PY"/>
        </w:rPr>
      </w:pPr>
      <w:r w:rsidRPr="0001266B">
        <w:rPr>
          <w:rFonts w:ascii="Arial" w:eastAsia="Arial" w:hAnsi="Arial" w:cs="Arial"/>
          <w:szCs w:val="22"/>
          <w:lang w:val="es-PY"/>
        </w:rPr>
        <w:t>Deberá proporcionarse información detallada sobre la prevención y el control de los agentes de encefalopatía espongiforme transmisible. Esta información puede incluir, por ejemplo, la certificación y el control del proceso de producción, según corresponda al material, proceso y agente.</w:t>
      </w:r>
    </w:p>
    <w:p w:rsidR="009641F0" w:rsidRPr="004A4848" w:rsidRDefault="009641F0" w:rsidP="009641F0">
      <w:pPr>
        <w:spacing w:after="120"/>
        <w:jc w:val="both"/>
        <w:rPr>
          <w:rFonts w:ascii="Arial" w:eastAsia="Arial" w:hAnsi="Arial" w:cs="Arial"/>
          <w:i/>
          <w:szCs w:val="22"/>
          <w:lang w:val="es-PY"/>
        </w:rPr>
      </w:pPr>
      <w:r w:rsidRPr="0001266B">
        <w:rPr>
          <w:rFonts w:ascii="Arial" w:eastAsia="Arial" w:hAnsi="Arial" w:cs="Arial"/>
          <w:i/>
          <w:szCs w:val="22"/>
          <w:lang w:val="es-PY"/>
        </w:rPr>
        <w:t>Seguridad</w:t>
      </w:r>
      <w:r w:rsidRPr="004A4848">
        <w:rPr>
          <w:rFonts w:ascii="Arial" w:eastAsia="Arial" w:hAnsi="Arial" w:cs="Arial"/>
          <w:i/>
          <w:szCs w:val="22"/>
          <w:lang w:val="es-PY"/>
        </w:rPr>
        <w:t xml:space="preserve"> viral</w:t>
      </w:r>
    </w:p>
    <w:p w:rsidR="009641F0" w:rsidRPr="00D72B3A" w:rsidRDefault="009641F0" w:rsidP="009641F0">
      <w:pPr>
        <w:spacing w:after="120"/>
        <w:jc w:val="both"/>
        <w:rPr>
          <w:rFonts w:ascii="Arial" w:eastAsia="Arial" w:hAnsi="Arial" w:cs="Arial"/>
          <w:szCs w:val="22"/>
          <w:lang w:val="es-PY"/>
        </w:rPr>
      </w:pPr>
      <w:r w:rsidRPr="00D72B3A">
        <w:rPr>
          <w:rFonts w:ascii="Arial" w:eastAsia="Arial" w:hAnsi="Arial" w:cs="Arial"/>
          <w:szCs w:val="22"/>
          <w:lang w:val="es-PY"/>
        </w:rPr>
        <w:t>Cuando corresponda, deberá aportarse información que evalúe el riesgo de posible contaminación viral en esta sección. La evaluación de riesgos deberá realizarse para evaluar la posibilidad de contaminación viral o la reactivación de formas crípticas (integradas, latentes) de agentes adventicios.</w:t>
      </w:r>
    </w:p>
    <w:p w:rsidR="009641F0" w:rsidRPr="00D72B3A" w:rsidRDefault="009641F0" w:rsidP="009641F0">
      <w:pPr>
        <w:spacing w:after="120"/>
        <w:jc w:val="both"/>
        <w:rPr>
          <w:rFonts w:ascii="Arial" w:eastAsia="Arial" w:hAnsi="Arial" w:cs="Arial"/>
          <w:szCs w:val="22"/>
          <w:lang w:val="es-PY"/>
        </w:rPr>
      </w:pPr>
      <w:r w:rsidRPr="00D72B3A">
        <w:rPr>
          <w:rFonts w:ascii="Arial" w:eastAsia="Arial" w:hAnsi="Arial" w:cs="Arial"/>
          <w:szCs w:val="22"/>
          <w:lang w:val="es-PY"/>
        </w:rPr>
        <w:t>Deberán realizarse pruebas virales apropiadas mediante métodos validados. Cuando se utilice una línea celular continua en la producción, deberán realizarse pruebas para detectar la presencia de virus adventicios.</w:t>
      </w:r>
    </w:p>
    <w:p w:rsidR="009641F0" w:rsidRPr="00D72B3A" w:rsidRDefault="009641F0" w:rsidP="009641F0">
      <w:pPr>
        <w:spacing w:after="120"/>
        <w:jc w:val="both"/>
        <w:rPr>
          <w:rFonts w:ascii="Arial" w:eastAsia="Arial" w:hAnsi="Arial" w:cs="Arial"/>
          <w:szCs w:val="22"/>
          <w:lang w:val="es-PY"/>
        </w:rPr>
      </w:pPr>
      <w:r w:rsidRPr="00D72B3A">
        <w:rPr>
          <w:rFonts w:ascii="Arial" w:eastAsia="Arial" w:hAnsi="Arial" w:cs="Arial"/>
          <w:szCs w:val="22"/>
          <w:lang w:val="es-PY"/>
        </w:rPr>
        <w:t>Para vectores virales modificados genéticamente dentro del alcance de la guía ICH Q5A (R2), deberán incorporarse en el proceso de fabricación, siempre que sea posible, etapas que permitan una depuración viral suficiente (para virus adventicios, endógenos y virus auxiliares) sin afectar al producto. La validación de dichas etapas de reducción viral será obligatoria para la autorización de comercialización conforme a ICH Q5A (R2).</w:t>
      </w:r>
    </w:p>
    <w:p w:rsidR="009641F0" w:rsidRPr="00D72B3A" w:rsidRDefault="009641F0" w:rsidP="009641F0">
      <w:pPr>
        <w:spacing w:after="120"/>
        <w:jc w:val="both"/>
        <w:rPr>
          <w:rFonts w:ascii="Arial" w:eastAsia="Arial" w:hAnsi="Arial" w:cs="Arial"/>
          <w:szCs w:val="22"/>
          <w:lang w:val="es-PY"/>
        </w:rPr>
      </w:pPr>
      <w:r w:rsidRPr="00D72B3A">
        <w:rPr>
          <w:rFonts w:ascii="Arial" w:eastAsia="Arial" w:hAnsi="Arial" w:cs="Arial"/>
          <w:szCs w:val="22"/>
          <w:lang w:val="es-PY"/>
        </w:rPr>
        <w:t>Tanto los virus contaminantes externos como los residuos de virus utilizados durante la producción, tales como virus de producción y virus auxiliares, deberán ser controlados.</w:t>
      </w:r>
    </w:p>
    <w:p w:rsidR="009641F0" w:rsidRPr="00D72B3A" w:rsidRDefault="009641F0" w:rsidP="009641F0">
      <w:pPr>
        <w:spacing w:after="120"/>
        <w:jc w:val="both"/>
        <w:rPr>
          <w:rFonts w:ascii="Arial" w:eastAsia="Arial" w:hAnsi="Arial" w:cs="Arial"/>
          <w:i/>
          <w:szCs w:val="22"/>
          <w:lang w:val="es-PY"/>
        </w:rPr>
      </w:pPr>
      <w:r w:rsidRPr="00D72B3A">
        <w:rPr>
          <w:rFonts w:ascii="Arial" w:eastAsia="Arial" w:hAnsi="Arial" w:cs="Arial"/>
          <w:i/>
          <w:szCs w:val="22"/>
          <w:lang w:val="es-PY"/>
        </w:rPr>
        <w:t xml:space="preserve">Otros agentes </w:t>
      </w:r>
      <w:r w:rsidR="00A175DC">
        <w:rPr>
          <w:rFonts w:ascii="Arial" w:eastAsia="Arial" w:hAnsi="Arial" w:cs="Arial"/>
          <w:i/>
          <w:szCs w:val="22"/>
          <w:lang w:val="es-PY"/>
        </w:rPr>
        <w:t>extraños</w:t>
      </w:r>
    </w:p>
    <w:p w:rsidR="009641F0" w:rsidRDefault="009641F0" w:rsidP="009641F0">
      <w:pPr>
        <w:spacing w:after="120"/>
        <w:jc w:val="both"/>
        <w:rPr>
          <w:rFonts w:ascii="Arial" w:eastAsia="Arial" w:hAnsi="Arial" w:cs="Arial"/>
          <w:szCs w:val="22"/>
          <w:lang w:val="es-PY"/>
        </w:rPr>
      </w:pPr>
      <w:r w:rsidRPr="00D72B3A">
        <w:rPr>
          <w:rFonts w:ascii="Arial" w:eastAsia="Arial" w:hAnsi="Arial" w:cs="Arial"/>
          <w:szCs w:val="22"/>
          <w:lang w:val="es-PY"/>
        </w:rPr>
        <w:t>Deberá proporcionarse información detallada sobre otros agentes adventicios, como bacterias, micoplasma y hongos, en las secciones correspondientes del expediente.</w:t>
      </w:r>
    </w:p>
    <w:p w:rsidR="009641F0" w:rsidRPr="00056702" w:rsidRDefault="009641F0" w:rsidP="009641F0">
      <w:pPr>
        <w:spacing w:after="120"/>
        <w:jc w:val="both"/>
        <w:rPr>
          <w:rFonts w:ascii="Arial" w:eastAsia="Arial" w:hAnsi="Arial" w:cs="Arial"/>
          <w:b/>
          <w:i/>
          <w:szCs w:val="22"/>
          <w:lang w:val="es-PY"/>
        </w:rPr>
      </w:pPr>
      <w:r w:rsidRPr="00056702">
        <w:rPr>
          <w:rFonts w:ascii="Arial" w:eastAsia="Arial" w:hAnsi="Arial" w:cs="Arial"/>
          <w:b/>
          <w:i/>
          <w:szCs w:val="22"/>
          <w:lang w:val="es-PY"/>
        </w:rPr>
        <w:t>A.3. Excipientes</w:t>
      </w:r>
    </w:p>
    <w:p w:rsidR="009641F0" w:rsidRPr="00056702" w:rsidRDefault="009641F0" w:rsidP="009641F0">
      <w:pPr>
        <w:spacing w:after="120"/>
        <w:jc w:val="both"/>
        <w:rPr>
          <w:rFonts w:ascii="Arial" w:eastAsia="Arial" w:hAnsi="Arial" w:cs="Arial"/>
          <w:szCs w:val="22"/>
          <w:lang w:val="es-PY"/>
        </w:rPr>
      </w:pPr>
      <w:r w:rsidRPr="00056702">
        <w:rPr>
          <w:rFonts w:ascii="Arial" w:eastAsia="Arial" w:hAnsi="Arial" w:cs="Arial"/>
          <w:szCs w:val="22"/>
          <w:lang w:val="es-PY"/>
        </w:rPr>
        <w:t>Para los excipientes novedosos, deberá proporcionarse la información indicada en la sección P del CTD, en concordancia con la fase clínica correspondiente.</w:t>
      </w:r>
    </w:p>
    <w:p w:rsidR="009641F0" w:rsidRPr="00056702" w:rsidRDefault="009641F0" w:rsidP="009641F0">
      <w:pPr>
        <w:spacing w:after="120"/>
        <w:jc w:val="both"/>
        <w:rPr>
          <w:rFonts w:ascii="Arial" w:eastAsia="Arial" w:hAnsi="Arial" w:cs="Arial"/>
          <w:b/>
          <w:i/>
          <w:szCs w:val="22"/>
          <w:lang w:val="es-PY"/>
        </w:rPr>
      </w:pPr>
      <w:r w:rsidRPr="00056702">
        <w:rPr>
          <w:rFonts w:ascii="Arial" w:eastAsia="Arial" w:hAnsi="Arial" w:cs="Arial"/>
          <w:b/>
          <w:i/>
          <w:szCs w:val="22"/>
          <w:lang w:val="es-PY"/>
        </w:rPr>
        <w:t>A.4. Disolventes para la reconstitución y diluyentes</w:t>
      </w:r>
    </w:p>
    <w:p w:rsidR="009641F0" w:rsidRDefault="009641F0" w:rsidP="009641F0">
      <w:pPr>
        <w:spacing w:after="120"/>
        <w:jc w:val="both"/>
        <w:rPr>
          <w:rFonts w:ascii="Arial" w:eastAsia="Arial" w:hAnsi="Arial" w:cs="Arial"/>
          <w:szCs w:val="22"/>
          <w:lang w:val="es-PY"/>
        </w:rPr>
      </w:pPr>
      <w:r w:rsidRPr="00056702">
        <w:rPr>
          <w:rFonts w:ascii="Arial" w:eastAsia="Arial" w:hAnsi="Arial" w:cs="Arial"/>
          <w:szCs w:val="22"/>
          <w:lang w:val="es-PY"/>
        </w:rPr>
        <w:lastRenderedPageBreak/>
        <w:t>Para los disolventes destinados a la reconstitución y los diluyentes, deberá presentarse la información pertinente según lo indicado en la sección P del CTD, cuando corresponda.</w:t>
      </w:r>
    </w:p>
    <w:p w:rsidR="009641F0" w:rsidRPr="00353CFE" w:rsidRDefault="009641F0" w:rsidP="009641F0">
      <w:pPr>
        <w:spacing w:after="120"/>
        <w:jc w:val="both"/>
        <w:rPr>
          <w:rFonts w:ascii="Arial" w:eastAsia="Arial" w:hAnsi="Arial" w:cs="Arial"/>
          <w:i/>
          <w:szCs w:val="22"/>
          <w:lang w:val="es-PY"/>
        </w:rPr>
      </w:pPr>
      <w:r w:rsidRPr="00353CFE">
        <w:rPr>
          <w:rFonts w:ascii="Arial" w:eastAsia="Arial" w:hAnsi="Arial" w:cs="Arial"/>
          <w:i/>
          <w:szCs w:val="22"/>
          <w:lang w:val="es-PY"/>
        </w:rPr>
        <w:t>Información sobre la calidad de los productos de prueba y comparadores autorizados y no modificados en ensayos clínicos</w:t>
      </w:r>
    </w:p>
    <w:p w:rsidR="009641F0" w:rsidRPr="00353CFE" w:rsidRDefault="009641F0" w:rsidP="009641F0">
      <w:pPr>
        <w:spacing w:after="120"/>
        <w:jc w:val="both"/>
        <w:rPr>
          <w:rFonts w:ascii="Arial" w:eastAsia="Arial" w:hAnsi="Arial" w:cs="Arial"/>
          <w:szCs w:val="22"/>
          <w:lang w:val="es-PY"/>
        </w:rPr>
      </w:pPr>
      <w:r w:rsidRPr="00353CFE">
        <w:rPr>
          <w:rFonts w:ascii="Arial" w:eastAsia="Arial" w:hAnsi="Arial" w:cs="Arial"/>
          <w:szCs w:val="22"/>
          <w:lang w:val="es-PY"/>
        </w:rPr>
        <w:t xml:space="preserve">Para los productos de prueba y comparadores que se utilicen en ensayos clínicos y que ya hayan sido </w:t>
      </w:r>
      <w:r w:rsidRPr="00952F80">
        <w:rPr>
          <w:rFonts w:ascii="Arial" w:eastAsia="Arial" w:hAnsi="Arial" w:cs="Arial"/>
          <w:szCs w:val="22"/>
          <w:lang w:val="es-PY"/>
        </w:rPr>
        <w:t xml:space="preserve">autorizados </w:t>
      </w:r>
      <w:r w:rsidR="00952F80" w:rsidRPr="00952F80">
        <w:rPr>
          <w:rFonts w:ascii="Arial" w:eastAsia="Arial" w:hAnsi="Arial" w:cs="Arial"/>
          <w:szCs w:val="22"/>
          <w:lang w:val="es-PY"/>
        </w:rPr>
        <w:t>en países con agencias reguladoras de referencia</w:t>
      </w:r>
      <w:r w:rsidRPr="00353CFE">
        <w:rPr>
          <w:rFonts w:ascii="Arial" w:eastAsia="Arial" w:hAnsi="Arial" w:cs="Arial"/>
          <w:szCs w:val="22"/>
          <w:lang w:val="es-PY"/>
        </w:rPr>
        <w:t>, será suficiente proporcionar el nombre del titular de la autorización de comercialización (MA-</w:t>
      </w:r>
      <w:proofErr w:type="spellStart"/>
      <w:r w:rsidRPr="00353CFE">
        <w:rPr>
          <w:rFonts w:ascii="Arial" w:eastAsia="Arial" w:hAnsi="Arial" w:cs="Arial"/>
          <w:szCs w:val="22"/>
          <w:lang w:val="es-PY"/>
        </w:rPr>
        <w:t>holder</w:t>
      </w:r>
      <w:proofErr w:type="spellEnd"/>
      <w:r w:rsidRPr="00353CFE">
        <w:rPr>
          <w:rFonts w:ascii="Arial" w:eastAsia="Arial" w:hAnsi="Arial" w:cs="Arial"/>
          <w:szCs w:val="22"/>
          <w:lang w:val="es-PY"/>
        </w:rPr>
        <w:t>) y el número de autorización de comercialización (MA-</w:t>
      </w:r>
      <w:proofErr w:type="spellStart"/>
      <w:r w:rsidRPr="00353CFE">
        <w:rPr>
          <w:rFonts w:ascii="Arial" w:eastAsia="Arial" w:hAnsi="Arial" w:cs="Arial"/>
          <w:szCs w:val="22"/>
          <w:lang w:val="es-PY"/>
        </w:rPr>
        <w:t>number</w:t>
      </w:r>
      <w:proofErr w:type="spellEnd"/>
      <w:r w:rsidRPr="00353CFE">
        <w:rPr>
          <w:rFonts w:ascii="Arial" w:eastAsia="Arial" w:hAnsi="Arial" w:cs="Arial"/>
          <w:szCs w:val="22"/>
          <w:lang w:val="es-PY"/>
        </w:rPr>
        <w:t xml:space="preserve">) como prueba de la existencia de dicha autorización, incluyendo una copia del </w:t>
      </w:r>
      <w:r>
        <w:rPr>
          <w:rFonts w:ascii="Arial" w:eastAsia="Arial" w:hAnsi="Arial" w:cs="Arial"/>
          <w:szCs w:val="22"/>
          <w:lang w:val="es-PY"/>
        </w:rPr>
        <w:t>Resumen de Características del Producto</w:t>
      </w:r>
      <w:r w:rsidRPr="00353CFE">
        <w:rPr>
          <w:rFonts w:ascii="Arial" w:eastAsia="Arial" w:hAnsi="Arial" w:cs="Arial"/>
          <w:szCs w:val="22"/>
          <w:lang w:val="es-PY"/>
        </w:rPr>
        <w:t xml:space="preserve"> o su equivalente.</w:t>
      </w:r>
    </w:p>
    <w:p w:rsidR="009641F0" w:rsidRPr="00353CFE" w:rsidRDefault="009641F0" w:rsidP="009641F0">
      <w:pPr>
        <w:spacing w:after="120"/>
        <w:jc w:val="both"/>
        <w:rPr>
          <w:rFonts w:ascii="Arial" w:eastAsia="Arial" w:hAnsi="Arial" w:cs="Arial"/>
          <w:szCs w:val="22"/>
          <w:lang w:val="es-PY"/>
        </w:rPr>
      </w:pPr>
      <w:r w:rsidRPr="00353CFE">
        <w:rPr>
          <w:rFonts w:ascii="Arial" w:eastAsia="Arial" w:hAnsi="Arial" w:cs="Arial"/>
          <w:szCs w:val="22"/>
          <w:lang w:val="es-PY"/>
        </w:rPr>
        <w:t>El solicitante o patrocinador del ensayo clínico debe garantizar que el medicamento en investigación sea estable al menos durante la duración prevista del ensayo clínico en el que se utilizará. Para los productos autorizados y no modificados, será suficiente declarar que se utilizará la fecha de caducidad asignada por el fabricante.</w:t>
      </w:r>
    </w:p>
    <w:p w:rsidR="009641F0" w:rsidRPr="00353CFE" w:rsidRDefault="009641F0" w:rsidP="009641F0">
      <w:pPr>
        <w:spacing w:after="120"/>
        <w:jc w:val="both"/>
        <w:rPr>
          <w:rFonts w:ascii="Arial" w:eastAsia="Arial" w:hAnsi="Arial" w:cs="Arial"/>
          <w:szCs w:val="22"/>
          <w:lang w:val="es-PY"/>
        </w:rPr>
      </w:pPr>
      <w:r w:rsidRPr="00353CFE">
        <w:rPr>
          <w:rFonts w:ascii="Arial" w:eastAsia="Arial" w:hAnsi="Arial" w:cs="Arial"/>
          <w:szCs w:val="22"/>
          <w:lang w:val="es-PY"/>
        </w:rPr>
        <w:t xml:space="preserve">En el caso de que solo se realice un reempaquetado sin modificar el envase primario, deberá incluirse la siguiente información en el </w:t>
      </w:r>
      <w:r w:rsidR="00952F80">
        <w:rPr>
          <w:rFonts w:ascii="Arial" w:eastAsia="Arial" w:hAnsi="Arial" w:cs="Arial"/>
          <w:szCs w:val="22"/>
          <w:lang w:val="es-PY"/>
        </w:rPr>
        <w:t>expediente del producto en investigación</w:t>
      </w:r>
      <w:r w:rsidRPr="00353CFE">
        <w:rPr>
          <w:rFonts w:ascii="Arial" w:eastAsia="Arial" w:hAnsi="Arial" w:cs="Arial"/>
          <w:szCs w:val="22"/>
          <w:lang w:val="es-PY"/>
        </w:rPr>
        <w:t xml:space="preserve"> simplificado:</w:t>
      </w:r>
    </w:p>
    <w:p w:rsidR="009641F0" w:rsidRPr="00353CFE"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353CFE">
        <w:rPr>
          <w:rFonts w:ascii="Arial" w:eastAsia="Arial" w:hAnsi="Arial" w:cs="Arial"/>
          <w:szCs w:val="22"/>
          <w:lang w:val="es-PY"/>
        </w:rPr>
        <w:t>Información que satisfaga el requisito de garantizar que el medicamento en investigación tenga la identidad, potencia, calidad y pureza adecuadas.</w:t>
      </w:r>
    </w:p>
    <w:p w:rsidR="009641F0"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353CFE">
        <w:rPr>
          <w:rFonts w:ascii="Arial" w:eastAsia="Arial" w:hAnsi="Arial" w:cs="Arial"/>
          <w:szCs w:val="22"/>
          <w:lang w:val="es-PY"/>
        </w:rPr>
        <w:t>Detalles sobre el lugar donde se realizan las operaciones de reempaquetado/etiquetado.</w:t>
      </w:r>
    </w:p>
    <w:p w:rsidR="009641F0" w:rsidRPr="009A7659" w:rsidRDefault="009641F0" w:rsidP="009641F0">
      <w:pPr>
        <w:spacing w:after="120"/>
        <w:jc w:val="both"/>
        <w:rPr>
          <w:rFonts w:ascii="Arial" w:eastAsia="Arial" w:hAnsi="Arial" w:cs="Arial"/>
          <w:i/>
          <w:szCs w:val="22"/>
          <w:lang w:val="es-PY"/>
        </w:rPr>
      </w:pPr>
      <w:r w:rsidRPr="009A7659">
        <w:rPr>
          <w:rFonts w:ascii="Arial" w:eastAsia="Arial" w:hAnsi="Arial" w:cs="Arial"/>
          <w:i/>
          <w:szCs w:val="22"/>
          <w:lang w:val="es-PY"/>
        </w:rPr>
        <w:t>Información sobre la calidad de los productos comparadores autorizados modificados en ensayos clínicos</w:t>
      </w:r>
    </w:p>
    <w:p w:rsidR="009641F0" w:rsidRPr="009A7659" w:rsidRDefault="009641F0" w:rsidP="009641F0">
      <w:pPr>
        <w:spacing w:after="120"/>
        <w:jc w:val="both"/>
        <w:rPr>
          <w:rFonts w:ascii="Arial" w:eastAsia="Arial" w:hAnsi="Arial" w:cs="Arial"/>
          <w:szCs w:val="22"/>
          <w:lang w:val="es-PY"/>
        </w:rPr>
      </w:pPr>
      <w:r w:rsidRPr="009A7659">
        <w:rPr>
          <w:rFonts w:ascii="Arial" w:eastAsia="Arial" w:hAnsi="Arial" w:cs="Arial"/>
          <w:szCs w:val="22"/>
          <w:lang w:val="es-PY"/>
        </w:rPr>
        <w:t xml:space="preserve">La información relativa al producto de prueba/comparador autorizado y modificado, incluida en el </w:t>
      </w:r>
      <w:r w:rsidR="00952F80">
        <w:rPr>
          <w:rFonts w:ascii="Arial" w:eastAsia="Arial" w:hAnsi="Arial" w:cs="Arial"/>
          <w:szCs w:val="22"/>
          <w:lang w:val="es-PY"/>
        </w:rPr>
        <w:t>expediente del producto en investigación</w:t>
      </w:r>
      <w:r w:rsidRPr="009A7659">
        <w:rPr>
          <w:rFonts w:ascii="Arial" w:eastAsia="Arial" w:hAnsi="Arial" w:cs="Arial"/>
          <w:szCs w:val="22"/>
          <w:lang w:val="es-PY"/>
        </w:rPr>
        <w:t xml:space="preserve">, deberá cumplir con los requisitos establecidos en las guías </w:t>
      </w:r>
      <w:r w:rsidR="00952F80">
        <w:rPr>
          <w:rFonts w:ascii="Arial" w:eastAsia="Arial" w:hAnsi="Arial" w:cs="Arial"/>
          <w:szCs w:val="22"/>
          <w:lang w:val="es-PY"/>
        </w:rPr>
        <w:t xml:space="preserve">internacionales </w:t>
      </w:r>
      <w:r w:rsidRPr="009A7659">
        <w:rPr>
          <w:rFonts w:ascii="Arial" w:eastAsia="Arial" w:hAnsi="Arial" w:cs="Arial"/>
          <w:szCs w:val="22"/>
          <w:lang w:val="es-PY"/>
        </w:rPr>
        <w:t>aplicables para medicamentos de terapias avanzadas (</w:t>
      </w:r>
      <w:proofErr w:type="spellStart"/>
      <w:r w:rsidRPr="009A7659">
        <w:rPr>
          <w:rFonts w:ascii="Arial" w:eastAsia="Arial" w:hAnsi="Arial" w:cs="Arial"/>
          <w:szCs w:val="22"/>
          <w:lang w:val="es-PY"/>
        </w:rPr>
        <w:t>ATMPs</w:t>
      </w:r>
      <w:proofErr w:type="spellEnd"/>
      <w:r w:rsidRPr="009A7659">
        <w:rPr>
          <w:rFonts w:ascii="Arial" w:eastAsia="Arial" w:hAnsi="Arial" w:cs="Arial"/>
          <w:szCs w:val="22"/>
          <w:lang w:val="es-PY"/>
        </w:rPr>
        <w:t>).</w:t>
      </w:r>
    </w:p>
    <w:p w:rsidR="009641F0" w:rsidRDefault="009641F0" w:rsidP="009641F0">
      <w:pPr>
        <w:spacing w:after="120"/>
        <w:jc w:val="both"/>
        <w:rPr>
          <w:rFonts w:ascii="Arial" w:eastAsia="Arial" w:hAnsi="Arial" w:cs="Arial"/>
          <w:szCs w:val="22"/>
          <w:lang w:val="es-PY"/>
        </w:rPr>
      </w:pPr>
      <w:r w:rsidRPr="009A7659">
        <w:rPr>
          <w:rFonts w:ascii="Arial" w:eastAsia="Arial" w:hAnsi="Arial" w:cs="Arial"/>
          <w:szCs w:val="22"/>
          <w:lang w:val="es-PY"/>
        </w:rPr>
        <w:t>Las secciones que no se vean afectadas por la modificación podrán hacer referencia cruzada al producto autorizado original.</w:t>
      </w:r>
    </w:p>
    <w:p w:rsidR="009641F0" w:rsidRPr="00285A6C" w:rsidRDefault="009641F0" w:rsidP="009641F0">
      <w:pPr>
        <w:spacing w:after="120"/>
        <w:jc w:val="both"/>
        <w:rPr>
          <w:rFonts w:ascii="Arial" w:eastAsia="Arial" w:hAnsi="Arial" w:cs="Arial"/>
          <w:i/>
          <w:szCs w:val="22"/>
          <w:lang w:val="es-PY"/>
        </w:rPr>
      </w:pPr>
      <w:r w:rsidRPr="00285A6C">
        <w:rPr>
          <w:rFonts w:ascii="Arial" w:eastAsia="Arial" w:hAnsi="Arial" w:cs="Arial"/>
          <w:i/>
          <w:szCs w:val="22"/>
          <w:lang w:val="es-PY"/>
        </w:rPr>
        <w:t>Información sobre la calidad química y farmacéutica relativa a los productos placebo en ensayos clínicos</w:t>
      </w:r>
    </w:p>
    <w:p w:rsidR="009641F0" w:rsidRDefault="009641F0" w:rsidP="009641F0">
      <w:pPr>
        <w:spacing w:after="120"/>
        <w:jc w:val="both"/>
        <w:rPr>
          <w:rFonts w:ascii="Arial" w:eastAsia="Arial" w:hAnsi="Arial" w:cs="Arial"/>
          <w:szCs w:val="22"/>
          <w:lang w:val="es-PY"/>
        </w:rPr>
      </w:pPr>
      <w:r w:rsidRPr="00285A6C">
        <w:rPr>
          <w:rFonts w:ascii="Arial" w:eastAsia="Arial" w:hAnsi="Arial" w:cs="Arial"/>
          <w:szCs w:val="22"/>
          <w:lang w:val="es-PY"/>
        </w:rPr>
        <w:lastRenderedPageBreak/>
        <w:t xml:space="preserve">La información sobre el producto placebo que debe incluirse en el </w:t>
      </w:r>
      <w:r w:rsidR="00952F80">
        <w:rPr>
          <w:rFonts w:ascii="Arial" w:eastAsia="Arial" w:hAnsi="Arial" w:cs="Arial"/>
          <w:szCs w:val="22"/>
          <w:lang w:val="es-PY"/>
        </w:rPr>
        <w:t xml:space="preserve">expediente del producto en investigación y </w:t>
      </w:r>
      <w:r w:rsidRPr="00285A6C">
        <w:rPr>
          <w:rFonts w:ascii="Arial" w:eastAsia="Arial" w:hAnsi="Arial" w:cs="Arial"/>
          <w:szCs w:val="22"/>
          <w:lang w:val="es-PY"/>
        </w:rPr>
        <w:t>deberá cumplir con los requisitos de la documentación de calidad química y farmacéutica relativa a los medicamentos en investigación en ensayos clínicos.</w:t>
      </w:r>
    </w:p>
    <w:p w:rsidR="009641F0" w:rsidRPr="00166E21" w:rsidRDefault="009641F0" w:rsidP="009641F0">
      <w:pPr>
        <w:spacing w:after="120"/>
        <w:jc w:val="both"/>
        <w:rPr>
          <w:rFonts w:ascii="Arial" w:eastAsia="Arial" w:hAnsi="Arial" w:cs="Arial"/>
          <w:i/>
          <w:szCs w:val="22"/>
          <w:lang w:val="es-PY"/>
        </w:rPr>
      </w:pPr>
      <w:r w:rsidRPr="00166E21">
        <w:rPr>
          <w:rFonts w:ascii="Arial" w:eastAsia="Arial" w:hAnsi="Arial" w:cs="Arial"/>
          <w:i/>
          <w:szCs w:val="22"/>
          <w:lang w:val="es-PY"/>
        </w:rPr>
        <w:t>Cambios en el medicamento en investigación y en el medicamento auxiliar con necesidad de solicitar una modificación sustancial al IMPD</w:t>
      </w:r>
    </w:p>
    <w:p w:rsidR="009641F0" w:rsidRPr="008B5F7E" w:rsidRDefault="009641F0" w:rsidP="009641F0">
      <w:pPr>
        <w:spacing w:after="120"/>
        <w:jc w:val="both"/>
        <w:rPr>
          <w:rFonts w:ascii="Arial" w:eastAsia="Arial" w:hAnsi="Arial" w:cs="Arial"/>
          <w:szCs w:val="22"/>
          <w:lang w:val="es-PY"/>
        </w:rPr>
      </w:pPr>
      <w:r w:rsidRPr="008B5F7E">
        <w:rPr>
          <w:rFonts w:ascii="Arial" w:eastAsia="Arial" w:hAnsi="Arial" w:cs="Arial"/>
          <w:szCs w:val="22"/>
          <w:lang w:val="es-PY"/>
        </w:rPr>
        <w:t>De conformidad con las Buenas Prácticas de Fabricación (GMP), deberá mantenerse un Archivo de Especificaciones del Producto para cada medicamento en investigación y para cada medicamento auxiliar en el sitio correspondiente, el cual deberá actualizarse continuamente conforme avance el desarrollo del producto, garantizando la trazabilidad adecuada respecto de las versiones anteriores.</w:t>
      </w:r>
    </w:p>
    <w:p w:rsidR="009641F0" w:rsidRPr="008B5F7E" w:rsidRDefault="00407794" w:rsidP="009641F0">
      <w:pPr>
        <w:spacing w:after="120"/>
        <w:jc w:val="both"/>
        <w:rPr>
          <w:rFonts w:ascii="Arial" w:eastAsia="Arial" w:hAnsi="Arial" w:cs="Arial"/>
          <w:szCs w:val="22"/>
          <w:lang w:val="es-PY"/>
        </w:rPr>
      </w:pPr>
      <w:r>
        <w:rPr>
          <w:rFonts w:ascii="Arial" w:eastAsia="Arial" w:hAnsi="Arial" w:cs="Arial"/>
          <w:szCs w:val="22"/>
          <w:lang w:val="es-PY"/>
        </w:rPr>
        <w:t>Los</w:t>
      </w:r>
      <w:r w:rsidR="009641F0" w:rsidRPr="008B5F7E">
        <w:rPr>
          <w:rFonts w:ascii="Arial" w:eastAsia="Arial" w:hAnsi="Arial" w:cs="Arial"/>
          <w:szCs w:val="22"/>
          <w:lang w:val="es-PY"/>
        </w:rPr>
        <w:t xml:space="preserve"> cambio</w:t>
      </w:r>
      <w:r>
        <w:rPr>
          <w:rFonts w:ascii="Arial" w:eastAsia="Arial" w:hAnsi="Arial" w:cs="Arial"/>
          <w:szCs w:val="22"/>
          <w:lang w:val="es-PY"/>
        </w:rPr>
        <w:t>s</w:t>
      </w:r>
      <w:r w:rsidR="009641F0" w:rsidRPr="008B5F7E">
        <w:rPr>
          <w:rFonts w:ascii="Arial" w:eastAsia="Arial" w:hAnsi="Arial" w:cs="Arial"/>
          <w:szCs w:val="22"/>
          <w:lang w:val="es-PY"/>
        </w:rPr>
        <w:t xml:space="preserve"> en los datos de calidad de un </w:t>
      </w:r>
      <w:r>
        <w:rPr>
          <w:rFonts w:ascii="Arial" w:eastAsia="Arial" w:hAnsi="Arial" w:cs="Arial"/>
          <w:szCs w:val="22"/>
          <w:lang w:val="es-PY"/>
        </w:rPr>
        <w:t>producto en investigación</w:t>
      </w:r>
      <w:r w:rsidR="009641F0" w:rsidRPr="008B5F7E">
        <w:rPr>
          <w:rFonts w:ascii="Arial" w:eastAsia="Arial" w:hAnsi="Arial" w:cs="Arial"/>
          <w:szCs w:val="22"/>
          <w:lang w:val="es-PY"/>
        </w:rPr>
        <w:t xml:space="preserve"> o de un medicamento auxiliar</w:t>
      </w:r>
      <w:r>
        <w:rPr>
          <w:rFonts w:ascii="Arial" w:eastAsia="Arial" w:hAnsi="Arial" w:cs="Arial"/>
          <w:szCs w:val="22"/>
          <w:lang w:val="es-PY"/>
        </w:rPr>
        <w:t xml:space="preserve"> están sujetos a la normativa vigente referente a ensayos clínicos y</w:t>
      </w:r>
      <w:r w:rsidR="009641F0" w:rsidRPr="008B5F7E">
        <w:rPr>
          <w:rFonts w:ascii="Arial" w:eastAsia="Arial" w:hAnsi="Arial" w:cs="Arial"/>
          <w:szCs w:val="22"/>
          <w:lang w:val="es-PY"/>
        </w:rPr>
        <w:t xml:space="preserve"> puede clasificarse como:</w:t>
      </w:r>
    </w:p>
    <w:p w:rsidR="009641F0" w:rsidRPr="008B5F7E"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8B5F7E">
        <w:rPr>
          <w:rFonts w:ascii="Arial" w:eastAsia="Arial" w:hAnsi="Arial" w:cs="Arial"/>
          <w:szCs w:val="22"/>
          <w:lang w:val="es-PY"/>
        </w:rPr>
        <w:t>Modificación sustancial.</w:t>
      </w:r>
    </w:p>
    <w:p w:rsidR="009641F0" w:rsidRPr="008B5F7E"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8B5F7E">
        <w:rPr>
          <w:rFonts w:ascii="Arial" w:eastAsia="Arial" w:hAnsi="Arial" w:cs="Arial"/>
          <w:szCs w:val="22"/>
          <w:lang w:val="es-PY"/>
        </w:rPr>
        <w:t>Cambio relevante para la supervisión del ensayo.</w:t>
      </w:r>
    </w:p>
    <w:p w:rsidR="009641F0" w:rsidRPr="008B5F7E" w:rsidRDefault="009641F0" w:rsidP="009641F0">
      <w:pPr>
        <w:spacing w:after="120"/>
        <w:jc w:val="both"/>
        <w:rPr>
          <w:rFonts w:ascii="Arial" w:eastAsia="Arial" w:hAnsi="Arial" w:cs="Arial"/>
          <w:szCs w:val="22"/>
          <w:lang w:val="es-PY"/>
        </w:rPr>
      </w:pPr>
      <w:r>
        <w:rPr>
          <w:rFonts w:ascii="Arial" w:eastAsia="Arial" w:hAnsi="Arial" w:cs="Arial"/>
          <w:szCs w:val="22"/>
          <w:lang w:val="es-PY"/>
        </w:rPr>
        <w:t>-</w:t>
      </w:r>
      <w:r w:rsidRPr="008B5F7E">
        <w:rPr>
          <w:rFonts w:ascii="Arial" w:eastAsia="Arial" w:hAnsi="Arial" w:cs="Arial"/>
          <w:szCs w:val="22"/>
          <w:lang w:val="es-PY"/>
        </w:rPr>
        <w:t>Modificación no sustancial (cambios fuera del alcance de las modificaciones sustanciales y cambios irrelevantes para la supervisión del ensayo).</w:t>
      </w:r>
    </w:p>
    <w:p w:rsidR="009641F0" w:rsidRPr="008B5F7E" w:rsidRDefault="009641F0" w:rsidP="009641F0">
      <w:pPr>
        <w:spacing w:after="120"/>
        <w:jc w:val="both"/>
        <w:rPr>
          <w:rFonts w:ascii="Arial" w:eastAsia="Arial" w:hAnsi="Arial" w:cs="Arial"/>
          <w:szCs w:val="22"/>
          <w:lang w:val="es-PY"/>
        </w:rPr>
      </w:pPr>
      <w:r w:rsidRPr="008B5F7E">
        <w:rPr>
          <w:rFonts w:ascii="Arial" w:eastAsia="Arial" w:hAnsi="Arial" w:cs="Arial"/>
          <w:szCs w:val="22"/>
          <w:lang w:val="es-PY"/>
        </w:rPr>
        <w:t xml:space="preserve">Una modificación sustancial se entiende como cualquier cambio que pueda tener un impacto significativo en la seguridad y los derechos de los sujetos o en la fiabilidad y solidez de los datos generados en el ensayo clínico. La evaluación de un </w:t>
      </w:r>
      <w:r w:rsidR="00407794">
        <w:rPr>
          <w:rFonts w:ascii="Arial" w:eastAsia="Arial" w:hAnsi="Arial" w:cs="Arial"/>
          <w:szCs w:val="22"/>
          <w:lang w:val="es-PY"/>
        </w:rPr>
        <w:t>expediente de producto en investigación</w:t>
      </w:r>
      <w:r w:rsidRPr="008B5F7E">
        <w:rPr>
          <w:rFonts w:ascii="Arial" w:eastAsia="Arial" w:hAnsi="Arial" w:cs="Arial"/>
          <w:szCs w:val="22"/>
          <w:lang w:val="es-PY"/>
        </w:rPr>
        <w:t xml:space="preserve"> debe centrarse en la seguridad del paciente. Por lo tanto, cualquier modificación que implique un riesgo potencial nuevo debe considerarse una modificación sustancial. Esto aplica especialmente en casos de cambios en el perfil de impurezas, contaminación microbiana, seguridad viral, riesgo de contaminación por TSE (encefalopatías espongiformes transmisibles), o en determinados casos de estabilidad cuando puedan generarse productos de degradación de interés.</w:t>
      </w:r>
    </w:p>
    <w:p w:rsidR="009641F0" w:rsidRPr="008B5F7E" w:rsidRDefault="009641F0" w:rsidP="009641F0">
      <w:pPr>
        <w:spacing w:after="120"/>
        <w:jc w:val="both"/>
        <w:rPr>
          <w:rFonts w:ascii="Arial" w:eastAsia="Arial" w:hAnsi="Arial" w:cs="Arial"/>
          <w:szCs w:val="22"/>
          <w:lang w:val="es-PY"/>
        </w:rPr>
      </w:pPr>
      <w:r w:rsidRPr="008B5F7E">
        <w:rPr>
          <w:rFonts w:ascii="Arial" w:eastAsia="Arial" w:hAnsi="Arial" w:cs="Arial"/>
          <w:szCs w:val="22"/>
          <w:lang w:val="es-PY"/>
        </w:rPr>
        <w:t xml:space="preserve">Las modificaciones no sustanciales relevantes para la supervisión del ensayo </w:t>
      </w:r>
      <w:r w:rsidR="00407794">
        <w:rPr>
          <w:rFonts w:ascii="Arial" w:eastAsia="Arial" w:hAnsi="Arial" w:cs="Arial"/>
          <w:szCs w:val="22"/>
          <w:lang w:val="es-PY"/>
        </w:rPr>
        <w:t>deben informarse</w:t>
      </w:r>
      <w:r w:rsidRPr="008B5F7E">
        <w:rPr>
          <w:rFonts w:ascii="Arial" w:eastAsia="Arial" w:hAnsi="Arial" w:cs="Arial"/>
          <w:szCs w:val="22"/>
          <w:lang w:val="es-PY"/>
        </w:rPr>
        <w:t xml:space="preserve"> sin necesidad de presentar una solicitud de modificación sustancial, cuando dicha información es necesaria para la </w:t>
      </w:r>
      <w:proofErr w:type="gramStart"/>
      <w:r w:rsidRPr="008B5F7E">
        <w:rPr>
          <w:rFonts w:ascii="Arial" w:eastAsia="Arial" w:hAnsi="Arial" w:cs="Arial"/>
          <w:szCs w:val="22"/>
          <w:lang w:val="es-PY"/>
        </w:rPr>
        <w:t>supervisión</w:t>
      </w:r>
      <w:proofErr w:type="gramEnd"/>
      <w:r w:rsidRPr="008B5F7E">
        <w:rPr>
          <w:rFonts w:ascii="Arial" w:eastAsia="Arial" w:hAnsi="Arial" w:cs="Arial"/>
          <w:szCs w:val="22"/>
          <w:lang w:val="es-PY"/>
        </w:rPr>
        <w:t xml:space="preserve"> pero no tiene un impacto significativo en la seguridad y derechos de los pacientes ni en la solidez de los datos. </w:t>
      </w:r>
    </w:p>
    <w:p w:rsidR="009641F0" w:rsidRPr="008B5F7E" w:rsidRDefault="009641F0" w:rsidP="009641F0">
      <w:pPr>
        <w:spacing w:after="120"/>
        <w:jc w:val="both"/>
        <w:rPr>
          <w:rFonts w:ascii="Arial" w:eastAsia="Arial" w:hAnsi="Arial" w:cs="Arial"/>
          <w:szCs w:val="22"/>
          <w:lang w:val="es-PY"/>
        </w:rPr>
      </w:pPr>
      <w:r w:rsidRPr="008B5F7E">
        <w:rPr>
          <w:rFonts w:ascii="Arial" w:eastAsia="Arial" w:hAnsi="Arial" w:cs="Arial"/>
          <w:szCs w:val="22"/>
          <w:lang w:val="es-PY"/>
        </w:rPr>
        <w:lastRenderedPageBreak/>
        <w:t xml:space="preserve">Para las modificaciones no sustanciales, la documentación no debe presentarse de manera proactiva, pero la documentación interna y del estudio que respalde el cambio debe registrarse dentro del desarrollador y, cuando corresponda, en el sitio del investigador. En el momento de una actualización general del </w:t>
      </w:r>
      <w:r w:rsidR="00407794">
        <w:rPr>
          <w:rFonts w:ascii="Arial" w:eastAsia="Arial" w:hAnsi="Arial" w:cs="Arial"/>
          <w:szCs w:val="22"/>
          <w:lang w:val="es-PY"/>
        </w:rPr>
        <w:t>expediente del producto en investigación</w:t>
      </w:r>
      <w:r w:rsidRPr="008B5F7E">
        <w:rPr>
          <w:rFonts w:ascii="Arial" w:eastAsia="Arial" w:hAnsi="Arial" w:cs="Arial"/>
          <w:szCs w:val="22"/>
          <w:lang w:val="es-PY"/>
        </w:rPr>
        <w:t xml:space="preserve"> o de la presentación de una modificación sustancial, los cambios no sustanciales deberán incorporarse a la documentación actualizada. Sin embargo, al presentar un </w:t>
      </w:r>
      <w:r w:rsidR="00407794">
        <w:rPr>
          <w:rFonts w:ascii="Arial" w:eastAsia="Arial" w:hAnsi="Arial" w:cs="Arial"/>
          <w:szCs w:val="22"/>
          <w:lang w:val="es-PY"/>
        </w:rPr>
        <w:t>expediente de producto en investigación</w:t>
      </w:r>
      <w:r w:rsidRPr="008B5F7E">
        <w:rPr>
          <w:rFonts w:ascii="Arial" w:eastAsia="Arial" w:hAnsi="Arial" w:cs="Arial"/>
          <w:szCs w:val="22"/>
          <w:lang w:val="es-PY"/>
        </w:rPr>
        <w:t xml:space="preserve"> modificado, el patrocinador deberá identificar claramente cuáles modificaciones son sustanciales y cuáles no lo son.</w:t>
      </w:r>
    </w:p>
    <w:p w:rsidR="009641F0" w:rsidRDefault="009641F0" w:rsidP="009641F0">
      <w:pPr>
        <w:spacing w:after="120"/>
        <w:jc w:val="both"/>
        <w:rPr>
          <w:rFonts w:ascii="Arial" w:eastAsia="Arial" w:hAnsi="Arial" w:cs="Arial"/>
          <w:szCs w:val="22"/>
          <w:lang w:val="es-PY"/>
        </w:rPr>
      </w:pPr>
      <w:r w:rsidRPr="008B5F7E">
        <w:rPr>
          <w:rFonts w:ascii="Arial" w:eastAsia="Arial" w:hAnsi="Arial" w:cs="Arial"/>
          <w:szCs w:val="22"/>
          <w:lang w:val="es-PY"/>
        </w:rPr>
        <w:t xml:space="preserve">Cuando una modificación entre en vigor con el inicio de un nuevo ensayo clínico (por ejemplo, cambio de nombre del </w:t>
      </w:r>
      <w:r w:rsidR="00407794">
        <w:rPr>
          <w:rFonts w:ascii="Arial" w:eastAsia="Arial" w:hAnsi="Arial" w:cs="Arial"/>
          <w:szCs w:val="22"/>
          <w:lang w:val="es-PY"/>
        </w:rPr>
        <w:t>producto en investigación</w:t>
      </w:r>
      <w:r w:rsidRPr="008B5F7E">
        <w:rPr>
          <w:rFonts w:ascii="Arial" w:eastAsia="Arial" w:hAnsi="Arial" w:cs="Arial"/>
          <w:szCs w:val="22"/>
          <w:lang w:val="es-PY"/>
        </w:rPr>
        <w:t>, nuevo proceso de fabricación), la notificación se realizará junto con la solicitud del nuevo ensayo. Las presentaciones de modificaciones sustanciales sólo son necesarias para cambios en ensayos clínicos en curso (es decir, posteriores al momento de la aprobación).</w:t>
      </w:r>
    </w:p>
    <w:p w:rsidR="005371BF" w:rsidRPr="006323E9" w:rsidRDefault="005371BF" w:rsidP="006047DD">
      <w:pPr>
        <w:spacing w:after="120"/>
        <w:jc w:val="both"/>
        <w:rPr>
          <w:rFonts w:ascii="Arial" w:eastAsia="Arial" w:hAnsi="Arial" w:cs="Arial"/>
          <w:szCs w:val="22"/>
        </w:rPr>
      </w:pPr>
    </w:p>
    <w:p w:rsidR="000F7FBD" w:rsidRPr="00266D64" w:rsidRDefault="00266D64" w:rsidP="000F7FBD">
      <w:pPr>
        <w:spacing w:after="120"/>
        <w:jc w:val="both"/>
        <w:rPr>
          <w:rFonts w:ascii="Arial" w:eastAsia="Arial" w:hAnsi="Arial" w:cs="Arial"/>
          <w:b/>
          <w:i/>
          <w:szCs w:val="22"/>
          <w:lang w:val="es-PY"/>
        </w:rPr>
      </w:pPr>
      <w:r w:rsidRPr="00266D64">
        <w:rPr>
          <w:rFonts w:ascii="Arial" w:eastAsia="Arial" w:hAnsi="Arial" w:cs="Arial"/>
          <w:b/>
          <w:i/>
          <w:szCs w:val="22"/>
          <w:lang w:val="es-PY"/>
        </w:rPr>
        <w:t>7</w:t>
      </w:r>
      <w:r w:rsidR="000F7FBD" w:rsidRPr="00266D64">
        <w:rPr>
          <w:rFonts w:ascii="Arial" w:eastAsia="Arial" w:hAnsi="Arial" w:cs="Arial"/>
          <w:b/>
          <w:i/>
          <w:szCs w:val="22"/>
          <w:lang w:val="es-PY"/>
        </w:rPr>
        <w:t>. Documentación no clínica</w:t>
      </w:r>
    </w:p>
    <w:p w:rsidR="000F7FBD" w:rsidRPr="000F7FBD" w:rsidRDefault="00266D64" w:rsidP="000F7FBD">
      <w:pPr>
        <w:spacing w:after="120"/>
        <w:jc w:val="both"/>
        <w:rPr>
          <w:rFonts w:ascii="Arial" w:eastAsia="Arial" w:hAnsi="Arial" w:cs="Arial"/>
          <w:b/>
          <w:i/>
          <w:szCs w:val="22"/>
          <w:lang w:val="es-PY"/>
        </w:rPr>
      </w:pPr>
      <w:r w:rsidRPr="00266D64">
        <w:rPr>
          <w:rFonts w:ascii="Arial" w:eastAsia="Arial" w:hAnsi="Arial" w:cs="Arial"/>
          <w:b/>
          <w:i/>
          <w:szCs w:val="22"/>
          <w:lang w:val="es-PY"/>
        </w:rPr>
        <w:t>7</w:t>
      </w:r>
      <w:r w:rsidR="000F7FBD" w:rsidRPr="00266D64">
        <w:rPr>
          <w:rFonts w:ascii="Arial" w:eastAsia="Arial" w:hAnsi="Arial" w:cs="Arial"/>
          <w:b/>
          <w:i/>
          <w:szCs w:val="22"/>
          <w:lang w:val="es-PY"/>
        </w:rPr>
        <w:t>.1. Aspectos generales</w:t>
      </w:r>
    </w:p>
    <w:p w:rsidR="000F7FBD" w:rsidRPr="000F7FBD" w:rsidRDefault="000F7FBD" w:rsidP="000F7FBD">
      <w:pPr>
        <w:spacing w:after="120"/>
        <w:jc w:val="both"/>
        <w:rPr>
          <w:rFonts w:ascii="Arial" w:eastAsia="Arial" w:hAnsi="Arial" w:cs="Arial"/>
          <w:szCs w:val="22"/>
          <w:lang w:val="es-PY"/>
        </w:rPr>
      </w:pPr>
      <w:r w:rsidRPr="000F7FBD">
        <w:rPr>
          <w:rFonts w:ascii="Arial" w:eastAsia="Arial" w:hAnsi="Arial" w:cs="Arial"/>
          <w:szCs w:val="22"/>
          <w:lang w:val="es-PY"/>
        </w:rPr>
        <w:t>El propósito de la sección no clínica es proporcionar información sobre los modelos no clínicos, el esquema general del desarrollo no clínico y la planificación temporal de los estudios no clínicos.</w:t>
      </w:r>
    </w:p>
    <w:p w:rsidR="000F7FBD" w:rsidRPr="000F7FBD" w:rsidRDefault="000F7FBD" w:rsidP="000F7FBD">
      <w:pPr>
        <w:spacing w:after="120"/>
        <w:jc w:val="both"/>
        <w:rPr>
          <w:rFonts w:ascii="Arial" w:eastAsia="Arial" w:hAnsi="Arial" w:cs="Arial"/>
          <w:szCs w:val="22"/>
          <w:lang w:val="es-PY"/>
        </w:rPr>
      </w:pPr>
      <w:r w:rsidRPr="000F7FBD">
        <w:rPr>
          <w:rFonts w:ascii="Arial" w:eastAsia="Arial" w:hAnsi="Arial" w:cs="Arial"/>
          <w:szCs w:val="22"/>
          <w:lang w:val="es-PY"/>
        </w:rPr>
        <w:t>La vía de desarrollo no clínico para los medicamentos de terapias avanzadas (</w:t>
      </w:r>
      <w:proofErr w:type="spellStart"/>
      <w:r w:rsidRPr="000F7FBD">
        <w:rPr>
          <w:rFonts w:ascii="Arial" w:eastAsia="Arial" w:hAnsi="Arial" w:cs="Arial"/>
          <w:szCs w:val="22"/>
          <w:lang w:val="es-PY"/>
        </w:rPr>
        <w:t>ATMPs</w:t>
      </w:r>
      <w:proofErr w:type="spellEnd"/>
      <w:r w:rsidRPr="000F7FBD">
        <w:rPr>
          <w:rFonts w:ascii="Arial" w:eastAsia="Arial" w:hAnsi="Arial" w:cs="Arial"/>
          <w:szCs w:val="22"/>
          <w:lang w:val="es-PY"/>
        </w:rPr>
        <w:t xml:space="preserve">) difiere significativamente de la de otros medicamentos. El desarrollo no clínico secuencial, en el cual la cantidad de datos requeridos y la duración de la administración aumentan conforme avanza la fase de desarrollo clínico, no resulta generalmente aplicable a los </w:t>
      </w:r>
      <w:proofErr w:type="spellStart"/>
      <w:r w:rsidRPr="000F7FBD">
        <w:rPr>
          <w:rFonts w:ascii="Arial" w:eastAsia="Arial" w:hAnsi="Arial" w:cs="Arial"/>
          <w:szCs w:val="22"/>
          <w:lang w:val="es-PY"/>
        </w:rPr>
        <w:t>ATMPs</w:t>
      </w:r>
      <w:proofErr w:type="spellEnd"/>
      <w:r w:rsidRPr="000F7FBD">
        <w:rPr>
          <w:rFonts w:ascii="Arial" w:eastAsia="Arial" w:hAnsi="Arial" w:cs="Arial"/>
          <w:szCs w:val="22"/>
          <w:lang w:val="es-PY"/>
        </w:rPr>
        <w:t>. En muchos casos, la mayor parte de los datos no clínicos deben estar disponibles antes de la exposición en humanos.</w:t>
      </w:r>
    </w:p>
    <w:p w:rsidR="008337D5" w:rsidRDefault="000F7FBD" w:rsidP="000F7FBD">
      <w:pPr>
        <w:spacing w:after="120"/>
        <w:jc w:val="both"/>
        <w:rPr>
          <w:rFonts w:ascii="Arial" w:eastAsia="Arial" w:hAnsi="Arial" w:cs="Arial"/>
          <w:szCs w:val="22"/>
          <w:lang w:val="es-PY"/>
        </w:rPr>
      </w:pPr>
      <w:r w:rsidRPr="000F7FBD">
        <w:rPr>
          <w:rFonts w:ascii="Arial" w:eastAsia="Arial" w:hAnsi="Arial" w:cs="Arial"/>
          <w:szCs w:val="22"/>
          <w:lang w:val="es-PY"/>
        </w:rPr>
        <w:t>En términos generales, el expediente no clínico debe proporcionar información sobre la prueba de concepto y respaldar la estimación de la dosis segura y biológicamente eficaz que se utilizará en los ensayos clínicos de primera administración en humanos. Asimismo, debe apoyar la viabilidad de la vía de administración y del procedimiento de aplicación correspondiente, identificar preocupaciones de seguridad y órganos diana para posibles toxicidades, así como definir los parámetros de seguridad que deberán ser monitorizados durante los ensayos clínicos.</w:t>
      </w:r>
    </w:p>
    <w:p w:rsidR="002B57F2" w:rsidRPr="002B57F2" w:rsidRDefault="002B57F2" w:rsidP="002B57F2">
      <w:pPr>
        <w:spacing w:after="120"/>
        <w:jc w:val="both"/>
        <w:rPr>
          <w:rFonts w:ascii="Arial" w:eastAsia="Arial" w:hAnsi="Arial" w:cs="Arial"/>
          <w:szCs w:val="22"/>
          <w:lang w:val="es-PY"/>
        </w:rPr>
      </w:pPr>
      <w:r w:rsidRPr="002B57F2">
        <w:rPr>
          <w:rFonts w:ascii="Arial" w:eastAsia="Arial" w:hAnsi="Arial" w:cs="Arial"/>
          <w:szCs w:val="22"/>
          <w:lang w:val="es-PY"/>
        </w:rPr>
        <w:lastRenderedPageBreak/>
        <w:t>La presente guía tiene como objetivo proporcionar recomendaciones sobre los requisitos de datos no clínicos previos a la primera administración en humanos y ofrecer criterios sobre los puntos en los que puede aplicarse cierta flexibilidad.</w:t>
      </w:r>
    </w:p>
    <w:p w:rsidR="002B57F2" w:rsidRPr="002B57F2" w:rsidRDefault="002B57F2" w:rsidP="002B57F2">
      <w:pPr>
        <w:spacing w:after="120"/>
        <w:jc w:val="both"/>
        <w:rPr>
          <w:rFonts w:ascii="Arial" w:eastAsia="Arial" w:hAnsi="Arial" w:cs="Arial"/>
          <w:szCs w:val="22"/>
          <w:lang w:val="es-PY"/>
        </w:rPr>
      </w:pPr>
      <w:r w:rsidRPr="002B57F2">
        <w:rPr>
          <w:rFonts w:ascii="Arial" w:eastAsia="Arial" w:hAnsi="Arial" w:cs="Arial"/>
          <w:szCs w:val="22"/>
          <w:lang w:val="es-PY"/>
        </w:rPr>
        <w:t>La extensión de los datos no clínicos necesarios para respaldar el desarrollo clínico depende de los beneficios y riesgos percibidos en relación con el propio producto, la población objetivo prevista, el conocimiento científico disponible y la experiencia clínica con productos de naturaleza similar.</w:t>
      </w:r>
    </w:p>
    <w:p w:rsidR="002B57F2" w:rsidRPr="002B57F2" w:rsidRDefault="002B57F2" w:rsidP="002B57F2">
      <w:pPr>
        <w:spacing w:after="120"/>
        <w:jc w:val="both"/>
        <w:rPr>
          <w:rFonts w:ascii="Arial" w:eastAsia="Arial" w:hAnsi="Arial" w:cs="Arial"/>
          <w:szCs w:val="22"/>
          <w:lang w:val="es-PY"/>
        </w:rPr>
      </w:pPr>
      <w:r w:rsidRPr="002B57F2">
        <w:rPr>
          <w:rFonts w:ascii="Arial" w:eastAsia="Arial" w:hAnsi="Arial" w:cs="Arial"/>
          <w:szCs w:val="22"/>
          <w:lang w:val="es-PY"/>
        </w:rPr>
        <w:t>El programa no clínico debe determinarse caso por caso, en función del tipo específico de medicamento de terapia avanzada (ATMP), la disponibilidad de modelos no clínicos adecuados y el uso clínico previsto. Asimismo, la extensión y duración de la exposición al ATMP en investigación también afectan al alcance del programa no clínico. Por ejemplo:</w:t>
      </w:r>
    </w:p>
    <w:p w:rsidR="002B57F2" w:rsidRPr="002B57F2" w:rsidRDefault="002B57F2" w:rsidP="002B57F2">
      <w:pPr>
        <w:spacing w:after="120"/>
        <w:jc w:val="both"/>
        <w:rPr>
          <w:rFonts w:ascii="Arial" w:eastAsia="Arial" w:hAnsi="Arial" w:cs="Arial"/>
          <w:szCs w:val="22"/>
          <w:lang w:val="es-PY"/>
        </w:rPr>
      </w:pPr>
      <w:r w:rsidRPr="002B57F2">
        <w:rPr>
          <w:rFonts w:ascii="Arial" w:eastAsia="Arial" w:hAnsi="Arial" w:cs="Arial"/>
          <w:szCs w:val="22"/>
          <w:lang w:val="es-PY"/>
        </w:rPr>
        <w:t>Si el producto se administra localmente y/o se mantiene aislado por medios físicos o biológicos, la necesidad de evaluar efectos sistémicos se reduce.</w:t>
      </w:r>
    </w:p>
    <w:p w:rsidR="002B57F2" w:rsidRPr="002B57F2" w:rsidRDefault="002B57F2" w:rsidP="002B57F2">
      <w:pPr>
        <w:spacing w:after="120"/>
        <w:jc w:val="both"/>
        <w:rPr>
          <w:rFonts w:ascii="Arial" w:eastAsia="Arial" w:hAnsi="Arial" w:cs="Arial"/>
          <w:szCs w:val="22"/>
          <w:lang w:val="es-PY"/>
        </w:rPr>
      </w:pPr>
      <w:r w:rsidRPr="002B57F2">
        <w:rPr>
          <w:rFonts w:ascii="Arial" w:eastAsia="Arial" w:hAnsi="Arial" w:cs="Arial"/>
          <w:szCs w:val="22"/>
          <w:lang w:val="es-PY"/>
        </w:rPr>
        <w:t>De manera similar, si se anticipa que el producto persista a corto plazo en el organismo y no se espera que induzca efectos duraderos, la duración de la evaluación no clínica de seguridad puede adaptarse en consecuencia.</w:t>
      </w:r>
    </w:p>
    <w:p w:rsidR="002B57F2" w:rsidRPr="002B57F2" w:rsidRDefault="002B57F2" w:rsidP="002B57F2">
      <w:pPr>
        <w:spacing w:after="120"/>
        <w:jc w:val="both"/>
        <w:rPr>
          <w:rFonts w:ascii="Arial" w:eastAsia="Arial" w:hAnsi="Arial" w:cs="Arial"/>
          <w:szCs w:val="22"/>
          <w:lang w:val="es-PY"/>
        </w:rPr>
      </w:pPr>
      <w:r w:rsidRPr="002B57F2">
        <w:rPr>
          <w:rFonts w:ascii="Arial" w:eastAsia="Arial" w:hAnsi="Arial" w:cs="Arial"/>
          <w:szCs w:val="22"/>
          <w:lang w:val="es-PY"/>
        </w:rPr>
        <w:t>Puede aplicarse un enfoque basado en el riesgo para identificar los datos no clínicos necesarios caso por caso. Los productos utilizados en estudios no clínicos deben estar suficientemente caracterizados para demostrar que los estudios se han realizado con material representativo del producto que se administrará a humanos en los ensayos clínicos. Las diferencias entre el producto de prueba no clínico y el material clínico resultantes del desarrollo del producto deben destacarse y discutirse en cuanto a su posible impacto sobre la eficacia y la seguridad.</w:t>
      </w:r>
    </w:p>
    <w:p w:rsidR="000F7FBD" w:rsidRDefault="002B57F2" w:rsidP="002B57F2">
      <w:pPr>
        <w:spacing w:after="120"/>
        <w:jc w:val="both"/>
        <w:rPr>
          <w:rFonts w:ascii="Arial" w:eastAsia="Arial" w:hAnsi="Arial" w:cs="Arial"/>
          <w:szCs w:val="22"/>
          <w:lang w:val="es-PY"/>
        </w:rPr>
      </w:pPr>
      <w:r w:rsidRPr="002B57F2">
        <w:rPr>
          <w:rFonts w:ascii="Arial" w:eastAsia="Arial" w:hAnsi="Arial" w:cs="Arial"/>
          <w:szCs w:val="22"/>
          <w:lang w:val="es-PY"/>
        </w:rPr>
        <w:t xml:space="preserve">Los estudios no clínicos pueden realizarse como estudios independientes o combinados. Cuando sea factible, se recomienda combinar los parámetros de seguridad relevantes y el análisis de </w:t>
      </w:r>
      <w:proofErr w:type="spellStart"/>
      <w:r w:rsidRPr="002B57F2">
        <w:rPr>
          <w:rFonts w:ascii="Arial" w:eastAsia="Arial" w:hAnsi="Arial" w:cs="Arial"/>
          <w:szCs w:val="22"/>
          <w:lang w:val="es-PY"/>
        </w:rPr>
        <w:t>biodistribución</w:t>
      </w:r>
      <w:proofErr w:type="spellEnd"/>
      <w:r w:rsidRPr="002B57F2">
        <w:rPr>
          <w:rFonts w:ascii="Arial" w:eastAsia="Arial" w:hAnsi="Arial" w:cs="Arial"/>
          <w:szCs w:val="22"/>
          <w:lang w:val="es-PY"/>
        </w:rPr>
        <w:t xml:space="preserve"> en un estudio de prueba de concepto. Esto debe considerarse cuidadosamente en el diseño del estudio. La selección de grupos de control adecuados también debe evaluarse con especial atención.</w:t>
      </w:r>
    </w:p>
    <w:p w:rsidR="00245F95" w:rsidRPr="00245F95" w:rsidRDefault="00266D64" w:rsidP="00245F95">
      <w:pPr>
        <w:spacing w:after="120"/>
        <w:jc w:val="both"/>
        <w:rPr>
          <w:rFonts w:ascii="Arial" w:eastAsia="Arial" w:hAnsi="Arial" w:cs="Arial"/>
          <w:b/>
          <w:i/>
          <w:szCs w:val="22"/>
          <w:lang w:val="es-PY"/>
        </w:rPr>
      </w:pPr>
      <w:r>
        <w:rPr>
          <w:rFonts w:ascii="Arial" w:eastAsia="Arial" w:hAnsi="Arial" w:cs="Arial"/>
          <w:b/>
          <w:i/>
          <w:szCs w:val="22"/>
          <w:lang w:val="es-PY"/>
        </w:rPr>
        <w:t>7</w:t>
      </w:r>
      <w:r w:rsidR="00245F95" w:rsidRPr="00245F95">
        <w:rPr>
          <w:rFonts w:ascii="Arial" w:eastAsia="Arial" w:hAnsi="Arial" w:cs="Arial"/>
          <w:b/>
          <w:i/>
          <w:szCs w:val="22"/>
          <w:lang w:val="es-PY"/>
        </w:rPr>
        <w:t>.2. Selección de modelos no clínicos</w:t>
      </w:r>
    </w:p>
    <w:p w:rsidR="00245F95" w:rsidRPr="00245F95" w:rsidRDefault="00245F95" w:rsidP="00245F95">
      <w:pPr>
        <w:spacing w:after="120"/>
        <w:jc w:val="both"/>
        <w:rPr>
          <w:rFonts w:ascii="Arial" w:eastAsia="Arial" w:hAnsi="Arial" w:cs="Arial"/>
          <w:szCs w:val="22"/>
          <w:lang w:val="es-PY"/>
        </w:rPr>
      </w:pPr>
      <w:r w:rsidRPr="00245F95">
        <w:rPr>
          <w:rFonts w:ascii="Arial" w:eastAsia="Arial" w:hAnsi="Arial" w:cs="Arial"/>
          <w:szCs w:val="22"/>
          <w:lang w:val="es-PY"/>
        </w:rPr>
        <w:t xml:space="preserve">En general, los estudios no clínicos deben realizarse utilizando los modelos in vitro, in vivo y/o in </w:t>
      </w:r>
      <w:proofErr w:type="spellStart"/>
      <w:r w:rsidRPr="00245F95">
        <w:rPr>
          <w:rFonts w:ascii="Arial" w:eastAsia="Arial" w:hAnsi="Arial" w:cs="Arial"/>
          <w:szCs w:val="22"/>
          <w:lang w:val="es-PY"/>
        </w:rPr>
        <w:t>silico</w:t>
      </w:r>
      <w:proofErr w:type="spellEnd"/>
      <w:r w:rsidRPr="00245F95">
        <w:rPr>
          <w:rFonts w:ascii="Arial" w:eastAsia="Arial" w:hAnsi="Arial" w:cs="Arial"/>
          <w:szCs w:val="22"/>
          <w:lang w:val="es-PY"/>
        </w:rPr>
        <w:t xml:space="preserve"> más apropiados y farmacológicamente relevantes disponibles.</w:t>
      </w:r>
    </w:p>
    <w:p w:rsidR="00245F95" w:rsidRPr="00245F95" w:rsidRDefault="00245F95" w:rsidP="00245F95">
      <w:pPr>
        <w:spacing w:after="120"/>
        <w:jc w:val="both"/>
        <w:rPr>
          <w:rFonts w:ascii="Arial" w:eastAsia="Arial" w:hAnsi="Arial" w:cs="Arial"/>
          <w:szCs w:val="22"/>
          <w:lang w:val="es-PY"/>
        </w:rPr>
      </w:pPr>
      <w:r w:rsidRPr="00245F95">
        <w:rPr>
          <w:rFonts w:ascii="Arial" w:eastAsia="Arial" w:hAnsi="Arial" w:cs="Arial"/>
          <w:szCs w:val="22"/>
          <w:lang w:val="es-PY"/>
        </w:rPr>
        <w:lastRenderedPageBreak/>
        <w:t xml:space="preserve">Los estudios en animales in vivo deben planificarse cuidadosamente para garantizar la generación de datos sólidos y significativos, teniendo en cuenta los principios de las 3R (reducción, reemplazo y refinamiento). Cuando corresponda, las pruebas en animales deben ser reemplazadas por estudios in vitro, ex vivo o in </w:t>
      </w:r>
      <w:proofErr w:type="spellStart"/>
      <w:r w:rsidRPr="00245F95">
        <w:rPr>
          <w:rFonts w:ascii="Arial" w:eastAsia="Arial" w:hAnsi="Arial" w:cs="Arial"/>
          <w:szCs w:val="22"/>
          <w:lang w:val="es-PY"/>
        </w:rPr>
        <w:t>silico</w:t>
      </w:r>
      <w:proofErr w:type="spellEnd"/>
      <w:r w:rsidRPr="00245F95">
        <w:rPr>
          <w:rFonts w:ascii="Arial" w:eastAsia="Arial" w:hAnsi="Arial" w:cs="Arial"/>
          <w:szCs w:val="22"/>
          <w:lang w:val="es-PY"/>
        </w:rPr>
        <w:t>, o por una combinación de estos.</w:t>
      </w:r>
    </w:p>
    <w:p w:rsidR="00AA192C" w:rsidRDefault="00245F95" w:rsidP="00245F95">
      <w:pPr>
        <w:spacing w:after="120"/>
        <w:jc w:val="both"/>
        <w:rPr>
          <w:rFonts w:ascii="Arial" w:eastAsia="Arial" w:hAnsi="Arial" w:cs="Arial"/>
          <w:szCs w:val="22"/>
          <w:lang w:val="es-PY"/>
        </w:rPr>
      </w:pPr>
      <w:r w:rsidRPr="00245F95">
        <w:rPr>
          <w:rFonts w:ascii="Arial" w:eastAsia="Arial" w:hAnsi="Arial" w:cs="Arial"/>
          <w:szCs w:val="22"/>
          <w:lang w:val="es-PY"/>
        </w:rPr>
        <w:t xml:space="preserve">Por ejemplo, debe considerarse el desarrollo y uso de modelos basados en células y tejidos, incluidos modelos tisulares 2D y 3D, </w:t>
      </w:r>
      <w:proofErr w:type="spellStart"/>
      <w:r w:rsidRPr="00245F95">
        <w:rPr>
          <w:rFonts w:ascii="Arial" w:eastAsia="Arial" w:hAnsi="Arial" w:cs="Arial"/>
          <w:szCs w:val="22"/>
          <w:lang w:val="es-PY"/>
        </w:rPr>
        <w:t>organoides</w:t>
      </w:r>
      <w:proofErr w:type="spellEnd"/>
      <w:r w:rsidRPr="00245F95">
        <w:rPr>
          <w:rFonts w:ascii="Arial" w:eastAsia="Arial" w:hAnsi="Arial" w:cs="Arial"/>
          <w:szCs w:val="22"/>
          <w:lang w:val="es-PY"/>
        </w:rPr>
        <w:t xml:space="preserve"> y sistemas de </w:t>
      </w:r>
      <w:proofErr w:type="spellStart"/>
      <w:r w:rsidRPr="00245F95">
        <w:rPr>
          <w:rFonts w:ascii="Arial" w:eastAsia="Arial" w:hAnsi="Arial" w:cs="Arial"/>
          <w:szCs w:val="22"/>
          <w:lang w:val="es-PY"/>
        </w:rPr>
        <w:t>microfluídica</w:t>
      </w:r>
      <w:proofErr w:type="spellEnd"/>
      <w:r w:rsidRPr="00245F95">
        <w:rPr>
          <w:rFonts w:ascii="Arial" w:eastAsia="Arial" w:hAnsi="Arial" w:cs="Arial"/>
          <w:szCs w:val="22"/>
          <w:lang w:val="es-PY"/>
        </w:rPr>
        <w:t>, especialmente para la evaluación del modo de acción.</w:t>
      </w:r>
    </w:p>
    <w:p w:rsidR="00540C57" w:rsidRPr="00540C57" w:rsidRDefault="00540C57" w:rsidP="00540C57">
      <w:pPr>
        <w:spacing w:after="120"/>
        <w:jc w:val="both"/>
        <w:rPr>
          <w:rFonts w:ascii="Arial" w:eastAsia="Arial" w:hAnsi="Arial" w:cs="Arial"/>
          <w:szCs w:val="22"/>
          <w:lang w:val="es-PY"/>
        </w:rPr>
      </w:pPr>
      <w:r w:rsidRPr="00540C57">
        <w:rPr>
          <w:rFonts w:ascii="Arial" w:eastAsia="Arial" w:hAnsi="Arial" w:cs="Arial"/>
          <w:szCs w:val="22"/>
          <w:lang w:val="es-PY"/>
        </w:rPr>
        <w:t>Cuando se realicen estudios en animales, los modelos seleccionados deben permitir una extrapolación significativa y predictiva de esas especies a los seres humanos. La utilidad de los modelos animales para estudios no clínicos de prueba de concepto y para la evaluación de seguridad debe considerarse cuidadosamente, y la relevancia de los modelos seleccionados debe justificarse científicamente.</w:t>
      </w:r>
    </w:p>
    <w:p w:rsidR="00540C57" w:rsidRPr="00540C57" w:rsidRDefault="00540C57" w:rsidP="00540C57">
      <w:pPr>
        <w:spacing w:after="120"/>
        <w:jc w:val="both"/>
        <w:rPr>
          <w:rFonts w:ascii="Arial" w:eastAsia="Arial" w:hAnsi="Arial" w:cs="Arial"/>
          <w:szCs w:val="22"/>
          <w:lang w:val="es-PY"/>
        </w:rPr>
      </w:pPr>
      <w:r w:rsidRPr="00540C57">
        <w:rPr>
          <w:rFonts w:ascii="Arial" w:eastAsia="Arial" w:hAnsi="Arial" w:cs="Arial"/>
          <w:szCs w:val="22"/>
          <w:lang w:val="es-PY"/>
        </w:rPr>
        <w:t xml:space="preserve">El modelo animal elegido para el estudio de prueba de concepto debe reproducir la enfermedad o condición de los pacientes (por ejemplo, edad, estadio de la enfermedad) lo más fielmente posible, con una fisiopatología idealmente similar a la de los pacientes. Los modelos animales apropiados pueden incluir enfermedades espontáneas de aparición natural, modelos de enfermedad inducidos experimentalmente, modelos transgénicos knock-out o </w:t>
      </w:r>
      <w:proofErr w:type="spellStart"/>
      <w:r w:rsidRPr="00540C57">
        <w:rPr>
          <w:rFonts w:ascii="Arial" w:eastAsia="Arial" w:hAnsi="Arial" w:cs="Arial"/>
          <w:szCs w:val="22"/>
          <w:lang w:val="es-PY"/>
        </w:rPr>
        <w:t>knock</w:t>
      </w:r>
      <w:proofErr w:type="spellEnd"/>
      <w:r w:rsidRPr="00540C57">
        <w:rPr>
          <w:rFonts w:ascii="Arial" w:eastAsia="Arial" w:hAnsi="Arial" w:cs="Arial"/>
          <w:szCs w:val="22"/>
          <w:lang w:val="es-PY"/>
        </w:rPr>
        <w:t>-in, así como modelos animales específicamente humanizados.</w:t>
      </w:r>
    </w:p>
    <w:p w:rsidR="00540C57" w:rsidRPr="00540C57" w:rsidRDefault="00540C57" w:rsidP="00540C57">
      <w:pPr>
        <w:spacing w:after="120"/>
        <w:jc w:val="both"/>
        <w:rPr>
          <w:rFonts w:ascii="Arial" w:eastAsia="Arial" w:hAnsi="Arial" w:cs="Arial"/>
          <w:szCs w:val="22"/>
          <w:lang w:val="es-PY"/>
        </w:rPr>
      </w:pPr>
      <w:r w:rsidRPr="00540C57">
        <w:rPr>
          <w:rFonts w:ascii="Arial" w:eastAsia="Arial" w:hAnsi="Arial" w:cs="Arial"/>
          <w:szCs w:val="22"/>
          <w:lang w:val="es-PY"/>
        </w:rPr>
        <w:t xml:space="preserve">Los animales sanos se utilizan normalmente en estudios estándar de toxicidad. Sin embargo, para los </w:t>
      </w:r>
      <w:proofErr w:type="spellStart"/>
      <w:r w:rsidRPr="00540C57">
        <w:rPr>
          <w:rFonts w:ascii="Arial" w:eastAsia="Arial" w:hAnsi="Arial" w:cs="Arial"/>
          <w:szCs w:val="22"/>
          <w:lang w:val="es-PY"/>
        </w:rPr>
        <w:t>ATMPs</w:t>
      </w:r>
      <w:proofErr w:type="spellEnd"/>
      <w:r w:rsidRPr="00540C57">
        <w:rPr>
          <w:rFonts w:ascii="Arial" w:eastAsia="Arial" w:hAnsi="Arial" w:cs="Arial"/>
          <w:szCs w:val="22"/>
          <w:lang w:val="es-PY"/>
        </w:rPr>
        <w:t xml:space="preserve"> en investigación, los estudios estándar de toxicidad pueden no ser siempre apropiados para abordar la seguridad en su conjunto, en el contexto de su uso terapéutico. En tales casos, los modelos de enfermedad pueden proporcionar datos de seguridad clínicamente relevantes.</w:t>
      </w:r>
    </w:p>
    <w:p w:rsidR="00540C57" w:rsidRPr="00540C57" w:rsidRDefault="00540C57" w:rsidP="00540C57">
      <w:pPr>
        <w:spacing w:after="120"/>
        <w:jc w:val="both"/>
        <w:rPr>
          <w:rFonts w:ascii="Arial" w:eastAsia="Arial" w:hAnsi="Arial" w:cs="Arial"/>
          <w:szCs w:val="22"/>
          <w:lang w:val="es-PY"/>
        </w:rPr>
      </w:pPr>
      <w:r w:rsidRPr="00540C57">
        <w:rPr>
          <w:rFonts w:ascii="Arial" w:eastAsia="Arial" w:hAnsi="Arial" w:cs="Arial"/>
          <w:szCs w:val="22"/>
          <w:lang w:val="es-PY"/>
        </w:rPr>
        <w:t>Los modelos animales pequeños, como los roedores, suelen ser útiles y ampliamente empleados, ya que están fácilmente disponibles y son fáciles de manipular. No obstante, si la extrapolación de modelos animales pequeños a humanos resulta difícil —por ejemplo, debido a diferencias en el tamaño corporal y la anatomía que pueden impedir ciertos procedimientos de administración y dispositivos en modelos pequeños— puede ser necesario recurrir a modelos animales grandes.</w:t>
      </w:r>
    </w:p>
    <w:p w:rsidR="00540C57" w:rsidRPr="00540C57" w:rsidRDefault="00540C57" w:rsidP="00540C57">
      <w:pPr>
        <w:spacing w:after="120"/>
        <w:jc w:val="both"/>
        <w:rPr>
          <w:rFonts w:ascii="Arial" w:eastAsia="Arial" w:hAnsi="Arial" w:cs="Arial"/>
          <w:szCs w:val="22"/>
          <w:lang w:val="es-PY"/>
        </w:rPr>
      </w:pPr>
      <w:r w:rsidRPr="00540C57">
        <w:rPr>
          <w:rFonts w:ascii="Arial" w:eastAsia="Arial" w:hAnsi="Arial" w:cs="Arial"/>
          <w:szCs w:val="22"/>
          <w:lang w:val="es-PY"/>
        </w:rPr>
        <w:t xml:space="preserve">El uso del mismo modelo animal tanto en las investigaciones toxicológicas como en los estudios farmacocinéticos puede ser beneficioso, ya que permite correlacionar la </w:t>
      </w:r>
      <w:proofErr w:type="spellStart"/>
      <w:r w:rsidRPr="00540C57">
        <w:rPr>
          <w:rFonts w:ascii="Arial" w:eastAsia="Arial" w:hAnsi="Arial" w:cs="Arial"/>
          <w:szCs w:val="22"/>
          <w:lang w:val="es-PY"/>
        </w:rPr>
        <w:t>biodistribución</w:t>
      </w:r>
      <w:proofErr w:type="spellEnd"/>
      <w:r w:rsidRPr="00540C57">
        <w:rPr>
          <w:rFonts w:ascii="Arial" w:eastAsia="Arial" w:hAnsi="Arial" w:cs="Arial"/>
          <w:szCs w:val="22"/>
          <w:lang w:val="es-PY"/>
        </w:rPr>
        <w:t xml:space="preserve"> del ATMP en investigación con las señales de </w:t>
      </w:r>
      <w:r w:rsidRPr="00540C57">
        <w:rPr>
          <w:rFonts w:ascii="Arial" w:eastAsia="Arial" w:hAnsi="Arial" w:cs="Arial"/>
          <w:szCs w:val="22"/>
          <w:lang w:val="es-PY"/>
        </w:rPr>
        <w:lastRenderedPageBreak/>
        <w:t>toxicidad observadas. En caso de que un único modelo animal no sea suficiente para abordar todos los aspectos relevantes, deberán emplearse modelos animales alternativos.</w:t>
      </w:r>
    </w:p>
    <w:p w:rsidR="00053412" w:rsidRPr="00053412" w:rsidRDefault="00053412" w:rsidP="00053412">
      <w:pPr>
        <w:spacing w:after="120"/>
        <w:jc w:val="both"/>
        <w:rPr>
          <w:rFonts w:ascii="Arial" w:eastAsia="Arial" w:hAnsi="Arial" w:cs="Arial"/>
          <w:szCs w:val="22"/>
          <w:lang w:val="es-PY"/>
        </w:rPr>
      </w:pPr>
      <w:r w:rsidRPr="00053412">
        <w:rPr>
          <w:rFonts w:ascii="Arial" w:eastAsia="Arial" w:hAnsi="Arial" w:cs="Arial"/>
          <w:szCs w:val="22"/>
          <w:lang w:val="es-PY"/>
        </w:rPr>
        <w:t>La evaluación de células humanas o de un vector de terapia génica en especies animales puede verse obstaculizada por respuestas inmunitarias contra las células extrañas o contra el vector viral (o sus productos), o por la ausencia de factores necesarios para sostener la supervivencia de las células humanas en el huésped, lo que resulta en una eliminación prematura y rápida del producto administrado.</w:t>
      </w:r>
    </w:p>
    <w:p w:rsidR="00053412" w:rsidRPr="00053412" w:rsidRDefault="00053412" w:rsidP="00053412">
      <w:pPr>
        <w:spacing w:after="120"/>
        <w:jc w:val="both"/>
        <w:rPr>
          <w:rFonts w:ascii="Arial" w:eastAsia="Arial" w:hAnsi="Arial" w:cs="Arial"/>
          <w:szCs w:val="22"/>
          <w:lang w:val="es-PY"/>
        </w:rPr>
      </w:pPr>
      <w:r w:rsidRPr="00053412">
        <w:rPr>
          <w:rFonts w:ascii="Arial" w:eastAsia="Arial" w:hAnsi="Arial" w:cs="Arial"/>
          <w:szCs w:val="22"/>
          <w:lang w:val="es-PY"/>
        </w:rPr>
        <w:t>En tales casos, puede utilizarse un modelo animal inmunodeficiente o un modelo animal homólogo empleando las células correspondientes de la misma especie animal y/o un transgén ortólogo o un vector específico de la especie.</w:t>
      </w:r>
    </w:p>
    <w:p w:rsidR="008F536A" w:rsidRDefault="00053412" w:rsidP="00053412">
      <w:pPr>
        <w:spacing w:after="120"/>
        <w:jc w:val="both"/>
        <w:rPr>
          <w:rFonts w:ascii="Arial" w:eastAsia="Arial" w:hAnsi="Arial" w:cs="Arial"/>
          <w:szCs w:val="22"/>
          <w:lang w:val="es-PY"/>
        </w:rPr>
      </w:pPr>
      <w:r w:rsidRPr="00053412">
        <w:rPr>
          <w:rFonts w:ascii="Arial" w:eastAsia="Arial" w:hAnsi="Arial" w:cs="Arial"/>
          <w:szCs w:val="22"/>
          <w:lang w:val="es-PY"/>
        </w:rPr>
        <w:t>La naturaleza y características del producto homólogo, así como su proceso de fabricación, deben ser representativos del producto que se utilizará en humanos. Si ciertas diferencias en la fabricación no pueden evitarse, su posible impacto sobre la validez de los datos no clínicos debe ser cuidadosamente considerado.</w:t>
      </w:r>
    </w:p>
    <w:p w:rsidR="00400E84" w:rsidRPr="00400E84" w:rsidRDefault="00266D64" w:rsidP="00400E84">
      <w:pPr>
        <w:spacing w:after="120"/>
        <w:jc w:val="both"/>
        <w:rPr>
          <w:rFonts w:ascii="Arial" w:eastAsia="Arial" w:hAnsi="Arial" w:cs="Arial"/>
          <w:b/>
          <w:i/>
          <w:szCs w:val="22"/>
          <w:lang w:val="es-PY"/>
        </w:rPr>
      </w:pPr>
      <w:r>
        <w:rPr>
          <w:rFonts w:ascii="Arial" w:eastAsia="Arial" w:hAnsi="Arial" w:cs="Arial"/>
          <w:b/>
          <w:i/>
          <w:szCs w:val="22"/>
          <w:lang w:val="es-PY"/>
        </w:rPr>
        <w:t>7</w:t>
      </w:r>
      <w:r w:rsidR="00400E84" w:rsidRPr="00400E84">
        <w:rPr>
          <w:rFonts w:ascii="Arial" w:eastAsia="Arial" w:hAnsi="Arial" w:cs="Arial"/>
          <w:b/>
          <w:i/>
          <w:szCs w:val="22"/>
          <w:lang w:val="es-PY"/>
        </w:rPr>
        <w:t>.3. Estudios de farmacología</w:t>
      </w:r>
    </w:p>
    <w:p w:rsidR="00A57CE8" w:rsidRPr="00400E84" w:rsidRDefault="00400E84" w:rsidP="00400E84">
      <w:pPr>
        <w:spacing w:after="120"/>
        <w:jc w:val="both"/>
        <w:rPr>
          <w:rFonts w:ascii="Arial" w:eastAsia="Arial" w:hAnsi="Arial" w:cs="Arial"/>
          <w:b/>
          <w:i/>
          <w:szCs w:val="22"/>
          <w:lang w:val="es-PY"/>
        </w:rPr>
      </w:pPr>
      <w:r w:rsidRPr="00400E84">
        <w:rPr>
          <w:rFonts w:ascii="Arial" w:eastAsia="Arial" w:hAnsi="Arial" w:cs="Arial"/>
          <w:b/>
          <w:i/>
          <w:szCs w:val="22"/>
          <w:lang w:val="es-PY"/>
        </w:rPr>
        <w:t>Prueba de concepto</w:t>
      </w:r>
    </w:p>
    <w:p w:rsidR="00400E84" w:rsidRPr="00400E84" w:rsidRDefault="00400E84" w:rsidP="00400E84">
      <w:pPr>
        <w:spacing w:after="120"/>
        <w:jc w:val="both"/>
        <w:rPr>
          <w:rFonts w:ascii="Arial" w:eastAsia="Arial" w:hAnsi="Arial" w:cs="Arial"/>
          <w:szCs w:val="22"/>
          <w:lang w:val="es-PY"/>
        </w:rPr>
      </w:pPr>
      <w:r w:rsidRPr="00400E84">
        <w:rPr>
          <w:rFonts w:ascii="Arial" w:eastAsia="Arial" w:hAnsi="Arial" w:cs="Arial"/>
          <w:szCs w:val="22"/>
          <w:lang w:val="es-PY"/>
        </w:rPr>
        <w:t>Normalmente, se requieren datos de prueba de concepto antes de la exposición en humanos, con el fin de proporcionar evidencia funcional de la actividad biológica relevante y respaldar la justificación terapéutica y la evaluación clínica del producto en el tratamiento de la enfermedad o condición prevista. Debe presentarse una justificación del modelo utilizado.</w:t>
      </w:r>
    </w:p>
    <w:p w:rsidR="00400E84" w:rsidRPr="00400E84" w:rsidRDefault="00400E84" w:rsidP="00400E84">
      <w:pPr>
        <w:spacing w:after="120"/>
        <w:jc w:val="both"/>
        <w:rPr>
          <w:rFonts w:ascii="Arial" w:eastAsia="Arial" w:hAnsi="Arial" w:cs="Arial"/>
          <w:szCs w:val="22"/>
          <w:lang w:val="es-PY"/>
        </w:rPr>
      </w:pPr>
      <w:r w:rsidRPr="00400E84">
        <w:rPr>
          <w:rFonts w:ascii="Arial" w:eastAsia="Arial" w:hAnsi="Arial" w:cs="Arial"/>
          <w:szCs w:val="22"/>
          <w:lang w:val="es-PY"/>
        </w:rPr>
        <w:t>Cuando se disponga de un modelo in vivo relevante y se considere necesario para sustentar la prueba de concepto, la vía y el modo de administración deben reproducir lo más fielmente posible el uso clínico. En ausencia de experiencia clínica sobre el procedimiento de administración y los dispositivos de aplicación, la viabilidad y seguridad de dichos procedimientos y dispositivos deben evaluarse en modelos no clínicos antes de su uso en humanos.</w:t>
      </w:r>
    </w:p>
    <w:p w:rsidR="00400E84" w:rsidRDefault="00400E84" w:rsidP="00400E84">
      <w:pPr>
        <w:spacing w:after="120"/>
        <w:jc w:val="both"/>
        <w:rPr>
          <w:rFonts w:ascii="Arial" w:eastAsia="Arial" w:hAnsi="Arial" w:cs="Arial"/>
          <w:szCs w:val="22"/>
          <w:lang w:val="es-PY"/>
        </w:rPr>
      </w:pPr>
      <w:r w:rsidRPr="00400E84">
        <w:rPr>
          <w:rFonts w:ascii="Arial" w:eastAsia="Arial" w:hAnsi="Arial" w:cs="Arial"/>
          <w:szCs w:val="22"/>
          <w:lang w:val="es-PY"/>
        </w:rPr>
        <w:t>Los niveles de dosis para la prueba de concepto deben permitir la estimación de la dosis biológicamente eficaz en el modelo y respaldar la selección de la(s) dosis con un perfil de seguridad aceptable para ser utilizadas en los ensayos clínicos de primera administración en humanos.</w:t>
      </w:r>
    </w:p>
    <w:p w:rsidR="005C2102" w:rsidRPr="005C2102" w:rsidRDefault="005C2102" w:rsidP="005C2102">
      <w:pPr>
        <w:spacing w:after="120"/>
        <w:jc w:val="both"/>
        <w:rPr>
          <w:rFonts w:ascii="Arial" w:eastAsia="Arial" w:hAnsi="Arial" w:cs="Arial"/>
          <w:i/>
          <w:szCs w:val="22"/>
          <w:lang w:val="es-PY"/>
        </w:rPr>
      </w:pPr>
      <w:r>
        <w:rPr>
          <w:rFonts w:ascii="Arial" w:eastAsia="Arial" w:hAnsi="Arial" w:cs="Arial"/>
          <w:i/>
          <w:szCs w:val="22"/>
          <w:lang w:val="es-PY"/>
        </w:rPr>
        <w:t>-</w:t>
      </w:r>
      <w:r w:rsidRPr="005C2102">
        <w:rPr>
          <w:rFonts w:ascii="Arial" w:eastAsia="Arial" w:hAnsi="Arial" w:cs="Arial"/>
          <w:i/>
          <w:szCs w:val="22"/>
          <w:lang w:val="es-PY"/>
        </w:rPr>
        <w:t>Transducción/transfección y expresión</w:t>
      </w:r>
    </w:p>
    <w:p w:rsidR="005C2102" w:rsidRPr="005C2102" w:rsidRDefault="005C2102" w:rsidP="005C2102">
      <w:pPr>
        <w:spacing w:after="120"/>
        <w:jc w:val="both"/>
        <w:rPr>
          <w:rFonts w:ascii="Arial" w:eastAsia="Arial" w:hAnsi="Arial" w:cs="Arial"/>
          <w:szCs w:val="22"/>
          <w:lang w:val="es-PY"/>
        </w:rPr>
      </w:pPr>
      <w:r w:rsidRPr="005C2102">
        <w:rPr>
          <w:rFonts w:ascii="Arial" w:eastAsia="Arial" w:hAnsi="Arial" w:cs="Arial"/>
          <w:szCs w:val="22"/>
          <w:lang w:val="es-PY"/>
        </w:rPr>
        <w:lastRenderedPageBreak/>
        <w:t>En el caso de los medicamentos de terapia génica en investigación (</w:t>
      </w:r>
      <w:proofErr w:type="spellStart"/>
      <w:r w:rsidRPr="005C2102">
        <w:rPr>
          <w:rFonts w:ascii="Arial" w:eastAsia="Arial" w:hAnsi="Arial" w:cs="Arial"/>
          <w:szCs w:val="22"/>
          <w:lang w:val="es-PY"/>
        </w:rPr>
        <w:t>GTMPs</w:t>
      </w:r>
      <w:proofErr w:type="spellEnd"/>
      <w:r w:rsidRPr="005C2102">
        <w:rPr>
          <w:rFonts w:ascii="Arial" w:eastAsia="Arial" w:hAnsi="Arial" w:cs="Arial"/>
          <w:szCs w:val="22"/>
          <w:lang w:val="es-PY"/>
        </w:rPr>
        <w:t>), la transducción/transfección y la posterior expresión del producto del transgén son aspectos fundamentales para la interpretación de los posibles efectos terapéuticos observados en los estudios de prueba de concepto.</w:t>
      </w:r>
    </w:p>
    <w:p w:rsidR="005C2102" w:rsidRPr="005C2102" w:rsidRDefault="005C2102" w:rsidP="005C2102">
      <w:pPr>
        <w:spacing w:after="120"/>
        <w:jc w:val="both"/>
        <w:rPr>
          <w:rFonts w:ascii="Arial" w:eastAsia="Arial" w:hAnsi="Arial" w:cs="Arial"/>
          <w:szCs w:val="22"/>
          <w:lang w:val="es-PY"/>
        </w:rPr>
      </w:pPr>
      <w:r w:rsidRPr="005C2102">
        <w:rPr>
          <w:rFonts w:ascii="Arial" w:eastAsia="Arial" w:hAnsi="Arial" w:cs="Arial"/>
          <w:szCs w:val="22"/>
          <w:lang w:val="es-PY"/>
        </w:rPr>
        <w:t xml:space="preserve">Las diferencias en el tropismo de un vector de terapia génica entre la especie animal seleccionada y los seres humanos, así como la </w:t>
      </w:r>
      <w:proofErr w:type="spellStart"/>
      <w:r w:rsidRPr="005C2102">
        <w:rPr>
          <w:rFonts w:ascii="Arial" w:eastAsia="Arial" w:hAnsi="Arial" w:cs="Arial"/>
          <w:szCs w:val="22"/>
          <w:lang w:val="es-PY"/>
        </w:rPr>
        <w:t>biodistribución</w:t>
      </w:r>
      <w:proofErr w:type="spellEnd"/>
      <w:r w:rsidRPr="005C2102">
        <w:rPr>
          <w:rFonts w:ascii="Arial" w:eastAsia="Arial" w:hAnsi="Arial" w:cs="Arial"/>
          <w:szCs w:val="22"/>
          <w:lang w:val="es-PY"/>
        </w:rPr>
        <w:t xml:space="preserve"> en el caso de vectores no virales, deben considerarse al extrapolar los resultados de animales a humanos. La duración de la expresión del transgén y el efecto terapéutico asociado con la secuencia de ácido nucleico deberán describirse. Asimismo, debe evaluarse la relación con el régimen de dosificación propuesto en los estudios clínicos.</w:t>
      </w:r>
    </w:p>
    <w:p w:rsidR="005C2102" w:rsidRPr="005C2102" w:rsidRDefault="005C2102" w:rsidP="005C2102">
      <w:pPr>
        <w:spacing w:after="120"/>
        <w:jc w:val="both"/>
        <w:rPr>
          <w:rFonts w:ascii="Arial" w:eastAsia="Arial" w:hAnsi="Arial" w:cs="Arial"/>
          <w:szCs w:val="22"/>
          <w:lang w:val="es-PY"/>
        </w:rPr>
      </w:pPr>
      <w:r w:rsidRPr="005C2102">
        <w:rPr>
          <w:rFonts w:ascii="Arial" w:eastAsia="Arial" w:hAnsi="Arial" w:cs="Arial"/>
          <w:szCs w:val="22"/>
          <w:lang w:val="es-PY"/>
        </w:rPr>
        <w:t>Al diseñar un vector integrador, se recomienda que los solicitantes, cuando corresponda, realicen análisis in vitro de la distribución genómica de los vectores integradores en células humanas. Además, los solicitantes deben tener en cuenta que la epigenética puede interferir con la eficacia y la seguridad del GTMP en investigación. Esto proporcionará información crucial sobre las influencias “huésped</w:t>
      </w:r>
      <w:r w:rsidRPr="005C2102">
        <w:rPr>
          <w:rFonts w:ascii="Cambria Math" w:eastAsia="Arial" w:hAnsi="Cambria Math" w:cs="Cambria Math"/>
          <w:szCs w:val="22"/>
          <w:lang w:val="es-PY"/>
        </w:rPr>
        <w:t>‑</w:t>
      </w:r>
      <w:r w:rsidRPr="005C2102">
        <w:rPr>
          <w:rFonts w:ascii="Arial" w:eastAsia="Arial" w:hAnsi="Arial" w:cs="Arial"/>
          <w:szCs w:val="22"/>
          <w:lang w:val="es-PY"/>
        </w:rPr>
        <w:t>sobre</w:t>
      </w:r>
      <w:r w:rsidRPr="005C2102">
        <w:rPr>
          <w:rFonts w:ascii="Cambria Math" w:eastAsia="Arial" w:hAnsi="Cambria Math" w:cs="Cambria Math"/>
          <w:szCs w:val="22"/>
          <w:lang w:val="es-PY"/>
        </w:rPr>
        <w:t>‑</w:t>
      </w:r>
      <w:r w:rsidRPr="005C2102">
        <w:rPr>
          <w:rFonts w:ascii="Arial" w:eastAsia="Arial" w:hAnsi="Arial" w:cs="Arial"/>
          <w:szCs w:val="22"/>
          <w:lang w:val="es-PY"/>
        </w:rPr>
        <w:t>vector”, basadas en el estado genético y epigenético de la célula diana.</w:t>
      </w:r>
    </w:p>
    <w:p w:rsidR="004E674C" w:rsidRDefault="005C2102" w:rsidP="005C2102">
      <w:pPr>
        <w:spacing w:after="120"/>
        <w:jc w:val="both"/>
        <w:rPr>
          <w:rFonts w:ascii="Arial" w:eastAsia="Arial" w:hAnsi="Arial" w:cs="Arial"/>
          <w:szCs w:val="22"/>
          <w:lang w:val="es-PY"/>
        </w:rPr>
      </w:pPr>
      <w:r w:rsidRPr="005C2102">
        <w:rPr>
          <w:rFonts w:ascii="Arial" w:eastAsia="Arial" w:hAnsi="Arial" w:cs="Arial"/>
          <w:szCs w:val="22"/>
          <w:lang w:val="es-PY"/>
        </w:rPr>
        <w:t>Si se administra un vector/virus competente para la replicación, la detección de secuencias virales en sitios no diana mediante técnicas de amplificación de ácidos nucleicos (NAT) debe motivar el desarrollo de ensayos cuantitativos de infectividad, con el fin de evaluar el potencial infeccioso del ácido nucleico detectado.</w:t>
      </w:r>
    </w:p>
    <w:p w:rsidR="00D65C53" w:rsidRPr="00D65C53" w:rsidRDefault="00266D64" w:rsidP="00D65C53">
      <w:pPr>
        <w:spacing w:after="120"/>
        <w:jc w:val="both"/>
        <w:rPr>
          <w:rFonts w:ascii="Arial" w:eastAsia="Arial" w:hAnsi="Arial" w:cs="Arial"/>
          <w:b/>
          <w:i/>
          <w:szCs w:val="22"/>
          <w:lang w:val="es-PY"/>
        </w:rPr>
      </w:pPr>
      <w:r>
        <w:rPr>
          <w:rFonts w:ascii="Arial" w:eastAsia="Arial" w:hAnsi="Arial" w:cs="Arial"/>
          <w:b/>
          <w:i/>
          <w:szCs w:val="22"/>
          <w:lang w:val="es-PY"/>
        </w:rPr>
        <w:t>7</w:t>
      </w:r>
      <w:r w:rsidR="00D65C53" w:rsidRPr="00D65C53">
        <w:rPr>
          <w:rFonts w:ascii="Arial" w:eastAsia="Arial" w:hAnsi="Arial" w:cs="Arial"/>
          <w:b/>
          <w:i/>
          <w:szCs w:val="22"/>
          <w:lang w:val="es-PY"/>
        </w:rPr>
        <w:t>.4. Estudios de farmacocinética</w:t>
      </w:r>
    </w:p>
    <w:p w:rsidR="00D65C53" w:rsidRPr="00D65C53" w:rsidRDefault="00D65C53" w:rsidP="00D65C53">
      <w:pPr>
        <w:spacing w:after="120"/>
        <w:jc w:val="both"/>
        <w:rPr>
          <w:rFonts w:ascii="Arial" w:eastAsia="Arial" w:hAnsi="Arial" w:cs="Arial"/>
          <w:szCs w:val="22"/>
          <w:lang w:val="es-PY"/>
        </w:rPr>
      </w:pPr>
      <w:r w:rsidRPr="00D65C53">
        <w:rPr>
          <w:rFonts w:ascii="Arial" w:eastAsia="Arial" w:hAnsi="Arial" w:cs="Arial"/>
          <w:szCs w:val="22"/>
          <w:lang w:val="es-PY"/>
        </w:rPr>
        <w:t xml:space="preserve">La farmacocinética de los </w:t>
      </w:r>
      <w:proofErr w:type="spellStart"/>
      <w:r w:rsidRPr="00D65C53">
        <w:rPr>
          <w:rFonts w:ascii="Arial" w:eastAsia="Arial" w:hAnsi="Arial" w:cs="Arial"/>
          <w:szCs w:val="22"/>
          <w:lang w:val="es-PY"/>
        </w:rPr>
        <w:t>ATMPs</w:t>
      </w:r>
      <w:proofErr w:type="spellEnd"/>
      <w:r w:rsidRPr="00D65C53">
        <w:rPr>
          <w:rFonts w:ascii="Arial" w:eastAsia="Arial" w:hAnsi="Arial" w:cs="Arial"/>
          <w:szCs w:val="22"/>
          <w:lang w:val="es-PY"/>
        </w:rPr>
        <w:t xml:space="preserve"> en investigación depende del tipo de ATMP e incluye la </w:t>
      </w:r>
      <w:proofErr w:type="spellStart"/>
      <w:r w:rsidRPr="00D65C53">
        <w:rPr>
          <w:rFonts w:ascii="Arial" w:eastAsia="Arial" w:hAnsi="Arial" w:cs="Arial"/>
          <w:szCs w:val="22"/>
          <w:lang w:val="es-PY"/>
        </w:rPr>
        <w:t>biodistribución</w:t>
      </w:r>
      <w:proofErr w:type="spellEnd"/>
      <w:r w:rsidRPr="00D65C53">
        <w:rPr>
          <w:rFonts w:ascii="Arial" w:eastAsia="Arial" w:hAnsi="Arial" w:cs="Arial"/>
          <w:szCs w:val="22"/>
          <w:lang w:val="es-PY"/>
        </w:rPr>
        <w:t>, así como los parámetros de eliminación (persistencia y depuración).</w:t>
      </w:r>
    </w:p>
    <w:p w:rsidR="00D65C53" w:rsidRPr="00D65C53" w:rsidRDefault="00D65C53" w:rsidP="00D65C53">
      <w:pPr>
        <w:spacing w:after="120"/>
        <w:jc w:val="both"/>
        <w:rPr>
          <w:rFonts w:ascii="Arial" w:eastAsia="Arial" w:hAnsi="Arial" w:cs="Arial"/>
          <w:szCs w:val="22"/>
          <w:lang w:val="es-PY"/>
        </w:rPr>
      </w:pPr>
      <w:r w:rsidRPr="00D65C53">
        <w:rPr>
          <w:rFonts w:ascii="Arial" w:eastAsia="Arial" w:hAnsi="Arial" w:cs="Arial"/>
          <w:szCs w:val="22"/>
          <w:lang w:val="es-PY"/>
        </w:rPr>
        <w:t xml:space="preserve">En el caso de los </w:t>
      </w:r>
      <w:proofErr w:type="spellStart"/>
      <w:r w:rsidRPr="00D65C53">
        <w:rPr>
          <w:rFonts w:ascii="Arial" w:eastAsia="Arial" w:hAnsi="Arial" w:cs="Arial"/>
          <w:szCs w:val="22"/>
          <w:lang w:val="es-PY"/>
        </w:rPr>
        <w:t>ATMPs</w:t>
      </w:r>
      <w:proofErr w:type="spellEnd"/>
      <w:r w:rsidRPr="00D65C53">
        <w:rPr>
          <w:rFonts w:ascii="Arial" w:eastAsia="Arial" w:hAnsi="Arial" w:cs="Arial"/>
          <w:szCs w:val="22"/>
          <w:lang w:val="es-PY"/>
        </w:rPr>
        <w:t xml:space="preserve"> basados en células, incluidas las células modificadas genéticamente, deben abordarse la distribución, migración, expansión y persistencia de las células, con el fin de identificar riesgos relevantes relacionados con una </w:t>
      </w:r>
      <w:proofErr w:type="spellStart"/>
      <w:r w:rsidRPr="00D65C53">
        <w:rPr>
          <w:rFonts w:ascii="Arial" w:eastAsia="Arial" w:hAnsi="Arial" w:cs="Arial"/>
          <w:szCs w:val="22"/>
          <w:lang w:val="es-PY"/>
        </w:rPr>
        <w:t>biodistribución</w:t>
      </w:r>
      <w:proofErr w:type="spellEnd"/>
      <w:r w:rsidRPr="00D65C53">
        <w:rPr>
          <w:rFonts w:ascii="Arial" w:eastAsia="Arial" w:hAnsi="Arial" w:cs="Arial"/>
          <w:szCs w:val="22"/>
          <w:lang w:val="es-PY"/>
        </w:rPr>
        <w:t xml:space="preserve"> no deseada y enfocar los estudios no clínicos de seguridad en los aspectos pertinentes para el uso clínico previsto. Para las células modificadas genéticamente de origen hematopoyético, véase la Guía ICH S12 sobre consideraciones de </w:t>
      </w:r>
      <w:proofErr w:type="spellStart"/>
      <w:r w:rsidRPr="00D65C53">
        <w:rPr>
          <w:rFonts w:ascii="Arial" w:eastAsia="Arial" w:hAnsi="Arial" w:cs="Arial"/>
          <w:szCs w:val="22"/>
          <w:lang w:val="es-PY"/>
        </w:rPr>
        <w:t>biodistribución</w:t>
      </w:r>
      <w:proofErr w:type="spellEnd"/>
      <w:r w:rsidRPr="00D65C53">
        <w:rPr>
          <w:rFonts w:ascii="Arial" w:eastAsia="Arial" w:hAnsi="Arial" w:cs="Arial"/>
          <w:szCs w:val="22"/>
          <w:lang w:val="es-PY"/>
        </w:rPr>
        <w:t xml:space="preserve"> no clínica para productos de terapia génica.</w:t>
      </w:r>
    </w:p>
    <w:p w:rsidR="00D65C53" w:rsidRPr="00D65C53" w:rsidRDefault="00D65C53" w:rsidP="00D65C53">
      <w:pPr>
        <w:spacing w:after="120"/>
        <w:jc w:val="both"/>
        <w:rPr>
          <w:rFonts w:ascii="Arial" w:eastAsia="Arial" w:hAnsi="Arial" w:cs="Arial"/>
          <w:szCs w:val="22"/>
          <w:lang w:val="es-PY"/>
        </w:rPr>
      </w:pPr>
      <w:r w:rsidRPr="00D65C53">
        <w:rPr>
          <w:rFonts w:ascii="Arial" w:eastAsia="Arial" w:hAnsi="Arial" w:cs="Arial"/>
          <w:szCs w:val="22"/>
          <w:lang w:val="es-PY"/>
        </w:rPr>
        <w:lastRenderedPageBreak/>
        <w:t xml:space="preserve">La información sobre la persistencia de las células en el huésped debe orientar la selección de los estudios de seguridad relevantes y de los órganos diana, así como el diseño del estudio y la duración del seguimiento, a fin de garantizar una monitorización suficiente para detectar tanto efectos agudos como tardíos o diferidos, y también evitar pruebas innecesarias en el caso de una persistencia transitoria a corto plazo de las células administradas. El enfoque basado en el riesgo puede utilizarse para determinar la necesidad de estudios de </w:t>
      </w:r>
      <w:proofErr w:type="spellStart"/>
      <w:r w:rsidRPr="00D65C53">
        <w:rPr>
          <w:rFonts w:ascii="Arial" w:eastAsia="Arial" w:hAnsi="Arial" w:cs="Arial"/>
          <w:szCs w:val="22"/>
          <w:lang w:val="es-PY"/>
        </w:rPr>
        <w:t>biodistribución</w:t>
      </w:r>
      <w:proofErr w:type="spellEnd"/>
      <w:r w:rsidRPr="00D65C53">
        <w:rPr>
          <w:rFonts w:ascii="Arial" w:eastAsia="Arial" w:hAnsi="Arial" w:cs="Arial"/>
          <w:szCs w:val="22"/>
          <w:lang w:val="es-PY"/>
        </w:rPr>
        <w:t xml:space="preserve"> en células no modificadas genéticamente.</w:t>
      </w:r>
    </w:p>
    <w:p w:rsidR="00D65C53" w:rsidRPr="00D65C53" w:rsidRDefault="00D65C53" w:rsidP="00D65C53">
      <w:pPr>
        <w:spacing w:after="120"/>
        <w:jc w:val="both"/>
        <w:rPr>
          <w:rFonts w:ascii="Arial" w:eastAsia="Arial" w:hAnsi="Arial" w:cs="Arial"/>
          <w:szCs w:val="22"/>
          <w:lang w:val="es-PY"/>
        </w:rPr>
      </w:pPr>
      <w:r w:rsidRPr="00D65C53">
        <w:rPr>
          <w:rFonts w:ascii="Arial" w:eastAsia="Arial" w:hAnsi="Arial" w:cs="Arial"/>
          <w:szCs w:val="22"/>
          <w:lang w:val="es-PY"/>
        </w:rPr>
        <w:t xml:space="preserve">La necesidad de estudios de </w:t>
      </w:r>
      <w:proofErr w:type="spellStart"/>
      <w:r w:rsidRPr="00D65C53">
        <w:rPr>
          <w:rFonts w:ascii="Arial" w:eastAsia="Arial" w:hAnsi="Arial" w:cs="Arial"/>
          <w:szCs w:val="22"/>
          <w:lang w:val="es-PY"/>
        </w:rPr>
        <w:t>biodistribución</w:t>
      </w:r>
      <w:proofErr w:type="spellEnd"/>
      <w:r w:rsidRPr="00D65C53">
        <w:rPr>
          <w:rFonts w:ascii="Arial" w:eastAsia="Arial" w:hAnsi="Arial" w:cs="Arial"/>
          <w:szCs w:val="22"/>
          <w:lang w:val="es-PY"/>
        </w:rPr>
        <w:t xml:space="preserve"> depende de la vía de administración, así como del confinamiento estructural o fisiológico de las células. Si las células se administran mediante una vía que permite su distribución desde el sitio de administración y conduce a una exposición sistémica, se requieren datos de </w:t>
      </w:r>
      <w:proofErr w:type="spellStart"/>
      <w:r w:rsidRPr="00D65C53">
        <w:rPr>
          <w:rFonts w:ascii="Arial" w:eastAsia="Arial" w:hAnsi="Arial" w:cs="Arial"/>
          <w:szCs w:val="22"/>
          <w:lang w:val="es-PY"/>
        </w:rPr>
        <w:t>biodistribución</w:t>
      </w:r>
      <w:proofErr w:type="spellEnd"/>
      <w:r w:rsidRPr="00D65C53">
        <w:rPr>
          <w:rFonts w:ascii="Arial" w:eastAsia="Arial" w:hAnsi="Arial" w:cs="Arial"/>
          <w:szCs w:val="22"/>
          <w:lang w:val="es-PY"/>
        </w:rPr>
        <w:t xml:space="preserve"> para identificar posibles órganos diana. En cambio, el potencial de distribución de las células se considera limitado si estas se encuentran estructural o físicamente contenidas, por ejemplo, cultivadas sobre una matriz o un andamio, o aplicadas en un espacio confinado, cerrado con una membrana para evitar su distribución. En tales casos, los datos de </w:t>
      </w:r>
      <w:proofErr w:type="spellStart"/>
      <w:r w:rsidRPr="00D65C53">
        <w:rPr>
          <w:rFonts w:ascii="Arial" w:eastAsia="Arial" w:hAnsi="Arial" w:cs="Arial"/>
          <w:szCs w:val="22"/>
          <w:lang w:val="es-PY"/>
        </w:rPr>
        <w:t>biodistribución</w:t>
      </w:r>
      <w:proofErr w:type="spellEnd"/>
      <w:r w:rsidRPr="00D65C53">
        <w:rPr>
          <w:rFonts w:ascii="Arial" w:eastAsia="Arial" w:hAnsi="Arial" w:cs="Arial"/>
          <w:szCs w:val="22"/>
          <w:lang w:val="es-PY"/>
        </w:rPr>
        <w:t xml:space="preserve"> pueden no ser necesarios. Sin embargo, debe demostrarse la integridad estructural del método de confinamiento en el sitio de administración para asegurar que no exista fuga no intencionada de las células.</w:t>
      </w:r>
    </w:p>
    <w:p w:rsidR="005C2102" w:rsidRDefault="00D65C53" w:rsidP="00D65C53">
      <w:pPr>
        <w:spacing w:after="120"/>
        <w:jc w:val="both"/>
        <w:rPr>
          <w:rFonts w:ascii="Arial" w:eastAsia="Arial" w:hAnsi="Arial" w:cs="Arial"/>
          <w:szCs w:val="22"/>
          <w:lang w:val="es-PY"/>
        </w:rPr>
      </w:pPr>
      <w:r w:rsidRPr="00D65C53">
        <w:rPr>
          <w:rFonts w:ascii="Arial" w:eastAsia="Arial" w:hAnsi="Arial" w:cs="Arial"/>
          <w:szCs w:val="22"/>
          <w:lang w:val="es-PY"/>
        </w:rPr>
        <w:t xml:space="preserve">En el caso de los </w:t>
      </w:r>
      <w:proofErr w:type="spellStart"/>
      <w:r w:rsidRPr="00D65C53">
        <w:rPr>
          <w:rFonts w:ascii="Arial" w:eastAsia="Arial" w:hAnsi="Arial" w:cs="Arial"/>
          <w:szCs w:val="22"/>
          <w:lang w:val="es-PY"/>
        </w:rPr>
        <w:t>GTMPs</w:t>
      </w:r>
      <w:proofErr w:type="spellEnd"/>
      <w:r w:rsidRPr="00D65C53">
        <w:rPr>
          <w:rFonts w:ascii="Arial" w:eastAsia="Arial" w:hAnsi="Arial" w:cs="Arial"/>
          <w:szCs w:val="22"/>
          <w:lang w:val="es-PY"/>
        </w:rPr>
        <w:t xml:space="preserve"> en investigación, el perfil de distribución es importante para la interpretación de los efectos terapéuticos relevantes observados en los estudios de prueba de concepto. Una visión armonizada a nivel global sobre las expectativas de análisis de </w:t>
      </w:r>
      <w:proofErr w:type="spellStart"/>
      <w:r w:rsidRPr="00D65C53">
        <w:rPr>
          <w:rFonts w:ascii="Arial" w:eastAsia="Arial" w:hAnsi="Arial" w:cs="Arial"/>
          <w:szCs w:val="22"/>
          <w:lang w:val="es-PY"/>
        </w:rPr>
        <w:t>biodistribución</w:t>
      </w:r>
      <w:proofErr w:type="spellEnd"/>
      <w:r w:rsidRPr="00D65C53">
        <w:rPr>
          <w:rFonts w:ascii="Arial" w:eastAsia="Arial" w:hAnsi="Arial" w:cs="Arial"/>
          <w:szCs w:val="22"/>
          <w:lang w:val="es-PY"/>
        </w:rPr>
        <w:t xml:space="preserve"> de los </w:t>
      </w:r>
      <w:proofErr w:type="spellStart"/>
      <w:r w:rsidRPr="00D65C53">
        <w:rPr>
          <w:rFonts w:ascii="Arial" w:eastAsia="Arial" w:hAnsi="Arial" w:cs="Arial"/>
          <w:szCs w:val="22"/>
          <w:lang w:val="es-PY"/>
        </w:rPr>
        <w:t>GTMPs</w:t>
      </w:r>
      <w:proofErr w:type="spellEnd"/>
      <w:r w:rsidRPr="00D65C53">
        <w:rPr>
          <w:rFonts w:ascii="Arial" w:eastAsia="Arial" w:hAnsi="Arial" w:cs="Arial"/>
          <w:szCs w:val="22"/>
          <w:lang w:val="es-PY"/>
        </w:rPr>
        <w:t>, así como consideraciones sobre la dosis, el diseño del estudio, la metodología de los ensayos y la modificación de vectores, se ha descrito en la Guía ICH S12.</w:t>
      </w:r>
    </w:p>
    <w:p w:rsidR="0093002E" w:rsidRPr="0093002E" w:rsidRDefault="0093002E" w:rsidP="0093002E">
      <w:pPr>
        <w:spacing w:after="120"/>
        <w:jc w:val="both"/>
        <w:rPr>
          <w:rFonts w:ascii="Arial" w:eastAsia="Arial" w:hAnsi="Arial" w:cs="Arial"/>
          <w:szCs w:val="22"/>
          <w:lang w:val="es-PY"/>
        </w:rPr>
      </w:pPr>
      <w:r w:rsidRPr="0093002E">
        <w:rPr>
          <w:rFonts w:ascii="Arial" w:eastAsia="Arial" w:hAnsi="Arial" w:cs="Arial"/>
          <w:szCs w:val="22"/>
          <w:lang w:val="es-PY"/>
        </w:rPr>
        <w:t xml:space="preserve">La dosificación utilizada en los estudios de </w:t>
      </w:r>
      <w:proofErr w:type="spellStart"/>
      <w:r w:rsidRPr="0093002E">
        <w:rPr>
          <w:rFonts w:ascii="Arial" w:eastAsia="Arial" w:hAnsi="Arial" w:cs="Arial"/>
          <w:szCs w:val="22"/>
          <w:lang w:val="es-PY"/>
        </w:rPr>
        <w:t>biodistribución</w:t>
      </w:r>
      <w:proofErr w:type="spellEnd"/>
      <w:r w:rsidRPr="0093002E">
        <w:rPr>
          <w:rFonts w:ascii="Arial" w:eastAsia="Arial" w:hAnsi="Arial" w:cs="Arial"/>
          <w:szCs w:val="22"/>
          <w:lang w:val="es-PY"/>
        </w:rPr>
        <w:t xml:space="preserve"> debe ser equivalente o superior al nivel máximo de dosis clínica previsto. La vía de administración y el régimen de tratamiento (frecuencia y duración) deben ser representativos del uso clínico.</w:t>
      </w:r>
    </w:p>
    <w:p w:rsidR="0093002E" w:rsidRPr="0093002E" w:rsidRDefault="0093002E" w:rsidP="0093002E">
      <w:pPr>
        <w:spacing w:after="120"/>
        <w:jc w:val="both"/>
        <w:rPr>
          <w:rFonts w:ascii="Arial" w:eastAsia="Arial" w:hAnsi="Arial" w:cs="Arial"/>
          <w:szCs w:val="22"/>
          <w:lang w:val="es-PY"/>
        </w:rPr>
      </w:pPr>
      <w:r w:rsidRPr="0093002E">
        <w:rPr>
          <w:rFonts w:ascii="Arial" w:eastAsia="Arial" w:hAnsi="Arial" w:cs="Arial"/>
          <w:szCs w:val="22"/>
          <w:lang w:val="es-PY"/>
        </w:rPr>
        <w:t xml:space="preserve">Además, la evaluación de la </w:t>
      </w:r>
      <w:proofErr w:type="spellStart"/>
      <w:r w:rsidRPr="0093002E">
        <w:rPr>
          <w:rFonts w:ascii="Arial" w:eastAsia="Arial" w:hAnsi="Arial" w:cs="Arial"/>
          <w:szCs w:val="22"/>
          <w:lang w:val="es-PY"/>
        </w:rPr>
        <w:t>biodistribución</w:t>
      </w:r>
      <w:proofErr w:type="spellEnd"/>
      <w:r w:rsidRPr="0093002E">
        <w:rPr>
          <w:rFonts w:ascii="Arial" w:eastAsia="Arial" w:hAnsi="Arial" w:cs="Arial"/>
          <w:szCs w:val="22"/>
          <w:lang w:val="es-PY"/>
        </w:rPr>
        <w:t xml:space="preserve"> de los </w:t>
      </w:r>
      <w:proofErr w:type="spellStart"/>
      <w:r w:rsidRPr="0093002E">
        <w:rPr>
          <w:rFonts w:ascii="Arial" w:eastAsia="Arial" w:hAnsi="Arial" w:cs="Arial"/>
          <w:szCs w:val="22"/>
          <w:lang w:val="es-PY"/>
        </w:rPr>
        <w:t>GTMPs</w:t>
      </w:r>
      <w:proofErr w:type="spellEnd"/>
      <w:r w:rsidRPr="0093002E">
        <w:rPr>
          <w:rFonts w:ascii="Arial" w:eastAsia="Arial" w:hAnsi="Arial" w:cs="Arial"/>
          <w:szCs w:val="22"/>
          <w:lang w:val="es-PY"/>
        </w:rPr>
        <w:t xml:space="preserve"> en investigación tras una única administración puede aportar información sobre la depuración del producto administrado. Si el GTMP administrado es un virus competente para la replicación, los estudios de </w:t>
      </w:r>
      <w:proofErr w:type="spellStart"/>
      <w:r w:rsidRPr="0093002E">
        <w:rPr>
          <w:rFonts w:ascii="Arial" w:eastAsia="Arial" w:hAnsi="Arial" w:cs="Arial"/>
          <w:szCs w:val="22"/>
          <w:lang w:val="es-PY"/>
        </w:rPr>
        <w:t>biodistribución</w:t>
      </w:r>
      <w:proofErr w:type="spellEnd"/>
      <w:r w:rsidRPr="0093002E">
        <w:rPr>
          <w:rFonts w:ascii="Arial" w:eastAsia="Arial" w:hAnsi="Arial" w:cs="Arial"/>
          <w:szCs w:val="22"/>
          <w:lang w:val="es-PY"/>
        </w:rPr>
        <w:t xml:space="preserve"> deben diseñarse para cubrir una posible segunda viremia como resultado de la replicación del virus in vivo.</w:t>
      </w:r>
    </w:p>
    <w:p w:rsidR="0093002E" w:rsidRPr="0093002E" w:rsidRDefault="0093002E" w:rsidP="0093002E">
      <w:pPr>
        <w:spacing w:after="120"/>
        <w:jc w:val="both"/>
        <w:rPr>
          <w:rFonts w:ascii="Arial" w:eastAsia="Arial" w:hAnsi="Arial" w:cs="Arial"/>
          <w:szCs w:val="22"/>
          <w:lang w:val="es-PY"/>
        </w:rPr>
      </w:pPr>
      <w:r w:rsidRPr="0093002E">
        <w:rPr>
          <w:rFonts w:ascii="Arial" w:eastAsia="Arial" w:hAnsi="Arial" w:cs="Arial"/>
          <w:szCs w:val="22"/>
          <w:lang w:val="es-PY"/>
        </w:rPr>
        <w:t xml:space="preserve">Los estudios de farmacocinética deben enfocarse adicionalmente en la depuración de los </w:t>
      </w:r>
      <w:proofErr w:type="spellStart"/>
      <w:r w:rsidRPr="0093002E">
        <w:rPr>
          <w:rFonts w:ascii="Arial" w:eastAsia="Arial" w:hAnsi="Arial" w:cs="Arial"/>
          <w:szCs w:val="22"/>
          <w:lang w:val="es-PY"/>
        </w:rPr>
        <w:t>ATMPs</w:t>
      </w:r>
      <w:proofErr w:type="spellEnd"/>
      <w:r w:rsidRPr="0093002E">
        <w:rPr>
          <w:rFonts w:ascii="Arial" w:eastAsia="Arial" w:hAnsi="Arial" w:cs="Arial"/>
          <w:szCs w:val="22"/>
          <w:lang w:val="es-PY"/>
        </w:rPr>
        <w:t xml:space="preserve"> de terapia génica en investigación.</w:t>
      </w:r>
    </w:p>
    <w:p w:rsidR="00D65C53" w:rsidRDefault="0093002E" w:rsidP="0093002E">
      <w:pPr>
        <w:spacing w:after="120"/>
        <w:jc w:val="both"/>
        <w:rPr>
          <w:rFonts w:ascii="Arial" w:eastAsia="Arial" w:hAnsi="Arial" w:cs="Arial"/>
          <w:szCs w:val="22"/>
          <w:lang w:val="es-PY"/>
        </w:rPr>
      </w:pPr>
      <w:r w:rsidRPr="0093002E">
        <w:rPr>
          <w:rFonts w:ascii="Arial" w:eastAsia="Arial" w:hAnsi="Arial" w:cs="Arial"/>
          <w:szCs w:val="22"/>
          <w:lang w:val="es-PY"/>
        </w:rPr>
        <w:lastRenderedPageBreak/>
        <w:t xml:space="preserve">El riesgo de transmisión y modificación de la línea germinal también debe explorarse antes de su uso en humanos. La extensión de los estudios dependerá del tipo de GTMP en investigación y de su distribución hacia las gónadas. </w:t>
      </w:r>
    </w:p>
    <w:p w:rsidR="0093002E" w:rsidRPr="0093002E" w:rsidRDefault="0093002E" w:rsidP="0093002E">
      <w:pPr>
        <w:spacing w:after="120"/>
        <w:jc w:val="both"/>
        <w:rPr>
          <w:rFonts w:ascii="Arial" w:eastAsia="Arial" w:hAnsi="Arial" w:cs="Arial"/>
          <w:i/>
          <w:szCs w:val="22"/>
          <w:lang w:val="es-PY"/>
        </w:rPr>
      </w:pPr>
      <w:r>
        <w:rPr>
          <w:rFonts w:ascii="Arial" w:eastAsia="Arial" w:hAnsi="Arial" w:cs="Arial"/>
          <w:i/>
          <w:szCs w:val="22"/>
          <w:lang w:val="es-PY"/>
        </w:rPr>
        <w:t>-</w:t>
      </w:r>
      <w:r w:rsidR="00F30A8D">
        <w:rPr>
          <w:rFonts w:ascii="Arial" w:eastAsia="Arial" w:hAnsi="Arial" w:cs="Arial"/>
          <w:i/>
          <w:szCs w:val="22"/>
          <w:lang w:val="es-PY"/>
        </w:rPr>
        <w:t>Diseminación</w:t>
      </w:r>
      <w:r w:rsidRPr="0093002E">
        <w:rPr>
          <w:rFonts w:ascii="Arial" w:eastAsia="Arial" w:hAnsi="Arial" w:cs="Arial"/>
          <w:i/>
          <w:szCs w:val="22"/>
          <w:lang w:val="es-PY"/>
        </w:rPr>
        <w:t xml:space="preserve"> (</w:t>
      </w:r>
      <w:proofErr w:type="spellStart"/>
      <w:r w:rsidRPr="0093002E">
        <w:rPr>
          <w:rFonts w:ascii="Arial" w:eastAsia="Arial" w:hAnsi="Arial" w:cs="Arial"/>
          <w:i/>
          <w:szCs w:val="22"/>
          <w:lang w:val="es-PY"/>
        </w:rPr>
        <w:t>Shedding</w:t>
      </w:r>
      <w:proofErr w:type="spellEnd"/>
      <w:r w:rsidRPr="0093002E">
        <w:rPr>
          <w:rFonts w:ascii="Arial" w:eastAsia="Arial" w:hAnsi="Arial" w:cs="Arial"/>
          <w:i/>
          <w:szCs w:val="22"/>
          <w:lang w:val="es-PY"/>
        </w:rPr>
        <w:t>)</w:t>
      </w:r>
    </w:p>
    <w:p w:rsidR="0093002E" w:rsidRPr="0093002E" w:rsidRDefault="0093002E" w:rsidP="0093002E">
      <w:pPr>
        <w:spacing w:after="120"/>
        <w:jc w:val="both"/>
        <w:rPr>
          <w:rFonts w:ascii="Arial" w:eastAsia="Arial" w:hAnsi="Arial" w:cs="Arial"/>
          <w:szCs w:val="22"/>
          <w:lang w:val="es-PY"/>
        </w:rPr>
      </w:pPr>
      <w:r w:rsidRPr="0093002E">
        <w:rPr>
          <w:rFonts w:ascii="Arial" w:eastAsia="Arial" w:hAnsi="Arial" w:cs="Arial"/>
          <w:szCs w:val="22"/>
          <w:lang w:val="es-PY"/>
        </w:rPr>
        <w:t xml:space="preserve">La información sobre la </w:t>
      </w:r>
      <w:r w:rsidR="00F30A8D">
        <w:rPr>
          <w:rFonts w:ascii="Arial" w:eastAsia="Arial" w:hAnsi="Arial" w:cs="Arial"/>
          <w:szCs w:val="22"/>
          <w:lang w:val="es-PY"/>
        </w:rPr>
        <w:t>diseminación</w:t>
      </w:r>
      <w:r w:rsidRPr="0093002E">
        <w:rPr>
          <w:rFonts w:ascii="Arial" w:eastAsia="Arial" w:hAnsi="Arial" w:cs="Arial"/>
          <w:szCs w:val="22"/>
          <w:lang w:val="es-PY"/>
        </w:rPr>
        <w:t xml:space="preserve"> viral o del vector (</w:t>
      </w:r>
      <w:proofErr w:type="spellStart"/>
      <w:r w:rsidRPr="0093002E">
        <w:rPr>
          <w:rFonts w:ascii="Arial" w:eastAsia="Arial" w:hAnsi="Arial" w:cs="Arial"/>
          <w:szCs w:val="22"/>
          <w:lang w:val="es-PY"/>
        </w:rPr>
        <w:t>shedding</w:t>
      </w:r>
      <w:proofErr w:type="spellEnd"/>
      <w:r w:rsidRPr="0093002E">
        <w:rPr>
          <w:rFonts w:ascii="Arial" w:eastAsia="Arial" w:hAnsi="Arial" w:cs="Arial"/>
          <w:szCs w:val="22"/>
          <w:lang w:val="es-PY"/>
        </w:rPr>
        <w:t>) suele ser necesaria para la evaluación del riesgo ambiental. Esta información puede basarse en datos humanos, datos publicados y/o en una justificación científica.</w:t>
      </w:r>
    </w:p>
    <w:p w:rsidR="0093002E" w:rsidRPr="0093002E" w:rsidRDefault="0093002E" w:rsidP="0093002E">
      <w:pPr>
        <w:spacing w:after="120"/>
        <w:jc w:val="both"/>
        <w:rPr>
          <w:rFonts w:ascii="Arial" w:eastAsia="Arial" w:hAnsi="Arial" w:cs="Arial"/>
          <w:szCs w:val="22"/>
          <w:lang w:val="es-PY"/>
        </w:rPr>
      </w:pPr>
      <w:r w:rsidRPr="0093002E">
        <w:rPr>
          <w:rFonts w:ascii="Arial" w:eastAsia="Arial" w:hAnsi="Arial" w:cs="Arial"/>
          <w:szCs w:val="22"/>
          <w:lang w:val="es-PY"/>
        </w:rPr>
        <w:t xml:space="preserve">Los estudios no clínicos de </w:t>
      </w:r>
      <w:r w:rsidR="00F30A8D">
        <w:rPr>
          <w:rFonts w:ascii="Arial" w:eastAsia="Arial" w:hAnsi="Arial" w:cs="Arial"/>
          <w:szCs w:val="22"/>
          <w:lang w:val="es-PY"/>
        </w:rPr>
        <w:t>diseminación</w:t>
      </w:r>
      <w:r w:rsidRPr="0093002E">
        <w:rPr>
          <w:rFonts w:ascii="Arial" w:eastAsia="Arial" w:hAnsi="Arial" w:cs="Arial"/>
          <w:szCs w:val="22"/>
          <w:lang w:val="es-PY"/>
        </w:rPr>
        <w:t xml:space="preserve"> no son obligatorios para los </w:t>
      </w:r>
      <w:proofErr w:type="spellStart"/>
      <w:r w:rsidRPr="0093002E">
        <w:rPr>
          <w:rFonts w:ascii="Arial" w:eastAsia="Arial" w:hAnsi="Arial" w:cs="Arial"/>
          <w:szCs w:val="22"/>
          <w:lang w:val="es-PY"/>
        </w:rPr>
        <w:t>GTMPs</w:t>
      </w:r>
      <w:proofErr w:type="spellEnd"/>
      <w:r w:rsidRPr="0093002E">
        <w:rPr>
          <w:rFonts w:ascii="Arial" w:eastAsia="Arial" w:hAnsi="Arial" w:cs="Arial"/>
          <w:szCs w:val="22"/>
          <w:lang w:val="es-PY"/>
        </w:rPr>
        <w:t xml:space="preserve"> en investigación si existe información suficiente sobre las posibles fuentes de exposición no intencionada.</w:t>
      </w:r>
    </w:p>
    <w:p w:rsidR="0093002E" w:rsidRPr="0093002E" w:rsidRDefault="0093002E" w:rsidP="0093002E">
      <w:pPr>
        <w:spacing w:after="120"/>
        <w:jc w:val="both"/>
        <w:rPr>
          <w:rFonts w:ascii="Arial" w:eastAsia="Arial" w:hAnsi="Arial" w:cs="Arial"/>
          <w:szCs w:val="22"/>
          <w:lang w:val="es-PY"/>
        </w:rPr>
      </w:pPr>
      <w:r w:rsidRPr="0093002E">
        <w:rPr>
          <w:rFonts w:ascii="Arial" w:eastAsia="Arial" w:hAnsi="Arial" w:cs="Arial"/>
          <w:szCs w:val="22"/>
          <w:lang w:val="es-PY"/>
        </w:rPr>
        <w:t xml:space="preserve">Para los tipos novedosos de </w:t>
      </w:r>
      <w:proofErr w:type="spellStart"/>
      <w:r w:rsidRPr="0093002E">
        <w:rPr>
          <w:rFonts w:ascii="Arial" w:eastAsia="Arial" w:hAnsi="Arial" w:cs="Arial"/>
          <w:szCs w:val="22"/>
          <w:lang w:val="es-PY"/>
        </w:rPr>
        <w:t>GTMPs</w:t>
      </w:r>
      <w:proofErr w:type="spellEnd"/>
      <w:r w:rsidRPr="0093002E">
        <w:rPr>
          <w:rFonts w:ascii="Arial" w:eastAsia="Arial" w:hAnsi="Arial" w:cs="Arial"/>
          <w:szCs w:val="22"/>
          <w:lang w:val="es-PY"/>
        </w:rPr>
        <w:t xml:space="preserve"> en investigación, en los que no se disponga de datos no clínicos o clínicos de </w:t>
      </w:r>
      <w:r w:rsidR="00F30A8D">
        <w:rPr>
          <w:rFonts w:ascii="Arial" w:eastAsia="Arial" w:hAnsi="Arial" w:cs="Arial"/>
          <w:szCs w:val="22"/>
          <w:lang w:val="es-PY"/>
        </w:rPr>
        <w:t>diseminación</w:t>
      </w:r>
      <w:r w:rsidRPr="0093002E">
        <w:rPr>
          <w:rFonts w:ascii="Arial" w:eastAsia="Arial" w:hAnsi="Arial" w:cs="Arial"/>
          <w:szCs w:val="22"/>
          <w:lang w:val="es-PY"/>
        </w:rPr>
        <w:t xml:space="preserve">, pueden requerirse estudios no clínicos de </w:t>
      </w:r>
      <w:r w:rsidR="00F30A8D">
        <w:rPr>
          <w:rFonts w:ascii="Arial" w:eastAsia="Arial" w:hAnsi="Arial" w:cs="Arial"/>
          <w:szCs w:val="22"/>
          <w:lang w:val="es-PY"/>
        </w:rPr>
        <w:t>diseminación</w:t>
      </w:r>
      <w:r w:rsidRPr="0093002E">
        <w:rPr>
          <w:rFonts w:ascii="Arial" w:eastAsia="Arial" w:hAnsi="Arial" w:cs="Arial"/>
          <w:szCs w:val="22"/>
          <w:lang w:val="es-PY"/>
        </w:rPr>
        <w:t xml:space="preserve"> antes de los ensayos clínicos. Estos estudios servirán para definir el momento y el muestreo de las pruebas clínicas de </w:t>
      </w:r>
      <w:r w:rsidR="00F30A8D">
        <w:rPr>
          <w:rFonts w:ascii="Arial" w:eastAsia="Arial" w:hAnsi="Arial" w:cs="Arial"/>
          <w:szCs w:val="22"/>
          <w:lang w:val="es-PY"/>
        </w:rPr>
        <w:t>diseminación</w:t>
      </w:r>
      <w:r w:rsidRPr="0093002E">
        <w:rPr>
          <w:rFonts w:ascii="Arial" w:eastAsia="Arial" w:hAnsi="Arial" w:cs="Arial"/>
          <w:szCs w:val="22"/>
          <w:lang w:val="es-PY"/>
        </w:rPr>
        <w:t>.</w:t>
      </w:r>
    </w:p>
    <w:p w:rsidR="00557CB0" w:rsidRPr="00557CB0" w:rsidRDefault="00266D64" w:rsidP="00557CB0">
      <w:pPr>
        <w:spacing w:after="120"/>
        <w:jc w:val="both"/>
        <w:rPr>
          <w:rFonts w:ascii="Arial" w:eastAsia="Arial" w:hAnsi="Arial" w:cs="Arial"/>
          <w:b/>
          <w:i/>
          <w:szCs w:val="22"/>
          <w:lang w:val="es-PY"/>
        </w:rPr>
      </w:pPr>
      <w:r>
        <w:rPr>
          <w:rFonts w:ascii="Arial" w:eastAsia="Arial" w:hAnsi="Arial" w:cs="Arial"/>
          <w:b/>
          <w:i/>
          <w:szCs w:val="22"/>
          <w:lang w:val="es-PY"/>
        </w:rPr>
        <w:t>7</w:t>
      </w:r>
      <w:r w:rsidR="00557CB0" w:rsidRPr="00557CB0">
        <w:rPr>
          <w:rFonts w:ascii="Arial" w:eastAsia="Arial" w:hAnsi="Arial" w:cs="Arial"/>
          <w:b/>
          <w:i/>
          <w:szCs w:val="22"/>
          <w:lang w:val="es-PY"/>
        </w:rPr>
        <w:t>.5. Estudios de toxicidad</w:t>
      </w:r>
    </w:p>
    <w:p w:rsidR="00557CB0" w:rsidRPr="00557CB0" w:rsidRDefault="00557CB0" w:rsidP="00557CB0">
      <w:pPr>
        <w:spacing w:after="120"/>
        <w:jc w:val="both"/>
        <w:rPr>
          <w:rFonts w:ascii="Arial" w:eastAsia="Arial" w:hAnsi="Arial" w:cs="Arial"/>
          <w:szCs w:val="22"/>
          <w:lang w:val="es-PY"/>
        </w:rPr>
      </w:pPr>
      <w:r w:rsidRPr="00557CB0">
        <w:rPr>
          <w:rFonts w:ascii="Arial" w:eastAsia="Arial" w:hAnsi="Arial" w:cs="Arial"/>
          <w:szCs w:val="22"/>
          <w:lang w:val="es-PY"/>
        </w:rPr>
        <w:t xml:space="preserve">Normalmente, se requieren datos no clínicos de seguridad o toxicidad para respaldar la evaluación clínica. La necesidad de estudios adicionales de toxicidad —por ejemplo, genotoxicidad, </w:t>
      </w:r>
      <w:proofErr w:type="spellStart"/>
      <w:r w:rsidRPr="00557CB0">
        <w:rPr>
          <w:rFonts w:ascii="Arial" w:eastAsia="Arial" w:hAnsi="Arial" w:cs="Arial"/>
          <w:szCs w:val="22"/>
          <w:lang w:val="es-PY"/>
        </w:rPr>
        <w:t>tumorigenicidad</w:t>
      </w:r>
      <w:proofErr w:type="spellEnd"/>
      <w:r w:rsidRPr="00557CB0">
        <w:rPr>
          <w:rFonts w:ascii="Arial" w:eastAsia="Arial" w:hAnsi="Arial" w:cs="Arial"/>
          <w:szCs w:val="22"/>
          <w:lang w:val="es-PY"/>
        </w:rPr>
        <w:t xml:space="preserve">, toxicidad reproductiva y del desarrollo, e </w:t>
      </w:r>
      <w:proofErr w:type="spellStart"/>
      <w:r w:rsidRPr="00557CB0">
        <w:rPr>
          <w:rFonts w:ascii="Arial" w:eastAsia="Arial" w:hAnsi="Arial" w:cs="Arial"/>
          <w:szCs w:val="22"/>
          <w:lang w:val="es-PY"/>
        </w:rPr>
        <w:t>inmunotoxicidad</w:t>
      </w:r>
      <w:proofErr w:type="spellEnd"/>
      <w:r w:rsidRPr="00557CB0">
        <w:rPr>
          <w:rFonts w:ascii="Arial" w:eastAsia="Arial" w:hAnsi="Arial" w:cs="Arial"/>
          <w:szCs w:val="22"/>
          <w:lang w:val="es-PY"/>
        </w:rPr>
        <w:t xml:space="preserve">— debe determinarse caso por caso, teniendo en cuenta los riesgos relacionados con la naturaleza y características de la clase particular de </w:t>
      </w:r>
      <w:proofErr w:type="spellStart"/>
      <w:r w:rsidRPr="00557CB0">
        <w:rPr>
          <w:rFonts w:ascii="Arial" w:eastAsia="Arial" w:hAnsi="Arial" w:cs="Arial"/>
          <w:szCs w:val="22"/>
          <w:lang w:val="es-PY"/>
        </w:rPr>
        <w:t>ATMPs</w:t>
      </w:r>
      <w:proofErr w:type="spellEnd"/>
      <w:r w:rsidRPr="00557CB0">
        <w:rPr>
          <w:rFonts w:ascii="Arial" w:eastAsia="Arial" w:hAnsi="Arial" w:cs="Arial"/>
          <w:szCs w:val="22"/>
          <w:lang w:val="es-PY"/>
        </w:rPr>
        <w:t xml:space="preserve"> y el uso clínico previsto.</w:t>
      </w:r>
    </w:p>
    <w:p w:rsidR="00557CB0" w:rsidRPr="00557CB0" w:rsidRDefault="00557CB0" w:rsidP="00557CB0">
      <w:pPr>
        <w:spacing w:after="120"/>
        <w:jc w:val="both"/>
        <w:rPr>
          <w:rFonts w:ascii="Arial" w:eastAsia="Arial" w:hAnsi="Arial" w:cs="Arial"/>
          <w:szCs w:val="22"/>
          <w:lang w:val="es-PY"/>
        </w:rPr>
      </w:pPr>
      <w:r w:rsidRPr="00557CB0">
        <w:rPr>
          <w:rFonts w:ascii="Arial" w:eastAsia="Arial" w:hAnsi="Arial" w:cs="Arial"/>
          <w:szCs w:val="22"/>
          <w:lang w:val="es-PY"/>
        </w:rPr>
        <w:t>Los estudios de seguridad deben diseñarse para generar datos clínicamente significativos y relevantes que respalden el uso seguro del producto en la indicación clínica y la población de pacientes prevista. Los estudios de seguridad en modelos no relevantes pueden resultar engañosos y se desaconsejan.</w:t>
      </w:r>
    </w:p>
    <w:p w:rsidR="00557CB0" w:rsidRPr="00557CB0" w:rsidRDefault="00557CB0" w:rsidP="00557CB0">
      <w:pPr>
        <w:spacing w:after="120"/>
        <w:jc w:val="both"/>
        <w:rPr>
          <w:rFonts w:ascii="Arial" w:eastAsia="Arial" w:hAnsi="Arial" w:cs="Arial"/>
          <w:szCs w:val="22"/>
          <w:lang w:val="es-PY"/>
        </w:rPr>
      </w:pPr>
      <w:r w:rsidRPr="00557CB0">
        <w:rPr>
          <w:rFonts w:ascii="Arial" w:eastAsia="Arial" w:hAnsi="Arial" w:cs="Arial"/>
          <w:szCs w:val="22"/>
          <w:lang w:val="es-PY"/>
        </w:rPr>
        <w:t>Para los estudios toxicológicos, deben seleccionarse niveles de dosis apropiados, así como la vía y los métodos de administración, de manera que representen el uso clínico. El modo y el esquema de administración deberán reflejar adecuadamente la dosificación clínica. Si el ensayo de primera administración en humanos incluye dosis repetidas, esto deberá estar respaldado por datos de toxicidad de dosis repetidas, salvo que exista una justificación (por ejemplo, en indicaciones de cáncer avanzado o si la inmunogenicidad restringe la administración repetida en animales).</w:t>
      </w:r>
    </w:p>
    <w:p w:rsidR="0093002E" w:rsidRDefault="00557CB0" w:rsidP="00557CB0">
      <w:pPr>
        <w:spacing w:after="120"/>
        <w:jc w:val="both"/>
        <w:rPr>
          <w:rFonts w:ascii="Arial" w:eastAsia="Arial" w:hAnsi="Arial" w:cs="Arial"/>
          <w:szCs w:val="22"/>
          <w:lang w:val="es-PY"/>
        </w:rPr>
      </w:pPr>
      <w:r w:rsidRPr="00557CB0">
        <w:rPr>
          <w:rFonts w:ascii="Arial" w:eastAsia="Arial" w:hAnsi="Arial" w:cs="Arial"/>
          <w:szCs w:val="22"/>
          <w:lang w:val="es-PY"/>
        </w:rPr>
        <w:t xml:space="preserve">Para los </w:t>
      </w:r>
      <w:proofErr w:type="spellStart"/>
      <w:r w:rsidRPr="00557CB0">
        <w:rPr>
          <w:rFonts w:ascii="Arial" w:eastAsia="Arial" w:hAnsi="Arial" w:cs="Arial"/>
          <w:szCs w:val="22"/>
          <w:lang w:val="es-PY"/>
        </w:rPr>
        <w:t>ATMPs</w:t>
      </w:r>
      <w:proofErr w:type="spellEnd"/>
      <w:r w:rsidRPr="00557CB0">
        <w:rPr>
          <w:rFonts w:ascii="Arial" w:eastAsia="Arial" w:hAnsi="Arial" w:cs="Arial"/>
          <w:szCs w:val="22"/>
          <w:lang w:val="es-PY"/>
        </w:rPr>
        <w:t xml:space="preserve"> en investigación destinados a una administración única, deberán realizarse estudios de toxicidad de dosis única con un período de observación </w:t>
      </w:r>
      <w:r w:rsidRPr="00557CB0">
        <w:rPr>
          <w:rFonts w:ascii="Arial" w:eastAsia="Arial" w:hAnsi="Arial" w:cs="Arial"/>
          <w:szCs w:val="22"/>
          <w:lang w:val="es-PY"/>
        </w:rPr>
        <w:lastRenderedPageBreak/>
        <w:t>posterior suficientemente prolongado, a fin de detectar preocupaciones de seguridad relevantes. La duración del seguimiento debe tener en cuenta el tiempo de persistencia del producto administrado.</w:t>
      </w:r>
    </w:p>
    <w:p w:rsidR="00065F06" w:rsidRPr="00065F06" w:rsidRDefault="00065F06" w:rsidP="00065F06">
      <w:pPr>
        <w:spacing w:after="120"/>
        <w:jc w:val="both"/>
        <w:rPr>
          <w:rFonts w:ascii="Arial" w:eastAsia="Arial" w:hAnsi="Arial" w:cs="Arial"/>
          <w:szCs w:val="22"/>
          <w:lang w:val="es-PY"/>
        </w:rPr>
      </w:pPr>
      <w:r w:rsidRPr="00065F06">
        <w:rPr>
          <w:rFonts w:ascii="Arial" w:eastAsia="Arial" w:hAnsi="Arial" w:cs="Arial"/>
          <w:szCs w:val="22"/>
          <w:lang w:val="es-PY"/>
        </w:rPr>
        <w:t xml:space="preserve">Los datos de seguridad pueden recopilarse tanto en estudios toxicológicos como en estudios de prueba de concepto realizados en modelos de enfermedad, siempre que se incluyan parámetros de seguridad adecuados. Los datos in </w:t>
      </w:r>
      <w:proofErr w:type="spellStart"/>
      <w:r w:rsidRPr="00065F06">
        <w:rPr>
          <w:rFonts w:ascii="Arial" w:eastAsia="Arial" w:hAnsi="Arial" w:cs="Arial"/>
          <w:szCs w:val="22"/>
          <w:lang w:val="es-PY"/>
        </w:rPr>
        <w:t>silico</w:t>
      </w:r>
      <w:proofErr w:type="spellEnd"/>
      <w:r w:rsidRPr="00065F06">
        <w:rPr>
          <w:rFonts w:ascii="Arial" w:eastAsia="Arial" w:hAnsi="Arial" w:cs="Arial"/>
          <w:szCs w:val="22"/>
          <w:lang w:val="es-PY"/>
        </w:rPr>
        <w:t>, in vitro y/o ex vivo pueden utilizarse para sustituir o complementar los datos in vivo en animales.</w:t>
      </w:r>
    </w:p>
    <w:p w:rsidR="00065F06" w:rsidRPr="00065F06" w:rsidRDefault="00065F06" w:rsidP="00065F06">
      <w:pPr>
        <w:spacing w:after="120"/>
        <w:jc w:val="both"/>
        <w:rPr>
          <w:rFonts w:ascii="Arial" w:eastAsia="Arial" w:hAnsi="Arial" w:cs="Arial"/>
          <w:szCs w:val="22"/>
          <w:lang w:val="es-PY"/>
        </w:rPr>
      </w:pPr>
      <w:r w:rsidRPr="00065F06">
        <w:rPr>
          <w:rFonts w:ascii="Arial" w:eastAsia="Arial" w:hAnsi="Arial" w:cs="Arial"/>
          <w:szCs w:val="22"/>
          <w:lang w:val="es-PY"/>
        </w:rPr>
        <w:t xml:space="preserve">La evaluación global de la seguridad debe tener en cuenta la persistencia celular y los datos de </w:t>
      </w:r>
      <w:proofErr w:type="spellStart"/>
      <w:r w:rsidRPr="00065F06">
        <w:rPr>
          <w:rFonts w:ascii="Arial" w:eastAsia="Arial" w:hAnsi="Arial" w:cs="Arial"/>
          <w:szCs w:val="22"/>
          <w:lang w:val="es-PY"/>
        </w:rPr>
        <w:t>biodistribución</w:t>
      </w:r>
      <w:proofErr w:type="spellEnd"/>
      <w:r w:rsidRPr="00065F06">
        <w:rPr>
          <w:rFonts w:ascii="Arial" w:eastAsia="Arial" w:hAnsi="Arial" w:cs="Arial"/>
          <w:szCs w:val="22"/>
          <w:lang w:val="es-PY"/>
        </w:rPr>
        <w:t>.</w:t>
      </w:r>
    </w:p>
    <w:p w:rsidR="0085297C" w:rsidRDefault="00065F06" w:rsidP="00065F06">
      <w:pPr>
        <w:spacing w:after="120"/>
        <w:jc w:val="both"/>
        <w:rPr>
          <w:rFonts w:ascii="Arial" w:eastAsia="Arial" w:hAnsi="Arial" w:cs="Arial"/>
          <w:szCs w:val="22"/>
          <w:lang w:val="es-PY"/>
        </w:rPr>
      </w:pPr>
      <w:r w:rsidRPr="00065F06">
        <w:rPr>
          <w:rFonts w:ascii="Arial" w:eastAsia="Arial" w:hAnsi="Arial" w:cs="Arial"/>
          <w:szCs w:val="22"/>
          <w:lang w:val="es-PY"/>
        </w:rPr>
        <w:t>En el caso de que se realicen estudios en animales, una sola especie animal es suficiente si el modelo se considera predictivo. Sin embargo, pueden ser necesarias múltiples especies o cepas animales para cubrir todos los aspectos relevantes de seguridad, caso por caso. Deben incluirse ambos sexos, salvo que exista una justificación para no hacerlo.</w:t>
      </w:r>
    </w:p>
    <w:p w:rsidR="00591775" w:rsidRPr="00591775" w:rsidRDefault="00591775" w:rsidP="00591775">
      <w:pPr>
        <w:spacing w:after="120"/>
        <w:jc w:val="both"/>
        <w:rPr>
          <w:rFonts w:ascii="Arial" w:eastAsia="Arial" w:hAnsi="Arial" w:cs="Arial"/>
          <w:i/>
          <w:szCs w:val="22"/>
          <w:lang w:val="es-PY"/>
        </w:rPr>
      </w:pPr>
      <w:r w:rsidRPr="00591775">
        <w:rPr>
          <w:rFonts w:ascii="Arial" w:eastAsia="Arial" w:hAnsi="Arial" w:cs="Arial"/>
          <w:i/>
          <w:szCs w:val="22"/>
          <w:lang w:val="es-PY"/>
        </w:rPr>
        <w:t>Buenas Prácticas de Laboratorio (GLP)</w:t>
      </w:r>
    </w:p>
    <w:p w:rsidR="00591775" w:rsidRPr="00591775" w:rsidRDefault="00591775" w:rsidP="00591775">
      <w:pPr>
        <w:spacing w:after="120"/>
        <w:jc w:val="both"/>
        <w:rPr>
          <w:rFonts w:ascii="Arial" w:eastAsia="Arial" w:hAnsi="Arial" w:cs="Arial"/>
          <w:szCs w:val="22"/>
          <w:lang w:val="es-PY"/>
        </w:rPr>
      </w:pPr>
      <w:r w:rsidRPr="00591775">
        <w:rPr>
          <w:rFonts w:ascii="Arial" w:eastAsia="Arial" w:hAnsi="Arial" w:cs="Arial"/>
          <w:szCs w:val="22"/>
          <w:lang w:val="es-PY"/>
        </w:rPr>
        <w:t xml:space="preserve">Se espera, en términos generales, que los estudios no clínicos de seguridad fundamentales se realicen en conformidad con los principios de Buenas Prácticas de Laboratorio (GLP). </w:t>
      </w:r>
    </w:p>
    <w:p w:rsidR="00065F06" w:rsidRDefault="00065F06" w:rsidP="00591775">
      <w:pPr>
        <w:spacing w:after="120"/>
        <w:jc w:val="both"/>
        <w:rPr>
          <w:rFonts w:ascii="Arial" w:eastAsia="Arial" w:hAnsi="Arial" w:cs="Arial"/>
          <w:szCs w:val="22"/>
          <w:lang w:val="es-PY"/>
        </w:rPr>
      </w:pPr>
    </w:p>
    <w:p w:rsidR="0056191A" w:rsidRPr="0056191A" w:rsidRDefault="00266D64" w:rsidP="0056191A">
      <w:pPr>
        <w:spacing w:after="120"/>
        <w:jc w:val="both"/>
        <w:rPr>
          <w:rFonts w:ascii="Arial" w:eastAsia="Arial" w:hAnsi="Arial" w:cs="Arial"/>
          <w:b/>
          <w:i/>
          <w:szCs w:val="22"/>
          <w:lang w:val="es-PY"/>
        </w:rPr>
      </w:pPr>
      <w:r>
        <w:rPr>
          <w:rFonts w:ascii="Arial" w:eastAsia="Arial" w:hAnsi="Arial" w:cs="Arial"/>
          <w:b/>
          <w:i/>
          <w:szCs w:val="22"/>
          <w:lang w:val="es-PY"/>
        </w:rPr>
        <w:t>7</w:t>
      </w:r>
      <w:r w:rsidR="0056191A" w:rsidRPr="0056191A">
        <w:rPr>
          <w:rFonts w:ascii="Arial" w:eastAsia="Arial" w:hAnsi="Arial" w:cs="Arial"/>
          <w:b/>
          <w:i/>
          <w:szCs w:val="22"/>
          <w:lang w:val="es-PY"/>
        </w:rPr>
        <w:t>.6. Requisitos mínimos de datos no clínicos antes de los estudios de primera administración en humanos</w:t>
      </w:r>
    </w:p>
    <w:p w:rsidR="0056191A" w:rsidRPr="0056191A" w:rsidRDefault="0056191A" w:rsidP="0056191A">
      <w:pPr>
        <w:spacing w:after="120"/>
        <w:jc w:val="both"/>
        <w:rPr>
          <w:rFonts w:ascii="Arial" w:eastAsia="Arial" w:hAnsi="Arial" w:cs="Arial"/>
          <w:szCs w:val="22"/>
          <w:lang w:val="es-PY"/>
        </w:rPr>
      </w:pPr>
      <w:r w:rsidRPr="0056191A">
        <w:rPr>
          <w:rFonts w:ascii="Arial" w:eastAsia="Arial" w:hAnsi="Arial" w:cs="Arial"/>
          <w:szCs w:val="22"/>
          <w:lang w:val="es-PY"/>
        </w:rPr>
        <w:t xml:space="preserve">La Guía sobre estrategias para identificar y mitigar riesgos en ensayos clínicos de primera administración en humanos y ensayos clínicos tempranos con medicamentos en investigación (EMEA/CHMP/SWP/28367/07 Rev. 1) excluye a los </w:t>
      </w:r>
      <w:proofErr w:type="spellStart"/>
      <w:r w:rsidRPr="0056191A">
        <w:rPr>
          <w:rFonts w:ascii="Arial" w:eastAsia="Arial" w:hAnsi="Arial" w:cs="Arial"/>
          <w:szCs w:val="22"/>
          <w:lang w:val="es-PY"/>
        </w:rPr>
        <w:t>ATMPs</w:t>
      </w:r>
      <w:proofErr w:type="spellEnd"/>
      <w:r w:rsidRPr="0056191A">
        <w:rPr>
          <w:rFonts w:ascii="Arial" w:eastAsia="Arial" w:hAnsi="Arial" w:cs="Arial"/>
          <w:szCs w:val="22"/>
          <w:lang w:val="es-PY"/>
        </w:rPr>
        <w:t>. Sin embargo, los principios descritos en dicha guía pueden seguirse cuando sean aplicables.</w:t>
      </w:r>
    </w:p>
    <w:p w:rsidR="0056191A" w:rsidRPr="0056191A" w:rsidRDefault="0056191A" w:rsidP="0056191A">
      <w:pPr>
        <w:spacing w:after="120"/>
        <w:jc w:val="both"/>
        <w:rPr>
          <w:rFonts w:ascii="Arial" w:eastAsia="Arial" w:hAnsi="Arial" w:cs="Arial"/>
          <w:szCs w:val="22"/>
          <w:lang w:val="es-PY"/>
        </w:rPr>
      </w:pPr>
      <w:r w:rsidRPr="0056191A">
        <w:rPr>
          <w:rFonts w:ascii="Arial" w:eastAsia="Arial" w:hAnsi="Arial" w:cs="Arial"/>
          <w:szCs w:val="22"/>
          <w:lang w:val="es-PY"/>
        </w:rPr>
        <w:t xml:space="preserve">Debido a las características específicas de los </w:t>
      </w:r>
      <w:proofErr w:type="spellStart"/>
      <w:r w:rsidRPr="0056191A">
        <w:rPr>
          <w:rFonts w:ascii="Arial" w:eastAsia="Arial" w:hAnsi="Arial" w:cs="Arial"/>
          <w:szCs w:val="22"/>
          <w:lang w:val="es-PY"/>
        </w:rPr>
        <w:t>ATMPs</w:t>
      </w:r>
      <w:proofErr w:type="spellEnd"/>
      <w:r w:rsidRPr="0056191A">
        <w:rPr>
          <w:rFonts w:ascii="Arial" w:eastAsia="Arial" w:hAnsi="Arial" w:cs="Arial"/>
          <w:szCs w:val="22"/>
          <w:lang w:val="es-PY"/>
        </w:rPr>
        <w:t>, la mayoría de los datos no clínicos deberían estar disponibles antes de la primera administración en humanos. La extensión del paquete de datos no clínicos se determina caso por caso, teniendo en cuenta los riesgos —o la ausencia de ellos— asociados con el producto, el uso clínico previsto y la información pública disponible de productos de naturaleza similar.</w:t>
      </w:r>
    </w:p>
    <w:p w:rsidR="0056191A" w:rsidRPr="0056191A" w:rsidRDefault="0056191A" w:rsidP="0056191A">
      <w:pPr>
        <w:spacing w:after="120"/>
        <w:jc w:val="both"/>
        <w:rPr>
          <w:rFonts w:ascii="Arial" w:eastAsia="Arial" w:hAnsi="Arial" w:cs="Arial"/>
          <w:szCs w:val="22"/>
          <w:lang w:val="es-PY"/>
        </w:rPr>
      </w:pPr>
      <w:r w:rsidRPr="0056191A">
        <w:rPr>
          <w:rFonts w:ascii="Arial" w:eastAsia="Arial" w:hAnsi="Arial" w:cs="Arial"/>
          <w:szCs w:val="22"/>
          <w:lang w:val="es-PY"/>
        </w:rPr>
        <w:t xml:space="preserve">En casos excepcionales, cuando no sea posible generar datos adecuados in vitro, ex vivo o in vivo, deberá presentarse una evaluación integral de riesgos que </w:t>
      </w:r>
      <w:r w:rsidRPr="0056191A">
        <w:rPr>
          <w:rFonts w:ascii="Arial" w:eastAsia="Arial" w:hAnsi="Arial" w:cs="Arial"/>
          <w:szCs w:val="22"/>
          <w:lang w:val="es-PY"/>
        </w:rPr>
        <w:lastRenderedPageBreak/>
        <w:t>aborde los riesgos relacionados con el ATMP en investigación y su uso clínico, describiendo además las medidas para mitigarlos.</w:t>
      </w:r>
    </w:p>
    <w:p w:rsidR="0056191A" w:rsidRPr="0056191A" w:rsidRDefault="0056191A" w:rsidP="0056191A">
      <w:pPr>
        <w:spacing w:after="120"/>
        <w:jc w:val="both"/>
        <w:rPr>
          <w:rFonts w:ascii="Arial" w:eastAsia="Arial" w:hAnsi="Arial" w:cs="Arial"/>
          <w:szCs w:val="22"/>
          <w:lang w:val="es-PY"/>
        </w:rPr>
      </w:pPr>
      <w:r w:rsidRPr="0056191A">
        <w:rPr>
          <w:rFonts w:ascii="Arial" w:eastAsia="Arial" w:hAnsi="Arial" w:cs="Arial"/>
          <w:szCs w:val="22"/>
          <w:lang w:val="es-PY"/>
        </w:rPr>
        <w:t>Como mínimo, antes de la exposición en humanos debe disponerse de la siguiente información:</w:t>
      </w:r>
    </w:p>
    <w:p w:rsidR="0056191A" w:rsidRPr="0056191A" w:rsidRDefault="0056191A" w:rsidP="0056191A">
      <w:pPr>
        <w:spacing w:after="120"/>
        <w:jc w:val="both"/>
        <w:rPr>
          <w:rFonts w:ascii="Arial" w:eastAsia="Arial" w:hAnsi="Arial" w:cs="Arial"/>
          <w:szCs w:val="22"/>
          <w:lang w:val="es-PY"/>
        </w:rPr>
      </w:pPr>
      <w:r>
        <w:rPr>
          <w:rFonts w:ascii="Arial" w:eastAsia="Arial" w:hAnsi="Arial" w:cs="Arial"/>
          <w:szCs w:val="22"/>
          <w:lang w:val="es-PY"/>
        </w:rPr>
        <w:t>-</w:t>
      </w:r>
      <w:r w:rsidRPr="0056191A">
        <w:rPr>
          <w:rFonts w:ascii="Arial" w:eastAsia="Arial" w:hAnsi="Arial" w:cs="Arial"/>
          <w:szCs w:val="22"/>
          <w:lang w:val="es-PY"/>
        </w:rPr>
        <w:t>Evidencia de prueba de concepto en un modelo no clínico relevante.</w:t>
      </w:r>
    </w:p>
    <w:p w:rsidR="0056191A" w:rsidRPr="0056191A" w:rsidRDefault="0056191A" w:rsidP="0056191A">
      <w:pPr>
        <w:spacing w:after="120"/>
        <w:jc w:val="both"/>
        <w:rPr>
          <w:rFonts w:ascii="Arial" w:eastAsia="Arial" w:hAnsi="Arial" w:cs="Arial"/>
          <w:szCs w:val="22"/>
          <w:lang w:val="es-PY"/>
        </w:rPr>
      </w:pPr>
      <w:r>
        <w:rPr>
          <w:rFonts w:ascii="Arial" w:eastAsia="Arial" w:hAnsi="Arial" w:cs="Arial"/>
          <w:szCs w:val="22"/>
          <w:lang w:val="es-PY"/>
        </w:rPr>
        <w:t>-</w:t>
      </w:r>
      <w:r w:rsidRPr="0056191A">
        <w:rPr>
          <w:rFonts w:ascii="Arial" w:eastAsia="Arial" w:hAnsi="Arial" w:cs="Arial"/>
          <w:szCs w:val="22"/>
          <w:lang w:val="es-PY"/>
        </w:rPr>
        <w:t>Evidencia que respalde el uso de la vía de administración, el procedimiento de aplicación y los dispositivos de aplicación.</w:t>
      </w:r>
    </w:p>
    <w:p w:rsidR="0056191A" w:rsidRPr="0056191A" w:rsidRDefault="0056191A" w:rsidP="0056191A">
      <w:pPr>
        <w:spacing w:after="120"/>
        <w:jc w:val="both"/>
        <w:rPr>
          <w:rFonts w:ascii="Arial" w:eastAsia="Arial" w:hAnsi="Arial" w:cs="Arial"/>
          <w:szCs w:val="22"/>
          <w:lang w:val="es-PY"/>
        </w:rPr>
      </w:pPr>
      <w:r>
        <w:rPr>
          <w:rFonts w:ascii="Arial" w:eastAsia="Arial" w:hAnsi="Arial" w:cs="Arial"/>
          <w:szCs w:val="22"/>
          <w:lang w:val="es-PY"/>
        </w:rPr>
        <w:t>-</w:t>
      </w:r>
      <w:r w:rsidRPr="0056191A">
        <w:rPr>
          <w:rFonts w:ascii="Arial" w:eastAsia="Arial" w:hAnsi="Arial" w:cs="Arial"/>
          <w:szCs w:val="22"/>
          <w:lang w:val="es-PY"/>
        </w:rPr>
        <w:t>Evidencia que respalde la selección de una dosis inicial segura y biológicamente eficaz.</w:t>
      </w:r>
    </w:p>
    <w:p w:rsidR="0056191A" w:rsidRPr="0056191A" w:rsidRDefault="0056191A" w:rsidP="0056191A">
      <w:pPr>
        <w:spacing w:after="120"/>
        <w:jc w:val="both"/>
        <w:rPr>
          <w:rFonts w:ascii="Arial" w:eastAsia="Arial" w:hAnsi="Arial" w:cs="Arial"/>
          <w:szCs w:val="22"/>
          <w:lang w:val="es-PY"/>
        </w:rPr>
      </w:pPr>
      <w:r>
        <w:rPr>
          <w:rFonts w:ascii="Arial" w:eastAsia="Arial" w:hAnsi="Arial" w:cs="Arial"/>
          <w:szCs w:val="22"/>
          <w:lang w:val="es-PY"/>
        </w:rPr>
        <w:t>-</w:t>
      </w:r>
      <w:r w:rsidRPr="0056191A">
        <w:rPr>
          <w:rFonts w:ascii="Arial" w:eastAsia="Arial" w:hAnsi="Arial" w:cs="Arial"/>
          <w:szCs w:val="22"/>
          <w:lang w:val="es-PY"/>
        </w:rPr>
        <w:t>Datos de seguridad apropiados.</w:t>
      </w:r>
    </w:p>
    <w:p w:rsidR="0056191A" w:rsidRPr="00574A18" w:rsidRDefault="0056191A" w:rsidP="00574A18">
      <w:pPr>
        <w:pStyle w:val="Prrafodelista"/>
        <w:numPr>
          <w:ilvl w:val="0"/>
          <w:numId w:val="4"/>
        </w:numPr>
        <w:spacing w:after="120"/>
        <w:jc w:val="both"/>
        <w:rPr>
          <w:rFonts w:ascii="Arial" w:eastAsia="Arial" w:hAnsi="Arial" w:cs="Arial"/>
          <w:i/>
          <w:szCs w:val="22"/>
          <w:lang w:val="es-PY"/>
        </w:rPr>
      </w:pPr>
      <w:r w:rsidRPr="00574A18">
        <w:rPr>
          <w:rFonts w:ascii="Arial" w:eastAsia="Arial" w:hAnsi="Arial" w:cs="Arial"/>
          <w:i/>
          <w:szCs w:val="22"/>
          <w:lang w:val="es-PY"/>
        </w:rPr>
        <w:t>Prueba de concepto</w:t>
      </w:r>
    </w:p>
    <w:p w:rsidR="0056191A" w:rsidRPr="0056191A" w:rsidRDefault="0056191A" w:rsidP="0056191A">
      <w:pPr>
        <w:spacing w:after="120"/>
        <w:jc w:val="both"/>
        <w:rPr>
          <w:rFonts w:ascii="Arial" w:eastAsia="Arial" w:hAnsi="Arial" w:cs="Arial"/>
          <w:szCs w:val="22"/>
          <w:lang w:val="es-PY"/>
        </w:rPr>
      </w:pPr>
      <w:r w:rsidRPr="0056191A">
        <w:rPr>
          <w:rFonts w:ascii="Arial" w:eastAsia="Arial" w:hAnsi="Arial" w:cs="Arial"/>
          <w:szCs w:val="22"/>
          <w:lang w:val="es-PY"/>
        </w:rPr>
        <w:t>Los estudios de prueba de concepto pueden incluir modelos in vivo que imiten la enfermedad o condición a tratar y/o estudios in vitro y ex vivo para demostrar el modo de acción y la funcionalidad de las células y/o la expresión del transgén.</w:t>
      </w:r>
    </w:p>
    <w:p w:rsidR="007B7B1D" w:rsidRDefault="0056191A" w:rsidP="0056191A">
      <w:pPr>
        <w:spacing w:after="120"/>
        <w:jc w:val="both"/>
        <w:rPr>
          <w:rFonts w:ascii="Arial" w:eastAsia="Arial" w:hAnsi="Arial" w:cs="Arial"/>
          <w:szCs w:val="22"/>
          <w:lang w:val="es-PY"/>
        </w:rPr>
      </w:pPr>
      <w:r w:rsidRPr="0056191A">
        <w:rPr>
          <w:rFonts w:ascii="Arial" w:eastAsia="Arial" w:hAnsi="Arial" w:cs="Arial"/>
          <w:szCs w:val="22"/>
          <w:lang w:val="es-PY"/>
        </w:rPr>
        <w:t>En los casos en que el tiempo necesario para demostrar el efecto terapéutico sea muy prolongado (es decir, superior a 1 año), está justificado presentar un análisis interino de los datos no clínicos de prueba de concepto de menor duración para respaldar el estudio clínico exploratorio. La duración de los estudios de prueba de concepto y la aceptabilidad de los datos interinos para la realización de un ensayo clínico exploratorio pueden determinarse caso por caso.</w:t>
      </w:r>
    </w:p>
    <w:p w:rsidR="00574A18" w:rsidRPr="00574A18" w:rsidRDefault="00574A18" w:rsidP="00574A18">
      <w:pPr>
        <w:pStyle w:val="Prrafodelista"/>
        <w:numPr>
          <w:ilvl w:val="0"/>
          <w:numId w:val="4"/>
        </w:numPr>
        <w:spacing w:after="120"/>
        <w:jc w:val="both"/>
        <w:rPr>
          <w:rFonts w:ascii="Arial" w:eastAsia="Arial" w:hAnsi="Arial" w:cs="Arial"/>
          <w:i/>
          <w:szCs w:val="22"/>
          <w:lang w:val="es-PY"/>
        </w:rPr>
      </w:pPr>
      <w:r w:rsidRPr="00574A18">
        <w:rPr>
          <w:rFonts w:ascii="Arial" w:eastAsia="Arial" w:hAnsi="Arial" w:cs="Arial"/>
          <w:i/>
          <w:szCs w:val="22"/>
          <w:lang w:val="es-PY"/>
        </w:rPr>
        <w:t>Farmacología de seguridad</w:t>
      </w:r>
    </w:p>
    <w:p w:rsidR="00574A18" w:rsidRPr="00574A18" w:rsidRDefault="00574A18" w:rsidP="00574A18">
      <w:pPr>
        <w:spacing w:after="120"/>
        <w:jc w:val="both"/>
        <w:rPr>
          <w:rFonts w:ascii="Arial" w:eastAsia="Arial" w:hAnsi="Arial" w:cs="Arial"/>
          <w:szCs w:val="22"/>
          <w:lang w:val="es-PY"/>
        </w:rPr>
      </w:pPr>
      <w:r w:rsidRPr="00574A18">
        <w:rPr>
          <w:rFonts w:ascii="Arial" w:eastAsia="Arial" w:hAnsi="Arial" w:cs="Arial"/>
          <w:szCs w:val="22"/>
          <w:lang w:val="es-PY"/>
        </w:rPr>
        <w:t xml:space="preserve">Los datos de farmacología de seguridad no se requieren de manera rutinaria para los </w:t>
      </w:r>
      <w:proofErr w:type="spellStart"/>
      <w:r w:rsidRPr="00574A18">
        <w:rPr>
          <w:rFonts w:ascii="Arial" w:eastAsia="Arial" w:hAnsi="Arial" w:cs="Arial"/>
          <w:szCs w:val="22"/>
          <w:lang w:val="es-PY"/>
        </w:rPr>
        <w:t>ATMPs</w:t>
      </w:r>
      <w:proofErr w:type="spellEnd"/>
      <w:r w:rsidRPr="00574A18">
        <w:rPr>
          <w:rFonts w:ascii="Arial" w:eastAsia="Arial" w:hAnsi="Arial" w:cs="Arial"/>
          <w:szCs w:val="22"/>
          <w:lang w:val="es-PY"/>
        </w:rPr>
        <w:t xml:space="preserve"> en investigación. Sin embargo, cuando se anticipen posibles efectos sobre funciones fisiológicas vitales principales —es decir, función cardiovascular, sistema nervioso central o función respiratoria— deberán estar disponibles los datos de farmacología de seguridad antes de la exposición en humanos.</w:t>
      </w:r>
    </w:p>
    <w:p w:rsidR="00574A18" w:rsidRDefault="00574A18" w:rsidP="00574A18">
      <w:pPr>
        <w:spacing w:after="120"/>
        <w:jc w:val="both"/>
        <w:rPr>
          <w:rFonts w:ascii="Arial" w:eastAsia="Arial" w:hAnsi="Arial" w:cs="Arial"/>
          <w:szCs w:val="22"/>
          <w:lang w:val="es-PY"/>
        </w:rPr>
      </w:pPr>
      <w:r w:rsidRPr="00574A18">
        <w:rPr>
          <w:rFonts w:ascii="Arial" w:eastAsia="Arial" w:hAnsi="Arial" w:cs="Arial"/>
          <w:szCs w:val="22"/>
          <w:lang w:val="es-PY"/>
        </w:rPr>
        <w:t>Los parámetros de farmacología de seguridad pueden incorporarse en los estudios de prueba de concepto y/o en los estudios de toxicidad, cuando sea factible.</w:t>
      </w:r>
    </w:p>
    <w:p w:rsidR="009C48B8" w:rsidRPr="009C48B8" w:rsidRDefault="009C48B8" w:rsidP="009C48B8">
      <w:pPr>
        <w:pStyle w:val="Prrafodelista"/>
        <w:numPr>
          <w:ilvl w:val="0"/>
          <w:numId w:val="4"/>
        </w:numPr>
        <w:spacing w:after="120"/>
        <w:jc w:val="both"/>
        <w:rPr>
          <w:rFonts w:ascii="Arial" w:eastAsia="Arial" w:hAnsi="Arial" w:cs="Arial"/>
          <w:i/>
          <w:szCs w:val="22"/>
          <w:lang w:val="es-PY"/>
        </w:rPr>
      </w:pPr>
      <w:r w:rsidRPr="009C48B8">
        <w:rPr>
          <w:rFonts w:ascii="Arial" w:eastAsia="Arial" w:hAnsi="Arial" w:cs="Arial"/>
          <w:i/>
          <w:szCs w:val="22"/>
          <w:lang w:val="es-PY"/>
        </w:rPr>
        <w:t>Farmacocinética</w:t>
      </w:r>
    </w:p>
    <w:p w:rsidR="009C48B8" w:rsidRPr="009C48B8" w:rsidRDefault="009C48B8" w:rsidP="009C48B8">
      <w:pPr>
        <w:spacing w:after="120"/>
        <w:jc w:val="both"/>
        <w:rPr>
          <w:rFonts w:ascii="Arial" w:eastAsia="Arial" w:hAnsi="Arial" w:cs="Arial"/>
          <w:szCs w:val="22"/>
          <w:lang w:val="es-PY"/>
        </w:rPr>
      </w:pPr>
      <w:r w:rsidRPr="009C48B8">
        <w:rPr>
          <w:rFonts w:ascii="Arial" w:eastAsia="Arial" w:hAnsi="Arial" w:cs="Arial"/>
          <w:szCs w:val="22"/>
          <w:lang w:val="es-PY"/>
        </w:rPr>
        <w:t xml:space="preserve">Los datos de </w:t>
      </w:r>
      <w:proofErr w:type="spellStart"/>
      <w:r w:rsidRPr="009C48B8">
        <w:rPr>
          <w:rFonts w:ascii="Arial" w:eastAsia="Arial" w:hAnsi="Arial" w:cs="Arial"/>
          <w:szCs w:val="22"/>
          <w:lang w:val="es-PY"/>
        </w:rPr>
        <w:t>biodistribución</w:t>
      </w:r>
      <w:proofErr w:type="spellEnd"/>
      <w:r w:rsidRPr="009C48B8">
        <w:rPr>
          <w:rFonts w:ascii="Arial" w:eastAsia="Arial" w:hAnsi="Arial" w:cs="Arial"/>
          <w:szCs w:val="22"/>
          <w:lang w:val="es-PY"/>
        </w:rPr>
        <w:t xml:space="preserve"> deben estar disponibles e incluir información sobre la persistencia, la depuración, la duración del efecto y los órganos diana, con el fin de respaldar el diseño y la duración de los estudios de seguridad.</w:t>
      </w:r>
    </w:p>
    <w:p w:rsidR="009C48B8" w:rsidRPr="009C48B8" w:rsidRDefault="009C48B8" w:rsidP="009C48B8">
      <w:pPr>
        <w:spacing w:after="120"/>
        <w:jc w:val="both"/>
        <w:rPr>
          <w:rFonts w:ascii="Arial" w:eastAsia="Arial" w:hAnsi="Arial" w:cs="Arial"/>
          <w:szCs w:val="22"/>
          <w:lang w:val="es-PY"/>
        </w:rPr>
      </w:pPr>
      <w:r w:rsidRPr="009C48B8">
        <w:rPr>
          <w:rFonts w:ascii="Arial" w:eastAsia="Arial" w:hAnsi="Arial" w:cs="Arial"/>
          <w:szCs w:val="22"/>
          <w:lang w:val="es-PY"/>
        </w:rPr>
        <w:lastRenderedPageBreak/>
        <w:t>La extrapolación de información obtenida de productos de tipo similar, utilizando la misma vía de administración y niveles de dosis comparables, puede justificarse en determinados casos y emplearse para apoyar el inicio del desarrollo clínico.</w:t>
      </w:r>
    </w:p>
    <w:p w:rsidR="009C48B8" w:rsidRPr="009C48B8" w:rsidRDefault="009C48B8" w:rsidP="009C48B8">
      <w:pPr>
        <w:spacing w:after="120"/>
        <w:jc w:val="both"/>
        <w:rPr>
          <w:rFonts w:ascii="Arial" w:eastAsia="Arial" w:hAnsi="Arial" w:cs="Arial"/>
          <w:szCs w:val="22"/>
          <w:lang w:val="es-PY"/>
        </w:rPr>
      </w:pPr>
      <w:r w:rsidRPr="009C48B8">
        <w:rPr>
          <w:rFonts w:ascii="Arial" w:eastAsia="Arial" w:hAnsi="Arial" w:cs="Arial"/>
          <w:szCs w:val="22"/>
          <w:lang w:val="es-PY"/>
        </w:rPr>
        <w:t>Los datos de eliminación (</w:t>
      </w:r>
      <w:proofErr w:type="spellStart"/>
      <w:r w:rsidRPr="009C48B8">
        <w:rPr>
          <w:rFonts w:ascii="Arial" w:eastAsia="Arial" w:hAnsi="Arial" w:cs="Arial"/>
          <w:szCs w:val="22"/>
          <w:lang w:val="es-PY"/>
        </w:rPr>
        <w:t>shedding</w:t>
      </w:r>
      <w:proofErr w:type="spellEnd"/>
      <w:r w:rsidRPr="009C48B8">
        <w:rPr>
          <w:rFonts w:ascii="Arial" w:eastAsia="Arial" w:hAnsi="Arial" w:cs="Arial"/>
          <w:szCs w:val="22"/>
          <w:lang w:val="es-PY"/>
        </w:rPr>
        <w:t>) pueden ser necesarios para algunos productos antes de su uso clínico (véase la sección 5.4).</w:t>
      </w:r>
    </w:p>
    <w:p w:rsidR="00574A18" w:rsidRDefault="008F6ACF" w:rsidP="009C48B8">
      <w:pPr>
        <w:spacing w:after="120"/>
        <w:jc w:val="both"/>
        <w:rPr>
          <w:rFonts w:ascii="Arial" w:eastAsia="Arial" w:hAnsi="Arial" w:cs="Arial"/>
          <w:szCs w:val="22"/>
          <w:lang w:val="es-PY"/>
        </w:rPr>
      </w:pPr>
      <w:r w:rsidRPr="008F6ACF">
        <w:rPr>
          <w:rFonts w:ascii="Arial" w:eastAsia="Arial" w:hAnsi="Arial" w:cs="Arial"/>
          <w:szCs w:val="22"/>
          <w:lang w:val="es-PY"/>
        </w:rPr>
        <w:t xml:space="preserve">La validación completa de los métodos </w:t>
      </w:r>
      <w:proofErr w:type="spellStart"/>
      <w:r w:rsidRPr="008F6ACF">
        <w:rPr>
          <w:rFonts w:ascii="Arial" w:eastAsia="Arial" w:hAnsi="Arial" w:cs="Arial"/>
          <w:szCs w:val="22"/>
          <w:lang w:val="es-PY"/>
        </w:rPr>
        <w:t>bioanalíticos</w:t>
      </w:r>
      <w:proofErr w:type="spellEnd"/>
      <w:r w:rsidRPr="008F6ACF">
        <w:rPr>
          <w:rFonts w:ascii="Arial" w:eastAsia="Arial" w:hAnsi="Arial" w:cs="Arial"/>
          <w:szCs w:val="22"/>
          <w:lang w:val="es-PY"/>
        </w:rPr>
        <w:t xml:space="preserve"> puede no ser necesaria antes del primer estudio clínico. Sin embargo, debe proporcionarse información suficiente sobre la idoneidad del método utilizado, por ejemplo, su especificidad y sensibilidad (límite de detección). Se espera que la validación completa respalde las fases posteriores del desarrollo clínico.</w:t>
      </w:r>
    </w:p>
    <w:p w:rsidR="00110B8E" w:rsidRPr="00110B8E" w:rsidRDefault="00110B8E" w:rsidP="00110B8E">
      <w:pPr>
        <w:pStyle w:val="Prrafodelista"/>
        <w:numPr>
          <w:ilvl w:val="0"/>
          <w:numId w:val="4"/>
        </w:numPr>
        <w:spacing w:after="120"/>
        <w:jc w:val="both"/>
        <w:rPr>
          <w:rFonts w:ascii="Arial" w:eastAsia="Arial" w:hAnsi="Arial" w:cs="Arial"/>
          <w:i/>
          <w:szCs w:val="22"/>
          <w:lang w:val="es-PY"/>
        </w:rPr>
      </w:pPr>
      <w:r w:rsidRPr="00110B8E">
        <w:rPr>
          <w:rFonts w:ascii="Arial" w:eastAsia="Arial" w:hAnsi="Arial" w:cs="Arial"/>
          <w:i/>
          <w:szCs w:val="22"/>
          <w:lang w:val="es-PY"/>
        </w:rPr>
        <w:t>Seguridad/toxicidad</w:t>
      </w:r>
    </w:p>
    <w:p w:rsidR="00110B8E" w:rsidRPr="00110B8E" w:rsidRDefault="00110B8E" w:rsidP="00110B8E">
      <w:pPr>
        <w:spacing w:after="120"/>
        <w:jc w:val="both"/>
        <w:rPr>
          <w:rFonts w:ascii="Arial" w:eastAsia="Arial" w:hAnsi="Arial" w:cs="Arial"/>
          <w:szCs w:val="22"/>
          <w:lang w:val="es-PY"/>
        </w:rPr>
      </w:pPr>
      <w:r w:rsidRPr="00110B8E">
        <w:rPr>
          <w:rFonts w:ascii="Arial" w:eastAsia="Arial" w:hAnsi="Arial" w:cs="Arial"/>
          <w:szCs w:val="22"/>
          <w:lang w:val="es-PY"/>
        </w:rPr>
        <w:t>Los estudios generales de seguridad/toxicidad deben proporcionar información para la estimación de una dosis inicial segura, el régimen de dosificación y la identificación de preocupaciones de seguridad relevantes en el uso clínico previsto.</w:t>
      </w:r>
    </w:p>
    <w:p w:rsidR="00110B8E" w:rsidRPr="00110B8E" w:rsidRDefault="00110B8E" w:rsidP="00110B8E">
      <w:pPr>
        <w:spacing w:after="120"/>
        <w:jc w:val="both"/>
        <w:rPr>
          <w:rFonts w:ascii="Arial" w:eastAsia="Arial" w:hAnsi="Arial" w:cs="Arial"/>
          <w:szCs w:val="22"/>
          <w:lang w:val="es-PY"/>
        </w:rPr>
      </w:pPr>
      <w:r w:rsidRPr="00110B8E">
        <w:rPr>
          <w:rFonts w:ascii="Arial" w:eastAsia="Arial" w:hAnsi="Arial" w:cs="Arial"/>
          <w:szCs w:val="22"/>
          <w:lang w:val="es-PY"/>
        </w:rPr>
        <w:t>Puede ser aceptable utilizar la información de seguridad recopilada en estudios de prueba de concepto bien diseñados, que incorporen parámetros de seguridad adecuados, para respaldar los estudios de primera administración en humanos.</w:t>
      </w:r>
    </w:p>
    <w:p w:rsidR="008F6ACF" w:rsidRDefault="00110B8E" w:rsidP="00110B8E">
      <w:pPr>
        <w:spacing w:after="120"/>
        <w:jc w:val="both"/>
        <w:rPr>
          <w:rFonts w:ascii="Arial" w:eastAsia="Arial" w:hAnsi="Arial" w:cs="Arial"/>
          <w:szCs w:val="22"/>
          <w:lang w:val="es-PY"/>
        </w:rPr>
      </w:pPr>
      <w:r w:rsidRPr="00110B8E">
        <w:rPr>
          <w:rFonts w:ascii="Arial" w:eastAsia="Arial" w:hAnsi="Arial" w:cs="Arial"/>
          <w:szCs w:val="22"/>
          <w:lang w:val="es-PY"/>
        </w:rPr>
        <w:t>En el caso de administraciones múltiples del ATMP en investigación en el estudio de primera administración en humanos (FIH), deberán realizarse estudios de toxicidad de dosis repetidas o justificarse su ausencia.</w:t>
      </w:r>
    </w:p>
    <w:p w:rsidR="00232CAD" w:rsidRPr="00232CAD" w:rsidRDefault="00232CAD" w:rsidP="00232CAD">
      <w:pPr>
        <w:pStyle w:val="Prrafodelista"/>
        <w:numPr>
          <w:ilvl w:val="0"/>
          <w:numId w:val="4"/>
        </w:numPr>
        <w:spacing w:after="120"/>
        <w:jc w:val="both"/>
        <w:rPr>
          <w:rFonts w:ascii="Arial" w:eastAsia="Arial" w:hAnsi="Arial" w:cs="Arial"/>
          <w:i/>
          <w:szCs w:val="22"/>
          <w:lang w:val="es-PY"/>
        </w:rPr>
      </w:pPr>
      <w:r w:rsidRPr="00232CAD">
        <w:rPr>
          <w:rFonts w:ascii="Arial" w:eastAsia="Arial" w:hAnsi="Arial" w:cs="Arial"/>
          <w:i/>
          <w:szCs w:val="22"/>
          <w:lang w:val="es-PY"/>
        </w:rPr>
        <w:t>Genotoxicidad</w:t>
      </w:r>
    </w:p>
    <w:p w:rsidR="00232CAD" w:rsidRPr="00232CAD" w:rsidRDefault="00232CAD" w:rsidP="00232CAD">
      <w:pPr>
        <w:spacing w:after="120"/>
        <w:jc w:val="both"/>
        <w:rPr>
          <w:rFonts w:ascii="Arial" w:eastAsia="Arial" w:hAnsi="Arial" w:cs="Arial"/>
          <w:szCs w:val="22"/>
          <w:lang w:val="es-PY"/>
        </w:rPr>
      </w:pPr>
      <w:r w:rsidRPr="00232CAD">
        <w:rPr>
          <w:rFonts w:ascii="Arial" w:eastAsia="Arial" w:hAnsi="Arial" w:cs="Arial"/>
          <w:szCs w:val="22"/>
          <w:lang w:val="es-PY"/>
        </w:rPr>
        <w:t xml:space="preserve">Los ensayos estándar de genotoxicidad generalmente no son apropiados para los </w:t>
      </w:r>
      <w:proofErr w:type="spellStart"/>
      <w:r w:rsidRPr="00232CAD">
        <w:rPr>
          <w:rFonts w:ascii="Arial" w:eastAsia="Arial" w:hAnsi="Arial" w:cs="Arial"/>
          <w:szCs w:val="22"/>
          <w:lang w:val="es-PY"/>
        </w:rPr>
        <w:t>ATMPs</w:t>
      </w:r>
      <w:proofErr w:type="spellEnd"/>
      <w:r w:rsidRPr="00232CAD">
        <w:rPr>
          <w:rFonts w:ascii="Arial" w:eastAsia="Arial" w:hAnsi="Arial" w:cs="Arial"/>
          <w:szCs w:val="22"/>
          <w:lang w:val="es-PY"/>
        </w:rPr>
        <w:t>.</w:t>
      </w:r>
    </w:p>
    <w:p w:rsidR="00232CAD" w:rsidRPr="00232CAD" w:rsidRDefault="00232CAD" w:rsidP="00232CAD">
      <w:pPr>
        <w:spacing w:after="120"/>
        <w:jc w:val="both"/>
        <w:rPr>
          <w:rFonts w:ascii="Arial" w:eastAsia="Arial" w:hAnsi="Arial" w:cs="Arial"/>
          <w:szCs w:val="22"/>
          <w:lang w:val="es-PY"/>
        </w:rPr>
      </w:pPr>
      <w:r w:rsidRPr="00232CAD">
        <w:rPr>
          <w:rFonts w:ascii="Arial" w:eastAsia="Arial" w:hAnsi="Arial" w:cs="Arial"/>
          <w:szCs w:val="22"/>
          <w:lang w:val="es-PY"/>
        </w:rPr>
        <w:t xml:space="preserve">El solicitante debe abordar las preocupaciones relacionadas con la mutagénesis por inserción en el caso de vectores virales integradores, los efectos fuera de objetivo (off-target) y las modificaciones genómicas en los productos de edición génica (véase también la sección 4, S.3.1.2. Estudios de caracterización de </w:t>
      </w:r>
      <w:proofErr w:type="spellStart"/>
      <w:r w:rsidRPr="00232CAD">
        <w:rPr>
          <w:rFonts w:ascii="Arial" w:eastAsia="Arial" w:hAnsi="Arial" w:cs="Arial"/>
          <w:szCs w:val="22"/>
          <w:lang w:val="es-PY"/>
        </w:rPr>
        <w:t>GTMPs</w:t>
      </w:r>
      <w:proofErr w:type="spellEnd"/>
      <w:r w:rsidRPr="00232CAD">
        <w:rPr>
          <w:rFonts w:ascii="Arial" w:eastAsia="Arial" w:hAnsi="Arial" w:cs="Arial"/>
          <w:szCs w:val="22"/>
          <w:lang w:val="es-PY"/>
        </w:rPr>
        <w:t xml:space="preserve"> en investigación), así como las preocupaciones de genotoxicidad relacionadas con una impureza específica o un componente del sistema de administración.</w:t>
      </w:r>
    </w:p>
    <w:p w:rsidR="00110B8E" w:rsidRDefault="00232CAD" w:rsidP="00232CAD">
      <w:pPr>
        <w:spacing w:after="120"/>
        <w:jc w:val="both"/>
        <w:rPr>
          <w:rFonts w:ascii="Arial" w:eastAsia="Arial" w:hAnsi="Arial" w:cs="Arial"/>
          <w:szCs w:val="22"/>
          <w:lang w:val="es-PY"/>
        </w:rPr>
      </w:pPr>
      <w:r w:rsidRPr="00232CAD">
        <w:rPr>
          <w:rFonts w:ascii="Arial" w:eastAsia="Arial" w:hAnsi="Arial" w:cs="Arial"/>
          <w:szCs w:val="22"/>
          <w:lang w:val="es-PY"/>
        </w:rPr>
        <w:t xml:space="preserve">El requisito de estudios de genotoxicidad dependerá de la forma en que se administre el producto terminado (local versus sistémica), de la </w:t>
      </w:r>
      <w:proofErr w:type="spellStart"/>
      <w:r w:rsidRPr="00232CAD">
        <w:rPr>
          <w:rFonts w:ascii="Arial" w:eastAsia="Arial" w:hAnsi="Arial" w:cs="Arial"/>
          <w:szCs w:val="22"/>
          <w:lang w:val="es-PY"/>
        </w:rPr>
        <w:t>biodistribución</w:t>
      </w:r>
      <w:proofErr w:type="spellEnd"/>
      <w:r w:rsidRPr="00232CAD">
        <w:rPr>
          <w:rFonts w:ascii="Arial" w:eastAsia="Arial" w:hAnsi="Arial" w:cs="Arial"/>
          <w:szCs w:val="22"/>
          <w:lang w:val="es-PY"/>
        </w:rPr>
        <w:t xml:space="preserve"> del vector y del estado biológico de las células diana y no diana.</w:t>
      </w:r>
    </w:p>
    <w:p w:rsidR="00836B64" w:rsidRPr="00836B64" w:rsidRDefault="00836B64" w:rsidP="00836B64">
      <w:pPr>
        <w:pStyle w:val="Prrafodelista"/>
        <w:numPr>
          <w:ilvl w:val="0"/>
          <w:numId w:val="4"/>
        </w:numPr>
        <w:spacing w:after="120"/>
        <w:jc w:val="both"/>
        <w:rPr>
          <w:rFonts w:ascii="Arial" w:eastAsia="Arial" w:hAnsi="Arial" w:cs="Arial"/>
          <w:i/>
          <w:szCs w:val="22"/>
          <w:lang w:val="es-PY"/>
        </w:rPr>
      </w:pPr>
      <w:proofErr w:type="spellStart"/>
      <w:r w:rsidRPr="00836B64">
        <w:rPr>
          <w:rFonts w:ascii="Arial" w:eastAsia="Arial" w:hAnsi="Arial" w:cs="Arial"/>
          <w:i/>
          <w:szCs w:val="22"/>
          <w:lang w:val="es-PY"/>
        </w:rPr>
        <w:lastRenderedPageBreak/>
        <w:t>Tumorigenicidad</w:t>
      </w:r>
      <w:proofErr w:type="spellEnd"/>
    </w:p>
    <w:p w:rsidR="00836B64" w:rsidRPr="00836B64" w:rsidRDefault="00836B64" w:rsidP="00836B64">
      <w:pPr>
        <w:spacing w:after="120"/>
        <w:jc w:val="both"/>
        <w:rPr>
          <w:rFonts w:ascii="Arial" w:eastAsia="Arial" w:hAnsi="Arial" w:cs="Arial"/>
          <w:szCs w:val="22"/>
          <w:lang w:val="es-PY"/>
        </w:rPr>
      </w:pPr>
      <w:r w:rsidRPr="00836B64">
        <w:rPr>
          <w:rFonts w:ascii="Arial" w:eastAsia="Arial" w:hAnsi="Arial" w:cs="Arial"/>
          <w:szCs w:val="22"/>
          <w:lang w:val="es-PY"/>
        </w:rPr>
        <w:t>En general, el riesgo de formación tumoral debe abordarse antes de la exposición en humanos. Los estudios estándar de carcinogenicidad de por vida en roedores normalmente no son necesarios.</w:t>
      </w:r>
    </w:p>
    <w:p w:rsidR="00836B64" w:rsidRPr="00836B64" w:rsidRDefault="00836B64" w:rsidP="00836B64">
      <w:pPr>
        <w:spacing w:after="120"/>
        <w:jc w:val="both"/>
        <w:rPr>
          <w:rFonts w:ascii="Arial" w:eastAsia="Arial" w:hAnsi="Arial" w:cs="Arial"/>
          <w:szCs w:val="22"/>
          <w:lang w:val="es-PY"/>
        </w:rPr>
      </w:pPr>
      <w:r w:rsidRPr="00836B64">
        <w:rPr>
          <w:rFonts w:ascii="Arial" w:eastAsia="Arial" w:hAnsi="Arial" w:cs="Arial"/>
          <w:szCs w:val="22"/>
          <w:lang w:val="es-PY"/>
        </w:rPr>
        <w:t xml:space="preserve">Sin embargo, dependiendo del tipo de producto, el potencial </w:t>
      </w:r>
      <w:proofErr w:type="spellStart"/>
      <w:r w:rsidRPr="00836B64">
        <w:rPr>
          <w:rFonts w:ascii="Arial" w:eastAsia="Arial" w:hAnsi="Arial" w:cs="Arial"/>
          <w:szCs w:val="22"/>
          <w:lang w:val="es-PY"/>
        </w:rPr>
        <w:t>tumorigénico</w:t>
      </w:r>
      <w:proofErr w:type="spellEnd"/>
      <w:r w:rsidRPr="00836B64">
        <w:rPr>
          <w:rFonts w:ascii="Arial" w:eastAsia="Arial" w:hAnsi="Arial" w:cs="Arial"/>
          <w:szCs w:val="22"/>
          <w:lang w:val="es-PY"/>
        </w:rPr>
        <w:t xml:space="preserve"> y oncogénico deberá investigarse en modelos relevantes in vitro/in vivo, evaluando señales de neoplasia, activación de oncogenes o el índice de proliferación celular.</w:t>
      </w:r>
    </w:p>
    <w:p w:rsidR="009C48B8" w:rsidRDefault="00836B64" w:rsidP="00836B64">
      <w:pPr>
        <w:spacing w:after="120"/>
        <w:jc w:val="both"/>
        <w:rPr>
          <w:rFonts w:ascii="Arial" w:eastAsia="Arial" w:hAnsi="Arial" w:cs="Arial"/>
          <w:szCs w:val="22"/>
          <w:lang w:val="es-PY"/>
        </w:rPr>
      </w:pPr>
      <w:r w:rsidRPr="00836B64">
        <w:rPr>
          <w:rFonts w:ascii="Arial" w:eastAsia="Arial" w:hAnsi="Arial" w:cs="Arial"/>
          <w:szCs w:val="22"/>
          <w:lang w:val="es-PY"/>
        </w:rPr>
        <w:t>Los datos publicados pueden utilizarse como apoyo en la evaluación del riesgo. La extensión de los datos no clínicos dependerá del riesgo potencial de formación tumoral y deberá basarse principalmente en análisis in vitro y ex vivo, que en algunos casos pueden necesitar complementarse con datos in vivo.</w:t>
      </w:r>
    </w:p>
    <w:p w:rsidR="00540EAA" w:rsidRPr="00540EAA" w:rsidRDefault="00540EAA" w:rsidP="00540EAA">
      <w:pPr>
        <w:pStyle w:val="Prrafodelista"/>
        <w:numPr>
          <w:ilvl w:val="0"/>
          <w:numId w:val="4"/>
        </w:numPr>
        <w:spacing w:after="120"/>
        <w:jc w:val="both"/>
        <w:rPr>
          <w:rFonts w:ascii="Arial" w:eastAsia="Arial" w:hAnsi="Arial" w:cs="Arial"/>
          <w:i/>
          <w:szCs w:val="22"/>
          <w:lang w:val="es-PY"/>
        </w:rPr>
      </w:pPr>
      <w:r w:rsidRPr="00540EAA">
        <w:rPr>
          <w:rFonts w:ascii="Arial" w:eastAsia="Arial" w:hAnsi="Arial" w:cs="Arial"/>
          <w:i/>
          <w:szCs w:val="22"/>
          <w:lang w:val="es-PY"/>
        </w:rPr>
        <w:t xml:space="preserve">Inmunogenicidad e </w:t>
      </w:r>
      <w:proofErr w:type="spellStart"/>
      <w:r w:rsidRPr="00540EAA">
        <w:rPr>
          <w:rFonts w:ascii="Arial" w:eastAsia="Arial" w:hAnsi="Arial" w:cs="Arial"/>
          <w:i/>
          <w:szCs w:val="22"/>
          <w:lang w:val="es-PY"/>
        </w:rPr>
        <w:t>inmunotoxicidad</w:t>
      </w:r>
      <w:proofErr w:type="spellEnd"/>
    </w:p>
    <w:p w:rsidR="00540EAA" w:rsidRPr="00540EAA" w:rsidRDefault="00540EAA" w:rsidP="00540EAA">
      <w:pPr>
        <w:spacing w:after="120"/>
        <w:jc w:val="both"/>
        <w:rPr>
          <w:rFonts w:ascii="Arial" w:eastAsia="Arial" w:hAnsi="Arial" w:cs="Arial"/>
          <w:szCs w:val="22"/>
          <w:lang w:val="es-PY"/>
        </w:rPr>
      </w:pPr>
      <w:r w:rsidRPr="00540EAA">
        <w:rPr>
          <w:rFonts w:ascii="Arial" w:eastAsia="Arial" w:hAnsi="Arial" w:cs="Arial"/>
          <w:szCs w:val="22"/>
          <w:lang w:val="es-PY"/>
        </w:rPr>
        <w:t xml:space="preserve">La administración de </w:t>
      </w:r>
      <w:proofErr w:type="spellStart"/>
      <w:r w:rsidRPr="00540EAA">
        <w:rPr>
          <w:rFonts w:ascii="Arial" w:eastAsia="Arial" w:hAnsi="Arial" w:cs="Arial"/>
          <w:szCs w:val="22"/>
          <w:lang w:val="es-PY"/>
        </w:rPr>
        <w:t>ATMPs</w:t>
      </w:r>
      <w:proofErr w:type="spellEnd"/>
      <w:r w:rsidRPr="00540EAA">
        <w:rPr>
          <w:rFonts w:ascii="Arial" w:eastAsia="Arial" w:hAnsi="Arial" w:cs="Arial"/>
          <w:szCs w:val="22"/>
          <w:lang w:val="es-PY"/>
        </w:rPr>
        <w:t xml:space="preserve"> en investigación puede dar lugar a respuestas inmunitarias de los sistemas innato y adaptativo. Estos aspectos deben considerarse durante el desarrollo no clínico como parte de la evaluación toxicológica global del producto.</w:t>
      </w:r>
    </w:p>
    <w:p w:rsidR="00836B64" w:rsidRDefault="00540EAA" w:rsidP="00540EAA">
      <w:pPr>
        <w:spacing w:after="120"/>
        <w:jc w:val="both"/>
        <w:rPr>
          <w:rFonts w:ascii="Arial" w:eastAsia="Arial" w:hAnsi="Arial" w:cs="Arial"/>
          <w:szCs w:val="22"/>
          <w:lang w:val="es-PY"/>
        </w:rPr>
      </w:pPr>
      <w:r w:rsidRPr="00540EAA">
        <w:rPr>
          <w:rFonts w:ascii="Arial" w:eastAsia="Arial" w:hAnsi="Arial" w:cs="Arial"/>
          <w:szCs w:val="22"/>
          <w:lang w:val="es-PY"/>
        </w:rPr>
        <w:t xml:space="preserve">Caso por caso, y dependiendo del modo de acción, puede ser necesario realizar una evaluación de inmunogenicidad y/o </w:t>
      </w:r>
      <w:proofErr w:type="spellStart"/>
      <w:r w:rsidRPr="00540EAA">
        <w:rPr>
          <w:rFonts w:ascii="Arial" w:eastAsia="Arial" w:hAnsi="Arial" w:cs="Arial"/>
          <w:szCs w:val="22"/>
          <w:lang w:val="es-PY"/>
        </w:rPr>
        <w:t>inmunotoxicidad</w:t>
      </w:r>
      <w:proofErr w:type="spellEnd"/>
      <w:r w:rsidRPr="00540EAA">
        <w:rPr>
          <w:rFonts w:ascii="Arial" w:eastAsia="Arial" w:hAnsi="Arial" w:cs="Arial"/>
          <w:szCs w:val="22"/>
          <w:lang w:val="es-PY"/>
        </w:rPr>
        <w:t>.</w:t>
      </w:r>
    </w:p>
    <w:p w:rsidR="00355291" w:rsidRPr="00355291" w:rsidRDefault="00266D64" w:rsidP="00355291">
      <w:pPr>
        <w:spacing w:after="120"/>
        <w:jc w:val="both"/>
        <w:rPr>
          <w:rFonts w:ascii="Arial" w:eastAsia="Arial" w:hAnsi="Arial" w:cs="Arial"/>
          <w:b/>
          <w:i/>
          <w:szCs w:val="22"/>
          <w:lang w:val="es-PY"/>
        </w:rPr>
      </w:pPr>
      <w:r>
        <w:rPr>
          <w:rFonts w:ascii="Arial" w:eastAsia="Arial" w:hAnsi="Arial" w:cs="Arial"/>
          <w:b/>
          <w:i/>
          <w:szCs w:val="22"/>
          <w:lang w:val="es-PY"/>
        </w:rPr>
        <w:t>7</w:t>
      </w:r>
      <w:r w:rsidR="00355291" w:rsidRPr="00355291">
        <w:rPr>
          <w:rFonts w:ascii="Arial" w:eastAsia="Arial" w:hAnsi="Arial" w:cs="Arial"/>
          <w:b/>
          <w:i/>
          <w:szCs w:val="22"/>
          <w:lang w:val="es-PY"/>
        </w:rPr>
        <w:t>.7. Datos no clínicos que pueden proporcionarse en etapas posteriores del desarrollo</w:t>
      </w:r>
    </w:p>
    <w:p w:rsidR="00540EAA" w:rsidRPr="004344A3" w:rsidRDefault="00355291" w:rsidP="004344A3">
      <w:pPr>
        <w:pStyle w:val="Prrafodelista"/>
        <w:numPr>
          <w:ilvl w:val="0"/>
          <w:numId w:val="4"/>
        </w:numPr>
        <w:spacing w:after="120"/>
        <w:jc w:val="both"/>
        <w:rPr>
          <w:rFonts w:ascii="Arial" w:eastAsia="Arial" w:hAnsi="Arial" w:cs="Arial"/>
          <w:i/>
          <w:szCs w:val="22"/>
          <w:lang w:val="es-PY"/>
        </w:rPr>
      </w:pPr>
      <w:r w:rsidRPr="004344A3">
        <w:rPr>
          <w:rFonts w:ascii="Arial" w:eastAsia="Arial" w:hAnsi="Arial" w:cs="Arial"/>
          <w:i/>
          <w:szCs w:val="22"/>
          <w:lang w:val="es-PY"/>
        </w:rPr>
        <w:t>Seguridad/toxicidad</w:t>
      </w:r>
    </w:p>
    <w:p w:rsidR="00BA0AF2" w:rsidRPr="00BA0AF2" w:rsidRDefault="00BA0AF2" w:rsidP="00BA0AF2">
      <w:pPr>
        <w:spacing w:after="120"/>
        <w:jc w:val="both"/>
        <w:rPr>
          <w:rFonts w:ascii="Arial" w:eastAsia="Arial" w:hAnsi="Arial" w:cs="Arial"/>
          <w:szCs w:val="22"/>
          <w:lang w:val="es-PY"/>
        </w:rPr>
      </w:pPr>
      <w:r w:rsidRPr="00BA0AF2">
        <w:rPr>
          <w:rFonts w:ascii="Arial" w:eastAsia="Arial" w:hAnsi="Arial" w:cs="Arial"/>
          <w:szCs w:val="22"/>
          <w:lang w:val="es-PY"/>
        </w:rPr>
        <w:t>En general, se requieren datos de toxicidad por dosis repetidas para respaldar las administraciones múltiples en humanos. Sin embargo, un estudio clínico con administraciones múltiples podría iniciarse sin datos de toxicidad por dosis repetidas, siempre que dichos datos estén disponibles antes de que comiencen las administraciones múltiples en humanos.</w:t>
      </w:r>
    </w:p>
    <w:p w:rsidR="00355291" w:rsidRDefault="00BA0AF2" w:rsidP="00BA0AF2">
      <w:pPr>
        <w:spacing w:after="120"/>
        <w:jc w:val="both"/>
        <w:rPr>
          <w:rFonts w:ascii="Arial" w:eastAsia="Arial" w:hAnsi="Arial" w:cs="Arial"/>
          <w:szCs w:val="22"/>
          <w:lang w:val="es-PY"/>
        </w:rPr>
      </w:pPr>
      <w:r w:rsidRPr="00BA0AF2">
        <w:rPr>
          <w:rFonts w:ascii="Arial" w:eastAsia="Arial" w:hAnsi="Arial" w:cs="Arial"/>
          <w:szCs w:val="22"/>
          <w:lang w:val="es-PY"/>
        </w:rPr>
        <w:t>La omisión de los estudios de toxicidad por dosis repetidas puede justificarse si el ATMP en investigación ha sido eliminado del organismo antes de las administraciones posteriores (por ejemplo, si el intervalo de dosificación es muy prolongado).</w:t>
      </w:r>
    </w:p>
    <w:p w:rsidR="00F52E14" w:rsidRPr="00F7565B" w:rsidRDefault="00F52E14" w:rsidP="00F7565B">
      <w:pPr>
        <w:pStyle w:val="Prrafodelista"/>
        <w:numPr>
          <w:ilvl w:val="0"/>
          <w:numId w:val="4"/>
        </w:numPr>
        <w:spacing w:after="120"/>
        <w:jc w:val="both"/>
        <w:rPr>
          <w:rFonts w:ascii="Arial" w:eastAsia="Arial" w:hAnsi="Arial" w:cs="Arial"/>
          <w:i/>
          <w:szCs w:val="22"/>
          <w:lang w:val="es-PY"/>
        </w:rPr>
      </w:pPr>
      <w:r w:rsidRPr="00F7565B">
        <w:rPr>
          <w:rFonts w:ascii="Arial" w:eastAsia="Arial" w:hAnsi="Arial" w:cs="Arial"/>
          <w:i/>
          <w:szCs w:val="22"/>
          <w:lang w:val="es-PY"/>
        </w:rPr>
        <w:t>Toxicidad reproductiva y del desarrollo</w:t>
      </w:r>
    </w:p>
    <w:p w:rsidR="00BA0AF2" w:rsidRDefault="00F52E14" w:rsidP="00F52E14">
      <w:pPr>
        <w:spacing w:after="120"/>
        <w:jc w:val="both"/>
        <w:rPr>
          <w:rFonts w:ascii="Arial" w:eastAsia="Arial" w:hAnsi="Arial" w:cs="Arial"/>
          <w:szCs w:val="22"/>
          <w:lang w:val="es-PY"/>
        </w:rPr>
      </w:pPr>
      <w:r w:rsidRPr="00F52E14">
        <w:rPr>
          <w:rFonts w:ascii="Arial" w:eastAsia="Arial" w:hAnsi="Arial" w:cs="Arial"/>
          <w:szCs w:val="22"/>
          <w:lang w:val="es-PY"/>
        </w:rPr>
        <w:t>Si se anticipan efectos sobre la función reproductiva y/o el desarrollo, deberán realizarse estudios relevantes de toxicidad reproductiva y del desarrollo antes de exponer a poblaciones de pacientes más amplias.</w:t>
      </w:r>
    </w:p>
    <w:p w:rsidR="0029275D" w:rsidRDefault="00266D64" w:rsidP="0029275D">
      <w:pPr>
        <w:spacing w:after="120"/>
        <w:jc w:val="both"/>
        <w:rPr>
          <w:rFonts w:ascii="Arial" w:eastAsia="Arial" w:hAnsi="Arial" w:cs="Arial"/>
          <w:b/>
          <w:i/>
          <w:szCs w:val="22"/>
          <w:lang w:val="es-PY"/>
        </w:rPr>
      </w:pPr>
      <w:r>
        <w:rPr>
          <w:rFonts w:ascii="Arial" w:eastAsia="Arial" w:hAnsi="Arial" w:cs="Arial"/>
          <w:b/>
          <w:i/>
          <w:szCs w:val="22"/>
          <w:lang w:val="es-PY"/>
        </w:rPr>
        <w:lastRenderedPageBreak/>
        <w:t>8</w:t>
      </w:r>
      <w:r w:rsidR="0029275D" w:rsidRPr="0029275D">
        <w:rPr>
          <w:rFonts w:ascii="Arial" w:eastAsia="Arial" w:hAnsi="Arial" w:cs="Arial"/>
          <w:b/>
          <w:i/>
          <w:szCs w:val="22"/>
          <w:lang w:val="es-PY"/>
        </w:rPr>
        <w:t>. Documentación clínica</w:t>
      </w:r>
    </w:p>
    <w:p w:rsidR="0029275D" w:rsidRPr="0029275D" w:rsidRDefault="00266D64" w:rsidP="0029275D">
      <w:pPr>
        <w:spacing w:after="120"/>
        <w:jc w:val="both"/>
        <w:rPr>
          <w:rFonts w:ascii="Arial" w:eastAsia="Arial" w:hAnsi="Arial" w:cs="Arial"/>
          <w:b/>
          <w:i/>
          <w:szCs w:val="22"/>
          <w:lang w:val="es-PY"/>
        </w:rPr>
      </w:pPr>
      <w:r>
        <w:rPr>
          <w:rFonts w:ascii="Arial" w:eastAsia="Arial" w:hAnsi="Arial" w:cs="Arial"/>
          <w:b/>
          <w:i/>
          <w:szCs w:val="22"/>
          <w:lang w:val="es-PY"/>
        </w:rPr>
        <w:t>8</w:t>
      </w:r>
      <w:r w:rsidR="0029275D" w:rsidRPr="0029275D">
        <w:rPr>
          <w:rFonts w:ascii="Arial" w:eastAsia="Arial" w:hAnsi="Arial" w:cs="Arial"/>
          <w:b/>
          <w:i/>
          <w:szCs w:val="22"/>
          <w:lang w:val="es-PY"/>
        </w:rPr>
        <w:t>.1</w:t>
      </w:r>
      <w:r w:rsidR="0029275D">
        <w:rPr>
          <w:rFonts w:ascii="Arial" w:eastAsia="Arial" w:hAnsi="Arial" w:cs="Arial"/>
          <w:b/>
          <w:i/>
          <w:szCs w:val="22"/>
          <w:lang w:val="es-PY"/>
        </w:rPr>
        <w:t>.</w:t>
      </w:r>
      <w:r w:rsidR="0029275D" w:rsidRPr="0029275D">
        <w:rPr>
          <w:rFonts w:ascii="Arial" w:eastAsia="Arial" w:hAnsi="Arial" w:cs="Arial"/>
          <w:b/>
          <w:i/>
          <w:szCs w:val="22"/>
          <w:lang w:val="es-PY"/>
        </w:rPr>
        <w:t xml:space="preserve"> Aspectos generales</w:t>
      </w:r>
    </w:p>
    <w:p w:rsidR="0029275D" w:rsidRPr="0029275D" w:rsidRDefault="0029275D" w:rsidP="0029275D">
      <w:pPr>
        <w:spacing w:after="120"/>
        <w:jc w:val="both"/>
        <w:rPr>
          <w:rFonts w:ascii="Arial" w:eastAsia="Arial" w:hAnsi="Arial" w:cs="Arial"/>
          <w:szCs w:val="22"/>
          <w:lang w:val="es-PY"/>
        </w:rPr>
      </w:pPr>
      <w:r w:rsidRPr="0029275D">
        <w:rPr>
          <w:rFonts w:ascii="Arial" w:eastAsia="Arial" w:hAnsi="Arial" w:cs="Arial"/>
          <w:szCs w:val="22"/>
          <w:lang w:val="es-PY"/>
        </w:rPr>
        <w:t xml:space="preserve">En términos generales, se aplican los mismos principios para el desarrollo clínico de los </w:t>
      </w:r>
      <w:proofErr w:type="spellStart"/>
      <w:r w:rsidRPr="0029275D">
        <w:rPr>
          <w:rFonts w:ascii="Arial" w:eastAsia="Arial" w:hAnsi="Arial" w:cs="Arial"/>
          <w:szCs w:val="22"/>
          <w:lang w:val="es-PY"/>
        </w:rPr>
        <w:t>ATMPs</w:t>
      </w:r>
      <w:proofErr w:type="spellEnd"/>
      <w:r w:rsidRPr="0029275D">
        <w:rPr>
          <w:rFonts w:ascii="Arial" w:eastAsia="Arial" w:hAnsi="Arial" w:cs="Arial"/>
          <w:szCs w:val="22"/>
          <w:lang w:val="es-PY"/>
        </w:rPr>
        <w:t xml:space="preserve"> en investigación que para otros medicamentos en investigación (</w:t>
      </w:r>
      <w:proofErr w:type="spellStart"/>
      <w:r w:rsidRPr="0029275D">
        <w:rPr>
          <w:rFonts w:ascii="Arial" w:eastAsia="Arial" w:hAnsi="Arial" w:cs="Arial"/>
          <w:szCs w:val="22"/>
          <w:lang w:val="es-PY"/>
        </w:rPr>
        <w:t>IMPs</w:t>
      </w:r>
      <w:proofErr w:type="spellEnd"/>
      <w:r w:rsidRPr="0029275D">
        <w:rPr>
          <w:rFonts w:ascii="Arial" w:eastAsia="Arial" w:hAnsi="Arial" w:cs="Arial"/>
          <w:szCs w:val="22"/>
          <w:lang w:val="es-PY"/>
        </w:rPr>
        <w:t>).</w:t>
      </w:r>
    </w:p>
    <w:p w:rsidR="0029275D" w:rsidRPr="0029275D" w:rsidRDefault="0029275D" w:rsidP="0029275D">
      <w:pPr>
        <w:spacing w:after="120"/>
        <w:jc w:val="both"/>
        <w:rPr>
          <w:rFonts w:ascii="Arial" w:eastAsia="Arial" w:hAnsi="Arial" w:cs="Arial"/>
          <w:szCs w:val="22"/>
          <w:lang w:val="es-PY"/>
        </w:rPr>
      </w:pPr>
      <w:r w:rsidRPr="0029275D">
        <w:rPr>
          <w:rFonts w:ascii="Arial" w:eastAsia="Arial" w:hAnsi="Arial" w:cs="Arial"/>
          <w:szCs w:val="22"/>
          <w:lang w:val="es-PY"/>
        </w:rPr>
        <w:t xml:space="preserve">Sin embargo, se espera que las características distintivas y particulares de los </w:t>
      </w:r>
      <w:proofErr w:type="spellStart"/>
      <w:r w:rsidRPr="0029275D">
        <w:rPr>
          <w:rFonts w:ascii="Arial" w:eastAsia="Arial" w:hAnsi="Arial" w:cs="Arial"/>
          <w:szCs w:val="22"/>
          <w:lang w:val="es-PY"/>
        </w:rPr>
        <w:t>ATMPs</w:t>
      </w:r>
      <w:proofErr w:type="spellEnd"/>
      <w:r w:rsidRPr="0029275D">
        <w:rPr>
          <w:rFonts w:ascii="Arial" w:eastAsia="Arial" w:hAnsi="Arial" w:cs="Arial"/>
          <w:szCs w:val="22"/>
          <w:lang w:val="es-PY"/>
        </w:rPr>
        <w:t xml:space="preserve"> tengan un impacto en el diseño de los ensayos clínicos en las fases tempranas de desarrollo, específicamente en lo que respecta a la selección de la dosis, la farmacodinámica y la farmacocinética/</w:t>
      </w:r>
      <w:proofErr w:type="spellStart"/>
      <w:r w:rsidRPr="0029275D">
        <w:rPr>
          <w:rFonts w:ascii="Arial" w:eastAsia="Arial" w:hAnsi="Arial" w:cs="Arial"/>
          <w:szCs w:val="22"/>
          <w:lang w:val="es-PY"/>
        </w:rPr>
        <w:t>biodistribución</w:t>
      </w:r>
      <w:proofErr w:type="spellEnd"/>
      <w:r w:rsidRPr="0029275D">
        <w:rPr>
          <w:rFonts w:ascii="Arial" w:eastAsia="Arial" w:hAnsi="Arial" w:cs="Arial"/>
          <w:szCs w:val="22"/>
          <w:lang w:val="es-PY"/>
        </w:rPr>
        <w:t>.</w:t>
      </w:r>
    </w:p>
    <w:p w:rsidR="0029275D" w:rsidRPr="00EA29EA" w:rsidRDefault="0029275D" w:rsidP="00D84924">
      <w:pPr>
        <w:spacing w:after="120"/>
        <w:jc w:val="both"/>
        <w:rPr>
          <w:rFonts w:ascii="Arial" w:eastAsia="Arial" w:hAnsi="Arial" w:cs="Arial"/>
          <w:sz w:val="28"/>
          <w:szCs w:val="22"/>
          <w:lang w:val="es-PY"/>
        </w:rPr>
      </w:pPr>
      <w:r w:rsidRPr="0029275D">
        <w:rPr>
          <w:rFonts w:ascii="Arial" w:eastAsia="Arial" w:hAnsi="Arial" w:cs="Arial"/>
          <w:szCs w:val="22"/>
          <w:lang w:val="es-PY"/>
        </w:rPr>
        <w:t xml:space="preserve">En fases posteriores, para los ensayos clínicos destinados a demostrar la eficacia y seguridad de los medicamentos en áreas terapéuticas específicas, los principios generales y la metodología son similares a los aplicados en el desarrollo de otros </w:t>
      </w:r>
      <w:r w:rsidRPr="00EA29EA">
        <w:rPr>
          <w:rFonts w:ascii="Arial" w:eastAsia="Arial" w:hAnsi="Arial" w:cs="Arial"/>
          <w:szCs w:val="22"/>
          <w:lang w:val="es-PY"/>
        </w:rPr>
        <w:t>medicamentos.</w:t>
      </w:r>
    </w:p>
    <w:p w:rsidR="00EA29EA" w:rsidRPr="00EA29EA" w:rsidRDefault="00EA29EA" w:rsidP="00D84924">
      <w:pPr>
        <w:pStyle w:val="Ttulo3"/>
        <w:spacing w:before="0" w:after="120"/>
        <w:jc w:val="both"/>
        <w:rPr>
          <w:rFonts w:ascii="Arial" w:hAnsi="Arial" w:cs="Arial"/>
          <w:i/>
          <w:sz w:val="24"/>
          <w:szCs w:val="22"/>
          <w:lang w:eastAsia="es-PY"/>
        </w:rPr>
      </w:pPr>
      <w:r w:rsidRPr="00EA29EA">
        <w:rPr>
          <w:rFonts w:ascii="Arial" w:hAnsi="Arial" w:cs="Arial"/>
          <w:i/>
          <w:sz w:val="24"/>
          <w:szCs w:val="22"/>
        </w:rPr>
        <w:t xml:space="preserve">Características distintivas a considerar en el desarrollo clínico de los </w:t>
      </w:r>
      <w:proofErr w:type="spellStart"/>
      <w:r w:rsidRPr="00EA29EA">
        <w:rPr>
          <w:rFonts w:ascii="Arial" w:hAnsi="Arial" w:cs="Arial"/>
          <w:i/>
          <w:sz w:val="24"/>
          <w:szCs w:val="22"/>
        </w:rPr>
        <w:t>ATMPs</w:t>
      </w:r>
      <w:proofErr w:type="spellEnd"/>
    </w:p>
    <w:p w:rsidR="00EA29EA" w:rsidRPr="00EA29EA" w:rsidRDefault="00EA29EA" w:rsidP="00D84924">
      <w:pPr>
        <w:pStyle w:val="NormalWeb"/>
        <w:spacing w:before="0" w:beforeAutospacing="0" w:after="120" w:afterAutospacing="0"/>
        <w:jc w:val="both"/>
        <w:rPr>
          <w:rFonts w:ascii="Arial" w:hAnsi="Arial" w:cs="Arial"/>
          <w:szCs w:val="22"/>
        </w:rPr>
      </w:pPr>
      <w:r w:rsidRPr="00EA29EA">
        <w:rPr>
          <w:rFonts w:ascii="Arial" w:hAnsi="Arial" w:cs="Arial"/>
          <w:szCs w:val="22"/>
        </w:rPr>
        <w:t xml:space="preserve">Entre las características distintivas que deben tenerse en cuenta para el desarrollo clínico de los </w:t>
      </w:r>
      <w:proofErr w:type="spellStart"/>
      <w:r w:rsidRPr="00EA29EA">
        <w:rPr>
          <w:rFonts w:ascii="Arial" w:hAnsi="Arial" w:cs="Arial"/>
          <w:szCs w:val="22"/>
        </w:rPr>
        <w:t>ATMPs</w:t>
      </w:r>
      <w:proofErr w:type="spellEnd"/>
      <w:r w:rsidRPr="00EA29EA">
        <w:rPr>
          <w:rFonts w:ascii="Arial" w:hAnsi="Arial" w:cs="Arial"/>
          <w:szCs w:val="22"/>
        </w:rPr>
        <w:t xml:space="preserve"> se incluyen, entre otras:</w:t>
      </w:r>
    </w:p>
    <w:p w:rsidR="00EA29EA" w:rsidRPr="00EA29EA" w:rsidRDefault="00EA29EA" w:rsidP="00D84924">
      <w:pPr>
        <w:pStyle w:val="NormalWeb"/>
        <w:numPr>
          <w:ilvl w:val="0"/>
          <w:numId w:val="5"/>
        </w:numPr>
        <w:jc w:val="both"/>
        <w:rPr>
          <w:rFonts w:ascii="Arial" w:hAnsi="Arial" w:cs="Arial"/>
          <w:szCs w:val="22"/>
        </w:rPr>
      </w:pPr>
      <w:r w:rsidRPr="00EA29EA">
        <w:rPr>
          <w:rStyle w:val="Textoennegrita"/>
          <w:rFonts w:ascii="Arial" w:hAnsi="Arial" w:cs="Arial"/>
          <w:b w:val="0"/>
          <w:szCs w:val="22"/>
        </w:rPr>
        <w:t>Complejidad de las características del producto y consideraciones de fabricación</w:t>
      </w:r>
      <w:r w:rsidRPr="00EA29EA">
        <w:rPr>
          <w:rFonts w:ascii="Arial" w:hAnsi="Arial" w:cs="Arial"/>
          <w:szCs w:val="22"/>
        </w:rPr>
        <w:t>, por ejemplo: dificultades en la recolección y manipulación del material de origen, variabilidad de los materiales de partida, diferencias entre células de origen alogénico vs. autólogo, trazabilidad bidireccional de los materiales desde el donante hasta el receptor.</w:t>
      </w:r>
    </w:p>
    <w:p w:rsidR="00EA29EA" w:rsidRPr="00EA29EA" w:rsidRDefault="00EA29EA" w:rsidP="00D84924">
      <w:pPr>
        <w:pStyle w:val="NormalWeb"/>
        <w:numPr>
          <w:ilvl w:val="0"/>
          <w:numId w:val="5"/>
        </w:numPr>
        <w:jc w:val="both"/>
        <w:rPr>
          <w:rFonts w:ascii="Arial" w:hAnsi="Arial" w:cs="Arial"/>
          <w:szCs w:val="22"/>
        </w:rPr>
      </w:pPr>
      <w:r w:rsidRPr="00EA29EA">
        <w:rPr>
          <w:rStyle w:val="Textoennegrita"/>
          <w:rFonts w:ascii="Arial" w:hAnsi="Arial" w:cs="Arial"/>
          <w:b w:val="0"/>
          <w:szCs w:val="22"/>
        </w:rPr>
        <w:t>Procedimientos de obtención celular</w:t>
      </w:r>
      <w:r w:rsidRPr="00EA29EA">
        <w:rPr>
          <w:rFonts w:ascii="Arial" w:hAnsi="Arial" w:cs="Arial"/>
          <w:szCs w:val="22"/>
        </w:rPr>
        <w:t>, por ejemplo: aféresis de células madre hematopoyéticas tras su movilización hacia la sangre periférica.</w:t>
      </w:r>
    </w:p>
    <w:p w:rsidR="00EA29EA" w:rsidRPr="00EA29EA" w:rsidRDefault="00EA29EA" w:rsidP="00D84924">
      <w:pPr>
        <w:pStyle w:val="NormalWeb"/>
        <w:numPr>
          <w:ilvl w:val="0"/>
          <w:numId w:val="5"/>
        </w:numPr>
        <w:jc w:val="both"/>
        <w:rPr>
          <w:rFonts w:ascii="Arial" w:hAnsi="Arial" w:cs="Arial"/>
          <w:szCs w:val="22"/>
        </w:rPr>
      </w:pPr>
      <w:r w:rsidRPr="00EA29EA">
        <w:rPr>
          <w:rStyle w:val="Textoennegrita"/>
          <w:rFonts w:ascii="Arial" w:hAnsi="Arial" w:cs="Arial"/>
          <w:b w:val="0"/>
          <w:szCs w:val="22"/>
        </w:rPr>
        <w:t>Tratamientos previos y medicación concomitante</w:t>
      </w:r>
      <w:r w:rsidRPr="00EA29EA">
        <w:rPr>
          <w:rFonts w:ascii="Arial" w:hAnsi="Arial" w:cs="Arial"/>
          <w:szCs w:val="22"/>
        </w:rPr>
        <w:t xml:space="preserve">, por ejemplo: </w:t>
      </w:r>
      <w:proofErr w:type="spellStart"/>
      <w:r w:rsidRPr="00EA29EA">
        <w:rPr>
          <w:rFonts w:ascii="Arial" w:hAnsi="Arial" w:cs="Arial"/>
          <w:szCs w:val="22"/>
        </w:rPr>
        <w:t>linfodepleción</w:t>
      </w:r>
      <w:proofErr w:type="spellEnd"/>
      <w:r w:rsidRPr="00EA29EA">
        <w:rPr>
          <w:rFonts w:ascii="Arial" w:hAnsi="Arial" w:cs="Arial"/>
          <w:szCs w:val="22"/>
        </w:rPr>
        <w:t>, inmunosupresión.</w:t>
      </w:r>
    </w:p>
    <w:p w:rsidR="00EA29EA" w:rsidRPr="00EA29EA" w:rsidRDefault="00EA29EA" w:rsidP="00D84924">
      <w:pPr>
        <w:pStyle w:val="NormalWeb"/>
        <w:numPr>
          <w:ilvl w:val="0"/>
          <w:numId w:val="5"/>
        </w:numPr>
        <w:jc w:val="both"/>
        <w:rPr>
          <w:rFonts w:ascii="Arial" w:hAnsi="Arial" w:cs="Arial"/>
          <w:szCs w:val="22"/>
        </w:rPr>
      </w:pPr>
      <w:r w:rsidRPr="00EA29EA">
        <w:rPr>
          <w:rStyle w:val="Textoennegrita"/>
          <w:rFonts w:ascii="Arial" w:hAnsi="Arial" w:cs="Arial"/>
          <w:b w:val="0"/>
          <w:szCs w:val="22"/>
        </w:rPr>
        <w:t>Tratamiento de eventos adversos específicos</w:t>
      </w:r>
      <w:r w:rsidRPr="00EA29EA">
        <w:rPr>
          <w:rFonts w:ascii="Arial" w:hAnsi="Arial" w:cs="Arial"/>
          <w:szCs w:val="22"/>
        </w:rPr>
        <w:t xml:space="preserve"> relacionados con el mecanismo de acción que impactan en la eficacia del ATMP.</w:t>
      </w:r>
    </w:p>
    <w:p w:rsidR="00EA29EA" w:rsidRPr="00EA29EA" w:rsidRDefault="00EA29EA" w:rsidP="00D84924">
      <w:pPr>
        <w:pStyle w:val="NormalWeb"/>
        <w:numPr>
          <w:ilvl w:val="0"/>
          <w:numId w:val="5"/>
        </w:numPr>
        <w:jc w:val="both"/>
        <w:rPr>
          <w:rFonts w:ascii="Arial" w:hAnsi="Arial" w:cs="Arial"/>
          <w:szCs w:val="22"/>
        </w:rPr>
      </w:pPr>
      <w:r w:rsidRPr="00EA29EA">
        <w:rPr>
          <w:rStyle w:val="Textoennegrita"/>
          <w:rFonts w:ascii="Arial" w:hAnsi="Arial" w:cs="Arial"/>
          <w:b w:val="0"/>
          <w:szCs w:val="22"/>
        </w:rPr>
        <w:t>Limitaciones para extrapolar datos no clínicos</w:t>
      </w:r>
      <w:r w:rsidRPr="00EA29EA">
        <w:rPr>
          <w:rFonts w:ascii="Arial" w:hAnsi="Arial" w:cs="Arial"/>
          <w:szCs w:val="22"/>
        </w:rPr>
        <w:t xml:space="preserve">, incluyendo: dosis inicial, </w:t>
      </w:r>
      <w:proofErr w:type="spellStart"/>
      <w:r w:rsidRPr="00EA29EA">
        <w:rPr>
          <w:rFonts w:ascii="Arial" w:hAnsi="Arial" w:cs="Arial"/>
          <w:szCs w:val="22"/>
        </w:rPr>
        <w:t>biodistribución</w:t>
      </w:r>
      <w:proofErr w:type="spellEnd"/>
      <w:r w:rsidRPr="00EA29EA">
        <w:rPr>
          <w:rFonts w:ascii="Arial" w:hAnsi="Arial" w:cs="Arial"/>
          <w:szCs w:val="22"/>
        </w:rPr>
        <w:t>, inmunogenicidad, efectos “</w:t>
      </w:r>
      <w:proofErr w:type="spellStart"/>
      <w:r w:rsidRPr="00EA29EA">
        <w:rPr>
          <w:rFonts w:ascii="Arial" w:hAnsi="Arial" w:cs="Arial"/>
          <w:szCs w:val="22"/>
        </w:rPr>
        <w:t>on</w:t>
      </w:r>
      <w:proofErr w:type="spellEnd"/>
      <w:r w:rsidRPr="00EA29EA">
        <w:rPr>
          <w:rFonts w:ascii="Arial" w:hAnsi="Arial" w:cs="Arial"/>
          <w:szCs w:val="22"/>
        </w:rPr>
        <w:t xml:space="preserve">-target” y “off-target” y </w:t>
      </w:r>
      <w:proofErr w:type="spellStart"/>
      <w:r w:rsidRPr="00EA29EA">
        <w:rPr>
          <w:rFonts w:ascii="Arial" w:hAnsi="Arial" w:cs="Arial"/>
          <w:szCs w:val="22"/>
        </w:rPr>
        <w:t>tumorigenicidad</w:t>
      </w:r>
      <w:proofErr w:type="spellEnd"/>
      <w:r w:rsidRPr="00EA29EA">
        <w:rPr>
          <w:rFonts w:ascii="Arial" w:hAnsi="Arial" w:cs="Arial"/>
          <w:szCs w:val="22"/>
        </w:rPr>
        <w:t>.</w:t>
      </w:r>
    </w:p>
    <w:p w:rsidR="00EA29EA" w:rsidRPr="00EA29EA" w:rsidRDefault="00EA29EA" w:rsidP="00D84924">
      <w:pPr>
        <w:pStyle w:val="NormalWeb"/>
        <w:numPr>
          <w:ilvl w:val="0"/>
          <w:numId w:val="5"/>
        </w:numPr>
        <w:jc w:val="both"/>
        <w:rPr>
          <w:rFonts w:ascii="Arial" w:hAnsi="Arial" w:cs="Arial"/>
          <w:szCs w:val="22"/>
        </w:rPr>
      </w:pPr>
      <w:r w:rsidRPr="00EA29EA">
        <w:rPr>
          <w:rStyle w:val="Textoennegrita"/>
          <w:rFonts w:ascii="Arial" w:hAnsi="Arial" w:cs="Arial"/>
          <w:b w:val="0"/>
          <w:szCs w:val="22"/>
        </w:rPr>
        <w:t>Incertidumbre sobre la posible persistencia del producto</w:t>
      </w:r>
      <w:r w:rsidRPr="00EA29EA">
        <w:rPr>
          <w:rFonts w:ascii="Arial" w:hAnsi="Arial" w:cs="Arial"/>
          <w:szCs w:val="22"/>
        </w:rPr>
        <w:t xml:space="preserve"> y su inmunogenicidad.</w:t>
      </w:r>
    </w:p>
    <w:p w:rsidR="00EA29EA" w:rsidRPr="00EA29EA" w:rsidRDefault="00EA29EA" w:rsidP="00D84924">
      <w:pPr>
        <w:pStyle w:val="NormalWeb"/>
        <w:numPr>
          <w:ilvl w:val="0"/>
          <w:numId w:val="5"/>
        </w:numPr>
        <w:jc w:val="both"/>
        <w:rPr>
          <w:rFonts w:ascii="Arial" w:hAnsi="Arial" w:cs="Arial"/>
          <w:szCs w:val="22"/>
        </w:rPr>
      </w:pPr>
      <w:r w:rsidRPr="00EA29EA">
        <w:rPr>
          <w:rStyle w:val="Textoennegrita"/>
          <w:rFonts w:ascii="Arial" w:hAnsi="Arial" w:cs="Arial"/>
          <w:b w:val="0"/>
          <w:szCs w:val="22"/>
        </w:rPr>
        <w:t>Incertidumbre sobre la posible transformación maligna</w:t>
      </w:r>
      <w:r w:rsidRPr="00EA29EA">
        <w:rPr>
          <w:rFonts w:ascii="Arial" w:hAnsi="Arial" w:cs="Arial"/>
          <w:szCs w:val="22"/>
        </w:rPr>
        <w:t xml:space="preserve">, genotoxicidad y </w:t>
      </w:r>
      <w:proofErr w:type="spellStart"/>
      <w:r w:rsidRPr="00EA29EA">
        <w:rPr>
          <w:rFonts w:ascii="Arial" w:hAnsi="Arial" w:cs="Arial"/>
          <w:szCs w:val="22"/>
        </w:rPr>
        <w:t>tumorigenicidad</w:t>
      </w:r>
      <w:proofErr w:type="spellEnd"/>
      <w:r w:rsidRPr="00EA29EA">
        <w:rPr>
          <w:rFonts w:ascii="Arial" w:hAnsi="Arial" w:cs="Arial"/>
          <w:szCs w:val="22"/>
        </w:rPr>
        <w:t>.</w:t>
      </w:r>
    </w:p>
    <w:p w:rsidR="00EA29EA" w:rsidRPr="00EA29EA" w:rsidRDefault="00EA29EA" w:rsidP="00D84924">
      <w:pPr>
        <w:pStyle w:val="NormalWeb"/>
        <w:numPr>
          <w:ilvl w:val="0"/>
          <w:numId w:val="5"/>
        </w:numPr>
        <w:jc w:val="both"/>
        <w:rPr>
          <w:rFonts w:ascii="Arial" w:hAnsi="Arial" w:cs="Arial"/>
          <w:szCs w:val="22"/>
        </w:rPr>
      </w:pPr>
      <w:r w:rsidRPr="00EA29EA">
        <w:rPr>
          <w:rStyle w:val="Textoennegrita"/>
          <w:rFonts w:ascii="Arial" w:hAnsi="Arial" w:cs="Arial"/>
          <w:b w:val="0"/>
          <w:szCs w:val="22"/>
        </w:rPr>
        <w:t>Riesgo de eliminación viral (</w:t>
      </w:r>
      <w:proofErr w:type="spellStart"/>
      <w:r w:rsidRPr="00EA29EA">
        <w:rPr>
          <w:rStyle w:val="Textoennegrita"/>
          <w:rFonts w:ascii="Arial" w:hAnsi="Arial" w:cs="Arial"/>
          <w:b w:val="0"/>
          <w:szCs w:val="22"/>
        </w:rPr>
        <w:t>shedding</w:t>
      </w:r>
      <w:proofErr w:type="spellEnd"/>
      <w:r w:rsidRPr="00EA29EA">
        <w:rPr>
          <w:rStyle w:val="Textoennegrita"/>
          <w:rFonts w:ascii="Arial" w:hAnsi="Arial" w:cs="Arial"/>
          <w:b w:val="0"/>
          <w:szCs w:val="22"/>
        </w:rPr>
        <w:t>)</w:t>
      </w:r>
      <w:r w:rsidRPr="00EA29EA">
        <w:rPr>
          <w:rFonts w:ascii="Arial" w:hAnsi="Arial" w:cs="Arial"/>
          <w:szCs w:val="22"/>
        </w:rPr>
        <w:t xml:space="preserve"> y transmisión a la línea germinal.</w:t>
      </w:r>
    </w:p>
    <w:p w:rsidR="00EA29EA" w:rsidRPr="00EA29EA" w:rsidRDefault="00EA29EA" w:rsidP="00D84924">
      <w:pPr>
        <w:pStyle w:val="NormalWeb"/>
        <w:numPr>
          <w:ilvl w:val="0"/>
          <w:numId w:val="5"/>
        </w:numPr>
        <w:jc w:val="both"/>
        <w:rPr>
          <w:rFonts w:ascii="Arial" w:hAnsi="Arial" w:cs="Arial"/>
          <w:szCs w:val="22"/>
        </w:rPr>
      </w:pPr>
      <w:r w:rsidRPr="00EA29EA">
        <w:rPr>
          <w:rStyle w:val="Textoennegrita"/>
          <w:rFonts w:ascii="Arial" w:hAnsi="Arial" w:cs="Arial"/>
          <w:b w:val="0"/>
          <w:szCs w:val="22"/>
        </w:rPr>
        <w:lastRenderedPageBreak/>
        <w:t>Necesidad de seguimiento prolongado de eficacia y seguridad</w:t>
      </w:r>
      <w:r w:rsidRPr="00EA29EA">
        <w:rPr>
          <w:rFonts w:ascii="Arial" w:hAnsi="Arial" w:cs="Arial"/>
          <w:b/>
          <w:szCs w:val="22"/>
        </w:rPr>
        <w:t>,</w:t>
      </w:r>
      <w:r w:rsidRPr="00EA29EA">
        <w:rPr>
          <w:rFonts w:ascii="Arial" w:hAnsi="Arial" w:cs="Arial"/>
          <w:szCs w:val="22"/>
        </w:rPr>
        <w:t xml:space="preserve"> debido a la actividad biológica prolongada y/o persistencia de las células.</w:t>
      </w:r>
    </w:p>
    <w:p w:rsidR="00EA29EA" w:rsidRPr="00EA29EA" w:rsidRDefault="00EA29EA" w:rsidP="00D84924">
      <w:pPr>
        <w:pStyle w:val="NormalWeb"/>
        <w:numPr>
          <w:ilvl w:val="0"/>
          <w:numId w:val="5"/>
        </w:numPr>
        <w:jc w:val="both"/>
        <w:rPr>
          <w:rFonts w:ascii="Arial" w:hAnsi="Arial" w:cs="Arial"/>
          <w:b/>
          <w:szCs w:val="22"/>
        </w:rPr>
      </w:pPr>
      <w:r w:rsidRPr="00EA29EA">
        <w:rPr>
          <w:rStyle w:val="Textoennegrita"/>
          <w:rFonts w:ascii="Arial" w:hAnsi="Arial" w:cs="Arial"/>
          <w:b w:val="0"/>
          <w:szCs w:val="22"/>
        </w:rPr>
        <w:t>Procedimientos de administración/entrega al sitio diana</w:t>
      </w:r>
      <w:r w:rsidRPr="00EA29EA">
        <w:rPr>
          <w:rFonts w:ascii="Arial" w:hAnsi="Arial" w:cs="Arial"/>
          <w:b/>
          <w:szCs w:val="22"/>
        </w:rPr>
        <w:t>.</w:t>
      </w:r>
    </w:p>
    <w:p w:rsidR="00EA29EA" w:rsidRPr="00EA29EA" w:rsidRDefault="00EA29EA" w:rsidP="00D84924">
      <w:pPr>
        <w:pStyle w:val="NormalWeb"/>
        <w:numPr>
          <w:ilvl w:val="0"/>
          <w:numId w:val="5"/>
        </w:numPr>
        <w:jc w:val="both"/>
        <w:rPr>
          <w:rFonts w:ascii="Arial" w:hAnsi="Arial" w:cs="Arial"/>
          <w:b/>
          <w:szCs w:val="22"/>
        </w:rPr>
      </w:pPr>
      <w:r w:rsidRPr="00EA29EA">
        <w:rPr>
          <w:rStyle w:val="Textoennegrita"/>
          <w:rFonts w:ascii="Arial" w:hAnsi="Arial" w:cs="Arial"/>
          <w:b w:val="0"/>
          <w:szCs w:val="22"/>
        </w:rPr>
        <w:t>Requisitos de transporte y manipulación</w:t>
      </w:r>
      <w:r w:rsidRPr="00EA29EA">
        <w:rPr>
          <w:rFonts w:ascii="Arial" w:hAnsi="Arial" w:cs="Arial"/>
          <w:b/>
          <w:szCs w:val="22"/>
        </w:rPr>
        <w:t>.</w:t>
      </w:r>
    </w:p>
    <w:p w:rsidR="00B866A8" w:rsidRPr="00363C9A" w:rsidRDefault="00266D64" w:rsidP="00D84924">
      <w:pPr>
        <w:pStyle w:val="Ttulo3"/>
        <w:jc w:val="both"/>
        <w:rPr>
          <w:rFonts w:ascii="Arial" w:hAnsi="Arial" w:cs="Arial"/>
          <w:i/>
          <w:sz w:val="24"/>
          <w:szCs w:val="24"/>
          <w:lang w:eastAsia="es-PY"/>
        </w:rPr>
      </w:pPr>
      <w:r>
        <w:rPr>
          <w:rFonts w:ascii="Arial" w:hAnsi="Arial" w:cs="Arial"/>
          <w:i/>
          <w:sz w:val="24"/>
          <w:szCs w:val="24"/>
        </w:rPr>
        <w:t>8</w:t>
      </w:r>
      <w:r w:rsidR="00B866A8" w:rsidRPr="00363C9A">
        <w:rPr>
          <w:rFonts w:ascii="Arial" w:hAnsi="Arial" w:cs="Arial"/>
          <w:i/>
          <w:sz w:val="24"/>
          <w:szCs w:val="24"/>
        </w:rPr>
        <w:t>.1.1 Beneficios y riesgos previstos para los participantes en el ensayo</w:t>
      </w:r>
    </w:p>
    <w:p w:rsidR="00B866A8" w:rsidRDefault="00B866A8" w:rsidP="00D84924">
      <w:pPr>
        <w:pStyle w:val="NormalWeb"/>
        <w:spacing w:before="0" w:beforeAutospacing="0" w:after="120" w:afterAutospacing="0"/>
        <w:jc w:val="both"/>
        <w:rPr>
          <w:rFonts w:ascii="Arial" w:hAnsi="Arial" w:cs="Arial"/>
        </w:rPr>
      </w:pPr>
      <w:r w:rsidRPr="00B866A8">
        <w:rPr>
          <w:rFonts w:ascii="Arial" w:hAnsi="Arial" w:cs="Arial"/>
        </w:rPr>
        <w:t xml:space="preserve">Los </w:t>
      </w:r>
      <w:r w:rsidRPr="00A5048D">
        <w:rPr>
          <w:rStyle w:val="Textoennegrita"/>
          <w:rFonts w:ascii="Arial" w:hAnsi="Arial" w:cs="Arial"/>
          <w:b w:val="0"/>
        </w:rPr>
        <w:t>riesgos y beneficios conocidos y potenciales para el paciente</w:t>
      </w:r>
      <w:r w:rsidRPr="00A5048D">
        <w:rPr>
          <w:rFonts w:ascii="Arial" w:hAnsi="Arial" w:cs="Arial"/>
        </w:rPr>
        <w:t>,</w:t>
      </w:r>
      <w:r w:rsidRPr="00B866A8">
        <w:rPr>
          <w:rFonts w:ascii="Arial" w:hAnsi="Arial" w:cs="Arial"/>
        </w:rPr>
        <w:t xml:space="preserve"> incluida una evaluación del beneficio y riesgo previsto, deben incluirse en el protocolo del ensayo.</w:t>
      </w:r>
    </w:p>
    <w:p w:rsidR="00B866A8" w:rsidRPr="00B866A8" w:rsidRDefault="00B866A8" w:rsidP="00D84924">
      <w:pPr>
        <w:pStyle w:val="NormalWeb"/>
        <w:spacing w:before="0" w:beforeAutospacing="0" w:after="120" w:afterAutospacing="0"/>
        <w:jc w:val="both"/>
        <w:rPr>
          <w:rFonts w:ascii="Arial" w:hAnsi="Arial" w:cs="Arial"/>
        </w:rPr>
      </w:pPr>
      <w:r w:rsidRPr="00B866A8">
        <w:rPr>
          <w:rFonts w:ascii="Arial" w:hAnsi="Arial" w:cs="Arial"/>
        </w:rPr>
        <w:t>Los aspectos específicos que deben abordarse incluyen (lista no exhaustiva):</w:t>
      </w:r>
    </w:p>
    <w:p w:rsidR="00B866A8" w:rsidRPr="00B866A8" w:rsidRDefault="00B866A8" w:rsidP="00D84924">
      <w:pPr>
        <w:pStyle w:val="NormalWeb"/>
        <w:numPr>
          <w:ilvl w:val="0"/>
          <w:numId w:val="6"/>
        </w:numPr>
        <w:spacing w:before="0" w:beforeAutospacing="0" w:after="120" w:afterAutospacing="0"/>
        <w:jc w:val="both"/>
        <w:rPr>
          <w:rFonts w:ascii="Arial" w:hAnsi="Arial" w:cs="Arial"/>
        </w:rPr>
      </w:pPr>
      <w:r w:rsidRPr="00B866A8">
        <w:rPr>
          <w:rFonts w:ascii="Arial" w:hAnsi="Arial" w:cs="Arial"/>
        </w:rPr>
        <w:t xml:space="preserve">El </w:t>
      </w:r>
      <w:r w:rsidRPr="00B866A8">
        <w:rPr>
          <w:rStyle w:val="Textoennegrita"/>
          <w:rFonts w:ascii="Arial" w:hAnsi="Arial" w:cs="Arial"/>
          <w:b w:val="0"/>
        </w:rPr>
        <w:t>efecto previsto</w:t>
      </w:r>
      <w:r w:rsidRPr="00B866A8">
        <w:rPr>
          <w:rFonts w:ascii="Arial" w:hAnsi="Arial" w:cs="Arial"/>
        </w:rPr>
        <w:t xml:space="preserve"> basado en el mecanismo de acción específico.</w:t>
      </w:r>
    </w:p>
    <w:p w:rsidR="00B866A8" w:rsidRPr="00B866A8" w:rsidRDefault="00B866A8" w:rsidP="00D84924">
      <w:pPr>
        <w:pStyle w:val="NormalWeb"/>
        <w:numPr>
          <w:ilvl w:val="0"/>
          <w:numId w:val="6"/>
        </w:numPr>
        <w:jc w:val="both"/>
        <w:rPr>
          <w:rFonts w:ascii="Arial" w:hAnsi="Arial" w:cs="Arial"/>
        </w:rPr>
      </w:pPr>
      <w:r w:rsidRPr="00B866A8">
        <w:rPr>
          <w:rFonts w:ascii="Arial" w:hAnsi="Arial" w:cs="Arial"/>
        </w:rPr>
        <w:t xml:space="preserve">La </w:t>
      </w:r>
      <w:r w:rsidRPr="00B866A8">
        <w:rPr>
          <w:rStyle w:val="Textoennegrita"/>
          <w:rFonts w:ascii="Arial" w:hAnsi="Arial" w:cs="Arial"/>
          <w:b w:val="0"/>
        </w:rPr>
        <w:t>población del ensayo</w:t>
      </w:r>
      <w:r w:rsidRPr="00B866A8">
        <w:rPr>
          <w:rFonts w:ascii="Arial" w:hAnsi="Arial" w:cs="Arial"/>
        </w:rPr>
        <w:t xml:space="preserve"> (por ejemplo, la persistencia del GTMP podría depender de la madurez de los órganos).</w:t>
      </w:r>
    </w:p>
    <w:p w:rsidR="00B866A8" w:rsidRPr="00B866A8" w:rsidRDefault="00B866A8" w:rsidP="00D84924">
      <w:pPr>
        <w:pStyle w:val="NormalWeb"/>
        <w:numPr>
          <w:ilvl w:val="0"/>
          <w:numId w:val="6"/>
        </w:numPr>
        <w:jc w:val="both"/>
        <w:rPr>
          <w:rFonts w:ascii="Arial" w:hAnsi="Arial" w:cs="Arial"/>
        </w:rPr>
      </w:pPr>
      <w:r w:rsidRPr="00B866A8">
        <w:rPr>
          <w:rFonts w:ascii="Arial" w:hAnsi="Arial" w:cs="Arial"/>
        </w:rPr>
        <w:t xml:space="preserve">La </w:t>
      </w:r>
      <w:r w:rsidRPr="00B866A8">
        <w:rPr>
          <w:rStyle w:val="Textoennegrita"/>
          <w:rFonts w:ascii="Arial" w:hAnsi="Arial" w:cs="Arial"/>
          <w:b w:val="0"/>
        </w:rPr>
        <w:t>complejidad en la selección de la dosis</w:t>
      </w:r>
      <w:r w:rsidRPr="00B866A8">
        <w:rPr>
          <w:rFonts w:ascii="Arial" w:hAnsi="Arial" w:cs="Arial"/>
        </w:rPr>
        <w:t xml:space="preserve"> y los problemas relacionados con la evaluación de dosis potencialmente ineficaces y/o excesivamente tóxicas en los estudios de búsqueda de dosis.</w:t>
      </w:r>
    </w:p>
    <w:p w:rsidR="00B866A8" w:rsidRDefault="00B866A8" w:rsidP="00D84924">
      <w:pPr>
        <w:pStyle w:val="NormalWeb"/>
        <w:numPr>
          <w:ilvl w:val="0"/>
          <w:numId w:val="6"/>
        </w:numPr>
        <w:spacing w:before="0" w:beforeAutospacing="0" w:after="0" w:afterAutospacing="0"/>
        <w:jc w:val="both"/>
        <w:rPr>
          <w:rFonts w:ascii="Arial" w:hAnsi="Arial" w:cs="Arial"/>
        </w:rPr>
      </w:pPr>
      <w:r w:rsidRPr="00B866A8">
        <w:rPr>
          <w:rFonts w:ascii="Arial" w:hAnsi="Arial" w:cs="Arial"/>
        </w:rPr>
        <w:t>Las</w:t>
      </w:r>
      <w:r w:rsidRPr="00B866A8">
        <w:rPr>
          <w:rFonts w:ascii="Arial" w:hAnsi="Arial" w:cs="Arial"/>
          <w:b/>
        </w:rPr>
        <w:t xml:space="preserve"> </w:t>
      </w:r>
      <w:r w:rsidRPr="00B866A8">
        <w:rPr>
          <w:rStyle w:val="Textoennegrita"/>
          <w:rFonts w:ascii="Arial" w:hAnsi="Arial" w:cs="Arial"/>
          <w:b w:val="0"/>
        </w:rPr>
        <w:t>intervenciones inherentes al ensayo</w:t>
      </w:r>
      <w:r w:rsidRPr="00B866A8">
        <w:rPr>
          <w:rFonts w:ascii="Arial" w:hAnsi="Arial" w:cs="Arial"/>
        </w:rPr>
        <w:t>, por ejemplo:</w:t>
      </w:r>
    </w:p>
    <w:p w:rsidR="00B866A8" w:rsidRPr="00B866A8" w:rsidRDefault="00B866A8" w:rsidP="00D84924">
      <w:pPr>
        <w:pStyle w:val="NormalWeb"/>
        <w:spacing w:before="0" w:beforeAutospacing="0" w:after="0" w:afterAutospacing="0"/>
        <w:ind w:left="1418"/>
        <w:jc w:val="both"/>
        <w:rPr>
          <w:rFonts w:ascii="Arial" w:hAnsi="Arial" w:cs="Arial"/>
        </w:rPr>
      </w:pPr>
      <w:r>
        <w:rPr>
          <w:rFonts w:ascii="Arial" w:hAnsi="Arial" w:cs="Arial"/>
        </w:rPr>
        <w:t>-</w:t>
      </w:r>
      <w:r w:rsidRPr="00B866A8">
        <w:rPr>
          <w:rFonts w:ascii="Arial" w:hAnsi="Arial" w:cs="Arial"/>
        </w:rPr>
        <w:t>Procedimientos de obtención, por ejemplo: aféresis, procedimientos quirúrgicos.</w:t>
      </w:r>
    </w:p>
    <w:p w:rsidR="00B866A8" w:rsidRPr="00B866A8" w:rsidRDefault="00B866A8" w:rsidP="00D84924">
      <w:pPr>
        <w:pStyle w:val="NormalWeb"/>
        <w:spacing w:before="0" w:beforeAutospacing="0" w:after="0" w:afterAutospacing="0"/>
        <w:ind w:left="1418"/>
        <w:jc w:val="both"/>
        <w:rPr>
          <w:rFonts w:ascii="Arial" w:hAnsi="Arial" w:cs="Arial"/>
        </w:rPr>
      </w:pPr>
      <w:r>
        <w:rPr>
          <w:rFonts w:ascii="Arial" w:hAnsi="Arial" w:cs="Arial"/>
        </w:rPr>
        <w:t>-</w:t>
      </w:r>
      <w:r w:rsidRPr="00B866A8">
        <w:rPr>
          <w:rFonts w:ascii="Arial" w:hAnsi="Arial" w:cs="Arial"/>
        </w:rPr>
        <w:t xml:space="preserve">Tratamiento previo, por ejemplo: régimen de acondicionamiento o </w:t>
      </w:r>
      <w:proofErr w:type="spellStart"/>
      <w:r w:rsidRPr="00B866A8">
        <w:rPr>
          <w:rFonts w:ascii="Arial" w:hAnsi="Arial" w:cs="Arial"/>
        </w:rPr>
        <w:t>linfodepleción</w:t>
      </w:r>
      <w:proofErr w:type="spellEnd"/>
      <w:r w:rsidRPr="00B866A8">
        <w:rPr>
          <w:rFonts w:ascii="Arial" w:hAnsi="Arial" w:cs="Arial"/>
        </w:rPr>
        <w:t>, medicación para prevenir anafilaxia o reacciones a la infusión.</w:t>
      </w:r>
    </w:p>
    <w:p w:rsidR="00B866A8" w:rsidRPr="00B866A8" w:rsidRDefault="00B866A8" w:rsidP="00D84924">
      <w:pPr>
        <w:pStyle w:val="NormalWeb"/>
        <w:spacing w:before="0" w:beforeAutospacing="0" w:after="0" w:afterAutospacing="0"/>
        <w:ind w:left="1418"/>
        <w:jc w:val="both"/>
        <w:rPr>
          <w:rFonts w:ascii="Arial" w:hAnsi="Arial" w:cs="Arial"/>
        </w:rPr>
      </w:pPr>
      <w:r>
        <w:rPr>
          <w:rFonts w:ascii="Arial" w:hAnsi="Arial" w:cs="Arial"/>
        </w:rPr>
        <w:t>-</w:t>
      </w:r>
      <w:r w:rsidRPr="00B866A8">
        <w:rPr>
          <w:rFonts w:ascii="Arial" w:hAnsi="Arial" w:cs="Arial"/>
        </w:rPr>
        <w:t>Tratamientos concomitantes, por ejemplo: inmunosupresión.</w:t>
      </w:r>
    </w:p>
    <w:p w:rsidR="00B866A8" w:rsidRDefault="00B866A8" w:rsidP="00D84924">
      <w:pPr>
        <w:pStyle w:val="NormalWeb"/>
        <w:spacing w:before="0" w:beforeAutospacing="0" w:after="0" w:afterAutospacing="0"/>
        <w:ind w:left="1418"/>
        <w:jc w:val="both"/>
        <w:rPr>
          <w:rFonts w:ascii="Arial" w:hAnsi="Arial" w:cs="Arial"/>
        </w:rPr>
      </w:pPr>
      <w:r>
        <w:rPr>
          <w:rFonts w:ascii="Arial" w:hAnsi="Arial" w:cs="Arial"/>
        </w:rPr>
        <w:t>-</w:t>
      </w:r>
      <w:r w:rsidRPr="00B866A8">
        <w:rPr>
          <w:rFonts w:ascii="Arial" w:hAnsi="Arial" w:cs="Arial"/>
        </w:rPr>
        <w:t>Retraso en la administración del ATMP, por ejemplo: necesidad de terapia para control de la enfermedad.</w:t>
      </w:r>
    </w:p>
    <w:p w:rsidR="00B866A8" w:rsidRDefault="00B866A8" w:rsidP="00D84924">
      <w:pPr>
        <w:pStyle w:val="NormalWeb"/>
        <w:spacing w:before="0" w:beforeAutospacing="0" w:after="0" w:afterAutospacing="0"/>
        <w:ind w:left="1418"/>
        <w:jc w:val="both"/>
        <w:rPr>
          <w:rFonts w:ascii="Arial" w:hAnsi="Arial" w:cs="Arial"/>
        </w:rPr>
      </w:pPr>
      <w:r>
        <w:rPr>
          <w:rFonts w:ascii="Arial" w:hAnsi="Arial" w:cs="Arial"/>
        </w:rPr>
        <w:t>-</w:t>
      </w:r>
      <w:r w:rsidRPr="00B866A8">
        <w:rPr>
          <w:rFonts w:ascii="Arial" w:hAnsi="Arial" w:cs="Arial"/>
        </w:rPr>
        <w:t>Infusión de excipientes, por ejemplo: DMSO u otros conservantes.</w:t>
      </w:r>
    </w:p>
    <w:p w:rsidR="00B866A8" w:rsidRPr="00B866A8" w:rsidRDefault="00B866A8" w:rsidP="00D84924">
      <w:pPr>
        <w:pStyle w:val="NormalWeb"/>
        <w:spacing w:before="0" w:beforeAutospacing="0" w:after="0" w:afterAutospacing="0"/>
        <w:ind w:left="1418"/>
        <w:jc w:val="both"/>
        <w:rPr>
          <w:rFonts w:ascii="Arial" w:hAnsi="Arial" w:cs="Arial"/>
        </w:rPr>
      </w:pPr>
      <w:r>
        <w:rPr>
          <w:rFonts w:ascii="Arial" w:hAnsi="Arial" w:cs="Arial"/>
        </w:rPr>
        <w:t>-</w:t>
      </w:r>
      <w:r w:rsidRPr="00B866A8">
        <w:rPr>
          <w:rFonts w:ascii="Arial" w:hAnsi="Arial" w:cs="Arial"/>
        </w:rPr>
        <w:t>Procedimiento de administración invasivo, incluyendo cirugía o dispositivos médicos para la administración.</w:t>
      </w:r>
    </w:p>
    <w:p w:rsidR="0029275D" w:rsidRDefault="00354F2D" w:rsidP="00D84924">
      <w:pPr>
        <w:pStyle w:val="NormalWeb"/>
        <w:numPr>
          <w:ilvl w:val="0"/>
          <w:numId w:val="6"/>
        </w:numPr>
        <w:spacing w:before="0" w:beforeAutospacing="0" w:after="0" w:afterAutospacing="0"/>
        <w:jc w:val="both"/>
        <w:rPr>
          <w:rFonts w:ascii="Arial" w:eastAsia="Arial" w:hAnsi="Arial" w:cs="Arial"/>
          <w:szCs w:val="22"/>
        </w:rPr>
      </w:pPr>
      <w:r w:rsidRPr="00354F2D">
        <w:rPr>
          <w:rFonts w:ascii="Arial" w:eastAsia="Arial" w:hAnsi="Arial" w:cs="Arial"/>
          <w:szCs w:val="22"/>
        </w:rPr>
        <w:t>Riesgos potenciales relacionados con el propio ATMP en investigación, por ejemplo:</w:t>
      </w:r>
    </w:p>
    <w:p w:rsidR="0013724D" w:rsidRDefault="00354F2D" w:rsidP="00D84924">
      <w:pPr>
        <w:pStyle w:val="NormalWeb"/>
        <w:spacing w:before="0" w:beforeAutospacing="0" w:after="0" w:afterAutospacing="0"/>
        <w:ind w:left="1440"/>
        <w:jc w:val="both"/>
        <w:rPr>
          <w:rFonts w:ascii="Arial" w:eastAsia="Arial" w:hAnsi="Arial" w:cs="Arial"/>
          <w:szCs w:val="22"/>
        </w:rPr>
      </w:pPr>
      <w:r>
        <w:rPr>
          <w:rFonts w:ascii="Arial" w:eastAsia="Arial" w:hAnsi="Arial" w:cs="Arial"/>
          <w:szCs w:val="22"/>
        </w:rPr>
        <w:t>-</w:t>
      </w:r>
      <w:r w:rsidR="0013724D" w:rsidRPr="0013724D">
        <w:rPr>
          <w:rFonts w:ascii="Arial" w:eastAsia="Arial" w:hAnsi="Arial" w:cs="Arial"/>
          <w:szCs w:val="22"/>
        </w:rPr>
        <w:t>Riesgos relacionados con la calidad, la fabricación y la cadena de suministro.</w:t>
      </w:r>
    </w:p>
    <w:p w:rsidR="0013724D" w:rsidRDefault="0013724D" w:rsidP="00D84924">
      <w:pPr>
        <w:pStyle w:val="NormalWeb"/>
        <w:spacing w:before="0" w:beforeAutospacing="0" w:after="0" w:afterAutospacing="0"/>
        <w:ind w:left="1440"/>
        <w:jc w:val="both"/>
        <w:rPr>
          <w:rFonts w:ascii="Arial" w:eastAsia="Arial" w:hAnsi="Arial" w:cs="Arial"/>
          <w:szCs w:val="22"/>
        </w:rPr>
      </w:pPr>
      <w:r>
        <w:rPr>
          <w:rFonts w:ascii="Arial" w:eastAsia="Arial" w:hAnsi="Arial" w:cs="Arial"/>
          <w:szCs w:val="22"/>
        </w:rPr>
        <w:t>-</w:t>
      </w:r>
      <w:r w:rsidRPr="0013724D">
        <w:rPr>
          <w:rFonts w:ascii="Arial" w:eastAsia="Arial" w:hAnsi="Arial" w:cs="Arial"/>
          <w:szCs w:val="22"/>
        </w:rPr>
        <w:t>Riesgos identificados en estudios no clínicos, o riesgos potenciales relacionados con efectos fuera de objetivo (off-target) y/o riesgos no identificados en estudios no clínicos.</w:t>
      </w:r>
    </w:p>
    <w:p w:rsidR="00354F2D" w:rsidRDefault="0013724D" w:rsidP="00D84924">
      <w:pPr>
        <w:pStyle w:val="NormalWeb"/>
        <w:spacing w:before="0" w:beforeAutospacing="0" w:after="0" w:afterAutospacing="0"/>
        <w:ind w:left="1440"/>
        <w:jc w:val="both"/>
        <w:rPr>
          <w:rFonts w:ascii="Arial" w:eastAsia="Arial" w:hAnsi="Arial" w:cs="Arial"/>
          <w:szCs w:val="22"/>
        </w:rPr>
      </w:pPr>
      <w:r>
        <w:rPr>
          <w:rFonts w:ascii="Arial" w:eastAsia="Arial" w:hAnsi="Arial" w:cs="Arial"/>
          <w:szCs w:val="22"/>
        </w:rPr>
        <w:lastRenderedPageBreak/>
        <w:t>-</w:t>
      </w:r>
      <w:r w:rsidRPr="0013724D">
        <w:rPr>
          <w:rFonts w:ascii="Arial" w:eastAsia="Arial" w:hAnsi="Arial" w:cs="Arial"/>
          <w:szCs w:val="22"/>
        </w:rPr>
        <w:t xml:space="preserve">Para </w:t>
      </w:r>
      <w:proofErr w:type="spellStart"/>
      <w:r w:rsidRPr="0013724D">
        <w:rPr>
          <w:rFonts w:ascii="Arial" w:eastAsia="Arial" w:hAnsi="Arial" w:cs="Arial"/>
          <w:szCs w:val="22"/>
        </w:rPr>
        <w:t>ATMPs</w:t>
      </w:r>
      <w:proofErr w:type="spellEnd"/>
      <w:r w:rsidRPr="0013724D">
        <w:rPr>
          <w:rFonts w:ascii="Arial" w:eastAsia="Arial" w:hAnsi="Arial" w:cs="Arial"/>
          <w:szCs w:val="22"/>
        </w:rPr>
        <w:t xml:space="preserve"> basados en vectores virales: riesgo de </w:t>
      </w:r>
      <w:proofErr w:type="spellStart"/>
      <w:r w:rsidRPr="0013724D">
        <w:rPr>
          <w:rFonts w:ascii="Arial" w:eastAsia="Arial" w:hAnsi="Arial" w:cs="Arial"/>
          <w:szCs w:val="22"/>
        </w:rPr>
        <w:t>shedding</w:t>
      </w:r>
      <w:proofErr w:type="spellEnd"/>
      <w:r w:rsidRPr="0013724D">
        <w:rPr>
          <w:rFonts w:ascii="Arial" w:eastAsia="Arial" w:hAnsi="Arial" w:cs="Arial"/>
          <w:szCs w:val="22"/>
        </w:rPr>
        <w:t>, competencia replicativa y posibilidad de reactivación de virus endógenos o complementariedad con virus endógenos.</w:t>
      </w:r>
    </w:p>
    <w:p w:rsidR="008E5F4D" w:rsidRPr="008E5F4D" w:rsidRDefault="008E5F4D" w:rsidP="00D84924">
      <w:pPr>
        <w:pStyle w:val="NormalWeb"/>
        <w:numPr>
          <w:ilvl w:val="0"/>
          <w:numId w:val="6"/>
        </w:numPr>
        <w:spacing w:before="0" w:beforeAutospacing="0" w:after="0" w:afterAutospacing="0"/>
        <w:jc w:val="both"/>
        <w:rPr>
          <w:rFonts w:ascii="Arial" w:eastAsia="Arial" w:hAnsi="Arial" w:cs="Arial"/>
          <w:szCs w:val="22"/>
        </w:rPr>
      </w:pPr>
      <w:r w:rsidRPr="008E5F4D">
        <w:rPr>
          <w:rFonts w:ascii="Arial" w:eastAsia="Arial" w:hAnsi="Arial" w:cs="Arial"/>
          <w:szCs w:val="22"/>
        </w:rPr>
        <w:t xml:space="preserve">Riesgos relacionados con la mutagénesis por inserción en el caso de los </w:t>
      </w:r>
      <w:proofErr w:type="spellStart"/>
      <w:r w:rsidRPr="008E5F4D">
        <w:rPr>
          <w:rFonts w:ascii="Arial" w:eastAsia="Arial" w:hAnsi="Arial" w:cs="Arial"/>
          <w:szCs w:val="22"/>
        </w:rPr>
        <w:t>GTMPs</w:t>
      </w:r>
      <w:proofErr w:type="spellEnd"/>
      <w:r w:rsidRPr="008E5F4D">
        <w:rPr>
          <w:rFonts w:ascii="Arial" w:eastAsia="Arial" w:hAnsi="Arial" w:cs="Arial"/>
          <w:szCs w:val="22"/>
        </w:rPr>
        <w:t xml:space="preserve"> (Gene </w:t>
      </w:r>
      <w:proofErr w:type="spellStart"/>
      <w:r w:rsidRPr="008E5F4D">
        <w:rPr>
          <w:rFonts w:ascii="Arial" w:eastAsia="Arial" w:hAnsi="Arial" w:cs="Arial"/>
          <w:szCs w:val="22"/>
        </w:rPr>
        <w:t>Therapy</w:t>
      </w:r>
      <w:proofErr w:type="spellEnd"/>
      <w:r w:rsidRPr="008E5F4D">
        <w:rPr>
          <w:rFonts w:ascii="Arial" w:eastAsia="Arial" w:hAnsi="Arial" w:cs="Arial"/>
          <w:szCs w:val="22"/>
        </w:rPr>
        <w:t xml:space="preserve"> Medicinal </w:t>
      </w:r>
      <w:proofErr w:type="spellStart"/>
      <w:r w:rsidRPr="008E5F4D">
        <w:rPr>
          <w:rFonts w:ascii="Arial" w:eastAsia="Arial" w:hAnsi="Arial" w:cs="Arial"/>
          <w:szCs w:val="22"/>
        </w:rPr>
        <w:t>Products</w:t>
      </w:r>
      <w:proofErr w:type="spellEnd"/>
      <w:r w:rsidRPr="008E5F4D">
        <w:rPr>
          <w:rFonts w:ascii="Arial" w:eastAsia="Arial" w:hAnsi="Arial" w:cs="Arial"/>
          <w:szCs w:val="22"/>
        </w:rPr>
        <w:t>).</w:t>
      </w:r>
    </w:p>
    <w:p w:rsidR="008E5F4D" w:rsidRPr="008E5F4D" w:rsidRDefault="008E5F4D" w:rsidP="00D84924">
      <w:pPr>
        <w:pStyle w:val="NormalWeb"/>
        <w:numPr>
          <w:ilvl w:val="0"/>
          <w:numId w:val="6"/>
        </w:numPr>
        <w:spacing w:before="0" w:beforeAutospacing="0" w:after="0" w:afterAutospacing="0"/>
        <w:jc w:val="both"/>
        <w:rPr>
          <w:rFonts w:ascii="Arial" w:eastAsia="Arial" w:hAnsi="Arial" w:cs="Arial"/>
          <w:szCs w:val="22"/>
        </w:rPr>
      </w:pPr>
      <w:r w:rsidRPr="008E5F4D">
        <w:rPr>
          <w:rFonts w:ascii="Arial" w:eastAsia="Arial" w:hAnsi="Arial" w:cs="Arial"/>
          <w:szCs w:val="22"/>
        </w:rPr>
        <w:t xml:space="preserve">Riesgos de transmisión a la línea germinal o de modificaciones en la misma en determinados </w:t>
      </w:r>
      <w:proofErr w:type="spellStart"/>
      <w:r w:rsidRPr="008E5F4D">
        <w:rPr>
          <w:rFonts w:ascii="Arial" w:eastAsia="Arial" w:hAnsi="Arial" w:cs="Arial"/>
          <w:szCs w:val="22"/>
        </w:rPr>
        <w:t>GTMPs</w:t>
      </w:r>
      <w:proofErr w:type="spellEnd"/>
      <w:r w:rsidRPr="008E5F4D">
        <w:rPr>
          <w:rFonts w:ascii="Arial" w:eastAsia="Arial" w:hAnsi="Arial" w:cs="Arial"/>
          <w:szCs w:val="22"/>
        </w:rPr>
        <w:t>.</w:t>
      </w:r>
    </w:p>
    <w:p w:rsidR="008E5F4D" w:rsidRPr="008E5F4D" w:rsidRDefault="008E5F4D" w:rsidP="00D84924">
      <w:pPr>
        <w:pStyle w:val="NormalWeb"/>
        <w:numPr>
          <w:ilvl w:val="0"/>
          <w:numId w:val="6"/>
        </w:numPr>
        <w:spacing w:before="0" w:beforeAutospacing="0" w:after="120" w:afterAutospacing="0"/>
        <w:jc w:val="both"/>
        <w:rPr>
          <w:rFonts w:ascii="Arial" w:eastAsia="Arial" w:hAnsi="Arial" w:cs="Arial"/>
          <w:szCs w:val="22"/>
        </w:rPr>
      </w:pPr>
      <w:r w:rsidRPr="008E5F4D">
        <w:rPr>
          <w:rFonts w:ascii="Arial" w:eastAsia="Arial" w:hAnsi="Arial" w:cs="Arial"/>
          <w:szCs w:val="22"/>
        </w:rPr>
        <w:t>Riesgos relacionados con reacciones inmunitarias, por ejemplo: inmunogenicidad o respuesta inflamatoria.</w:t>
      </w:r>
    </w:p>
    <w:p w:rsidR="0013724D" w:rsidRDefault="008E5F4D" w:rsidP="00D84924">
      <w:pPr>
        <w:pStyle w:val="NormalWeb"/>
        <w:spacing w:before="0" w:beforeAutospacing="0" w:after="120" w:afterAutospacing="0"/>
        <w:jc w:val="both"/>
        <w:rPr>
          <w:rFonts w:ascii="Arial" w:eastAsia="Arial" w:hAnsi="Arial" w:cs="Arial"/>
          <w:szCs w:val="22"/>
        </w:rPr>
      </w:pPr>
      <w:r w:rsidRPr="008E5F4D">
        <w:rPr>
          <w:rFonts w:ascii="Arial" w:eastAsia="Arial" w:hAnsi="Arial" w:cs="Arial"/>
          <w:szCs w:val="22"/>
        </w:rPr>
        <w:t>Los patrocinadores deben detallar en la sección de evaluación beneficio-riesgo del protocolo del estudio cómo se abordan y minimizan los riesgos conocidos y potenciales. Las correspondientes medidas de minimización de riesgos deben implementarse durante la realización del estudio.</w:t>
      </w:r>
    </w:p>
    <w:p w:rsidR="00363C9A" w:rsidRPr="00363C9A" w:rsidRDefault="00266D64" w:rsidP="00D84924">
      <w:pPr>
        <w:pStyle w:val="NormalWeb"/>
        <w:spacing w:before="0" w:beforeAutospacing="0" w:after="120" w:afterAutospacing="0"/>
        <w:jc w:val="both"/>
        <w:rPr>
          <w:rFonts w:ascii="Arial" w:eastAsia="Arial" w:hAnsi="Arial" w:cs="Arial"/>
          <w:b/>
          <w:i/>
          <w:szCs w:val="22"/>
        </w:rPr>
      </w:pPr>
      <w:r>
        <w:rPr>
          <w:rFonts w:ascii="Arial" w:eastAsia="Arial" w:hAnsi="Arial" w:cs="Arial"/>
          <w:b/>
          <w:i/>
          <w:szCs w:val="22"/>
        </w:rPr>
        <w:t>8</w:t>
      </w:r>
      <w:r w:rsidR="00363C9A" w:rsidRPr="00363C9A">
        <w:rPr>
          <w:rFonts w:ascii="Arial" w:eastAsia="Arial" w:hAnsi="Arial" w:cs="Arial"/>
          <w:b/>
          <w:i/>
          <w:szCs w:val="22"/>
        </w:rPr>
        <w:t>.1.2 Población del ensayo</w:t>
      </w:r>
    </w:p>
    <w:p w:rsidR="00363C9A" w:rsidRPr="00363C9A" w:rsidRDefault="00363C9A" w:rsidP="00D84924">
      <w:pPr>
        <w:pStyle w:val="NormalWeb"/>
        <w:spacing w:before="0" w:beforeAutospacing="0" w:after="120" w:afterAutospacing="0"/>
        <w:jc w:val="both"/>
        <w:rPr>
          <w:rFonts w:ascii="Arial" w:eastAsia="Arial" w:hAnsi="Arial" w:cs="Arial"/>
          <w:szCs w:val="22"/>
        </w:rPr>
      </w:pPr>
      <w:r w:rsidRPr="00363C9A">
        <w:rPr>
          <w:rFonts w:ascii="Arial" w:eastAsia="Arial" w:hAnsi="Arial" w:cs="Arial"/>
          <w:szCs w:val="22"/>
        </w:rPr>
        <w:t xml:space="preserve">Los ensayos clínicos que involucran </w:t>
      </w:r>
      <w:proofErr w:type="spellStart"/>
      <w:r w:rsidRPr="00363C9A">
        <w:rPr>
          <w:rFonts w:ascii="Arial" w:eastAsia="Arial" w:hAnsi="Arial" w:cs="Arial"/>
          <w:szCs w:val="22"/>
        </w:rPr>
        <w:t>ATMPs</w:t>
      </w:r>
      <w:proofErr w:type="spellEnd"/>
      <w:r w:rsidRPr="00363C9A">
        <w:rPr>
          <w:rFonts w:ascii="Arial" w:eastAsia="Arial" w:hAnsi="Arial" w:cs="Arial"/>
          <w:szCs w:val="22"/>
        </w:rPr>
        <w:t xml:space="preserve"> en investigación suelen realizarse en pacientes y no en voluntarios sanos.</w:t>
      </w:r>
    </w:p>
    <w:p w:rsidR="00363C9A" w:rsidRPr="00363C9A" w:rsidRDefault="00363C9A" w:rsidP="00D84924">
      <w:pPr>
        <w:pStyle w:val="NormalWeb"/>
        <w:spacing w:before="0" w:beforeAutospacing="0" w:after="120" w:afterAutospacing="0"/>
        <w:jc w:val="both"/>
        <w:rPr>
          <w:rFonts w:ascii="Arial" w:eastAsia="Arial" w:hAnsi="Arial" w:cs="Arial"/>
          <w:szCs w:val="22"/>
        </w:rPr>
      </w:pPr>
      <w:r w:rsidRPr="00363C9A">
        <w:rPr>
          <w:rFonts w:ascii="Arial" w:eastAsia="Arial" w:hAnsi="Arial" w:cs="Arial"/>
          <w:szCs w:val="22"/>
        </w:rPr>
        <w:t>La justificación y el fundamento para la elección de la población del estudio deben discutirse en el protocolo. La población debe seleccionarse en función de un equilibrio aceptable entre riesgos y beneficios previstos del tratamiento con el ATMP en investigación.</w:t>
      </w:r>
    </w:p>
    <w:p w:rsidR="00363C9A" w:rsidRPr="00363C9A" w:rsidRDefault="00363C9A" w:rsidP="00D84924">
      <w:pPr>
        <w:pStyle w:val="NormalWeb"/>
        <w:spacing w:before="0" w:beforeAutospacing="0" w:after="120" w:afterAutospacing="0"/>
        <w:jc w:val="both"/>
        <w:rPr>
          <w:rFonts w:ascii="Arial" w:eastAsia="Arial" w:hAnsi="Arial" w:cs="Arial"/>
          <w:szCs w:val="22"/>
        </w:rPr>
      </w:pPr>
      <w:r w:rsidRPr="00363C9A">
        <w:rPr>
          <w:rFonts w:ascii="Arial" w:eastAsia="Arial" w:hAnsi="Arial" w:cs="Arial"/>
          <w:szCs w:val="22"/>
        </w:rPr>
        <w:t>En los ensayos exploratorios, la población puede estar más restringida de acuerdo con los objetivos del ensayo e incluir pacientes con un balance beneficio/riesgo presumiblemente más favorable; posteriormente, la población de pacientes puede ampliarse en función de los datos acumulados.</w:t>
      </w:r>
    </w:p>
    <w:p w:rsidR="00363C9A" w:rsidRPr="00363C9A" w:rsidRDefault="00363C9A" w:rsidP="00D84924">
      <w:pPr>
        <w:pStyle w:val="NormalWeb"/>
        <w:spacing w:before="0" w:beforeAutospacing="0" w:after="120" w:afterAutospacing="0"/>
        <w:jc w:val="both"/>
        <w:rPr>
          <w:rFonts w:ascii="Arial" w:eastAsia="Arial" w:hAnsi="Arial" w:cs="Arial"/>
          <w:szCs w:val="22"/>
        </w:rPr>
      </w:pPr>
      <w:r w:rsidRPr="00363C9A">
        <w:rPr>
          <w:rFonts w:ascii="Arial" w:eastAsia="Arial" w:hAnsi="Arial" w:cs="Arial"/>
          <w:szCs w:val="22"/>
        </w:rPr>
        <w:t>Sin embargo, los ensayos confirmatorios deben diseñarse para garantizar que las poblaciones del ensayo sean representativas de los pacientes que se pretende tratar tras la obtención de la autorización de comercialización y, por lo tanto, los criterios de exclusión deben minimizarse y estar plenamente justificados.</w:t>
      </w:r>
    </w:p>
    <w:p w:rsidR="00363C9A" w:rsidRPr="00363C9A" w:rsidRDefault="00363C9A" w:rsidP="00D84924">
      <w:pPr>
        <w:pStyle w:val="NormalWeb"/>
        <w:spacing w:before="0" w:beforeAutospacing="0" w:after="120" w:afterAutospacing="0"/>
        <w:jc w:val="both"/>
        <w:rPr>
          <w:rFonts w:ascii="Arial" w:eastAsia="Arial" w:hAnsi="Arial" w:cs="Arial"/>
          <w:szCs w:val="22"/>
        </w:rPr>
      </w:pPr>
      <w:r w:rsidRPr="00363C9A">
        <w:rPr>
          <w:rFonts w:ascii="Arial" w:eastAsia="Arial" w:hAnsi="Arial" w:cs="Arial"/>
          <w:szCs w:val="22"/>
        </w:rPr>
        <w:t>Otras consideraciones para definir la población del ensayo pueden incluir:</w:t>
      </w:r>
    </w:p>
    <w:p w:rsidR="00363C9A" w:rsidRPr="00363C9A" w:rsidRDefault="00363C9A" w:rsidP="00D84924">
      <w:pPr>
        <w:pStyle w:val="NormalWeb"/>
        <w:numPr>
          <w:ilvl w:val="0"/>
          <w:numId w:val="4"/>
        </w:numPr>
        <w:spacing w:before="0" w:beforeAutospacing="0" w:after="120" w:afterAutospacing="0"/>
        <w:jc w:val="both"/>
        <w:rPr>
          <w:rFonts w:ascii="Arial" w:eastAsia="Arial" w:hAnsi="Arial" w:cs="Arial"/>
          <w:szCs w:val="22"/>
        </w:rPr>
      </w:pPr>
      <w:r w:rsidRPr="00363C9A">
        <w:rPr>
          <w:rFonts w:ascii="Arial" w:eastAsia="Arial" w:hAnsi="Arial" w:cs="Arial"/>
          <w:szCs w:val="22"/>
        </w:rPr>
        <w:t>Inmunidad preexistente frente al producto o sustancia activa.</w:t>
      </w:r>
    </w:p>
    <w:p w:rsidR="00363C9A" w:rsidRPr="00363C9A" w:rsidRDefault="00363C9A" w:rsidP="00D84924">
      <w:pPr>
        <w:pStyle w:val="NormalWeb"/>
        <w:numPr>
          <w:ilvl w:val="0"/>
          <w:numId w:val="4"/>
        </w:numPr>
        <w:spacing w:before="0" w:beforeAutospacing="0" w:after="120" w:afterAutospacing="0"/>
        <w:jc w:val="both"/>
        <w:rPr>
          <w:rFonts w:ascii="Arial" w:eastAsia="Arial" w:hAnsi="Arial" w:cs="Arial"/>
          <w:szCs w:val="22"/>
        </w:rPr>
      </w:pPr>
      <w:r w:rsidRPr="00363C9A">
        <w:rPr>
          <w:rFonts w:ascii="Arial" w:eastAsia="Arial" w:hAnsi="Arial" w:cs="Arial"/>
          <w:szCs w:val="22"/>
        </w:rPr>
        <w:t xml:space="preserve">Efectos potenciales (p. ej., inmunogenicidad u otros efectos de larga duración) de los </w:t>
      </w:r>
      <w:proofErr w:type="spellStart"/>
      <w:r w:rsidRPr="00363C9A">
        <w:rPr>
          <w:rFonts w:ascii="Arial" w:eastAsia="Arial" w:hAnsi="Arial" w:cs="Arial"/>
          <w:szCs w:val="22"/>
        </w:rPr>
        <w:t>ATMPs</w:t>
      </w:r>
      <w:proofErr w:type="spellEnd"/>
      <w:r w:rsidRPr="00363C9A">
        <w:rPr>
          <w:rFonts w:ascii="Arial" w:eastAsia="Arial" w:hAnsi="Arial" w:cs="Arial"/>
          <w:szCs w:val="22"/>
        </w:rPr>
        <w:t xml:space="preserve"> en investigación sobre opciones de tratamiento posteriores (p. ej., trasplantes de órganos).</w:t>
      </w:r>
    </w:p>
    <w:p w:rsidR="00363C9A" w:rsidRPr="00363C9A" w:rsidRDefault="00363C9A" w:rsidP="00D84924">
      <w:pPr>
        <w:pStyle w:val="NormalWeb"/>
        <w:numPr>
          <w:ilvl w:val="0"/>
          <w:numId w:val="4"/>
        </w:numPr>
        <w:spacing w:before="0" w:beforeAutospacing="0" w:after="120" w:afterAutospacing="0"/>
        <w:jc w:val="both"/>
        <w:rPr>
          <w:rFonts w:ascii="Arial" w:eastAsia="Arial" w:hAnsi="Arial" w:cs="Arial"/>
          <w:szCs w:val="22"/>
        </w:rPr>
      </w:pPr>
      <w:r w:rsidRPr="00363C9A">
        <w:rPr>
          <w:rFonts w:ascii="Arial" w:eastAsia="Arial" w:hAnsi="Arial" w:cs="Arial"/>
          <w:szCs w:val="22"/>
        </w:rPr>
        <w:t>Etapa y carga de la enfermedad.</w:t>
      </w:r>
    </w:p>
    <w:p w:rsidR="00363C9A" w:rsidRPr="00363C9A" w:rsidRDefault="00363C9A" w:rsidP="0082479A">
      <w:pPr>
        <w:pStyle w:val="NormalWeb"/>
        <w:numPr>
          <w:ilvl w:val="0"/>
          <w:numId w:val="4"/>
        </w:numPr>
        <w:spacing w:before="0" w:beforeAutospacing="0" w:after="120" w:afterAutospacing="0"/>
        <w:jc w:val="both"/>
        <w:rPr>
          <w:rFonts w:ascii="Arial" w:eastAsia="Arial" w:hAnsi="Arial" w:cs="Arial"/>
          <w:szCs w:val="22"/>
        </w:rPr>
      </w:pPr>
      <w:r w:rsidRPr="00363C9A">
        <w:rPr>
          <w:rFonts w:ascii="Arial" w:eastAsia="Arial" w:hAnsi="Arial" w:cs="Arial"/>
          <w:szCs w:val="22"/>
        </w:rPr>
        <w:lastRenderedPageBreak/>
        <w:t>Capacidad de los sujetos para tolerar una administración retrasada del ATMP y/o para soportar la aparición de eventos adversos.</w:t>
      </w:r>
    </w:p>
    <w:p w:rsidR="003C620D" w:rsidRDefault="00363C9A" w:rsidP="0082479A">
      <w:pPr>
        <w:pStyle w:val="NormalWeb"/>
        <w:numPr>
          <w:ilvl w:val="0"/>
          <w:numId w:val="4"/>
        </w:numPr>
        <w:spacing w:before="0" w:beforeAutospacing="0" w:after="120" w:afterAutospacing="0"/>
        <w:jc w:val="both"/>
        <w:rPr>
          <w:rFonts w:ascii="Arial" w:eastAsia="Arial" w:hAnsi="Arial" w:cs="Arial"/>
          <w:szCs w:val="22"/>
        </w:rPr>
      </w:pPr>
      <w:r w:rsidRPr="00363C9A">
        <w:rPr>
          <w:rFonts w:ascii="Arial" w:eastAsia="Arial" w:hAnsi="Arial" w:cs="Arial"/>
          <w:szCs w:val="22"/>
        </w:rPr>
        <w:t>Tratamientos previos y concomitantes y su mecanismo de acción.</w:t>
      </w:r>
    </w:p>
    <w:p w:rsidR="00420F25" w:rsidRDefault="00A86E34" w:rsidP="0082479A">
      <w:pPr>
        <w:pStyle w:val="NormalWeb"/>
        <w:spacing w:before="0" w:beforeAutospacing="0" w:after="120" w:afterAutospacing="0"/>
        <w:jc w:val="both"/>
        <w:rPr>
          <w:rFonts w:ascii="Arial" w:eastAsia="Arial" w:hAnsi="Arial" w:cs="Arial"/>
          <w:szCs w:val="22"/>
        </w:rPr>
      </w:pPr>
      <w:r w:rsidRPr="00A86E34">
        <w:rPr>
          <w:rFonts w:ascii="Arial" w:eastAsia="Arial" w:hAnsi="Arial" w:cs="Arial"/>
          <w:szCs w:val="22"/>
        </w:rPr>
        <w:t>En el caso de que el ATMP se desarrolle en población pediátrica</w:t>
      </w:r>
      <w:r>
        <w:rPr>
          <w:rFonts w:ascii="Arial" w:eastAsia="Arial" w:hAnsi="Arial" w:cs="Arial"/>
          <w:szCs w:val="22"/>
        </w:rPr>
        <w:t>, l</w:t>
      </w:r>
      <w:r w:rsidRPr="00A86E34">
        <w:rPr>
          <w:rFonts w:ascii="Arial" w:eastAsia="Arial" w:hAnsi="Arial" w:cs="Arial"/>
          <w:szCs w:val="22"/>
        </w:rPr>
        <w:t>a guía ICH E11 sobre la investigación clínica de medicamentos en población pediátrica y la normativa relacionada deben tenerse en consideración.</w:t>
      </w:r>
    </w:p>
    <w:p w:rsidR="0082479A" w:rsidRPr="0082479A" w:rsidRDefault="00266D64" w:rsidP="0082479A">
      <w:pPr>
        <w:pStyle w:val="NormalWeb"/>
        <w:spacing w:before="0" w:beforeAutospacing="0" w:after="120" w:afterAutospacing="0"/>
        <w:jc w:val="both"/>
        <w:rPr>
          <w:rFonts w:ascii="Arial" w:eastAsia="Arial" w:hAnsi="Arial" w:cs="Arial"/>
          <w:b/>
          <w:i/>
          <w:szCs w:val="22"/>
        </w:rPr>
      </w:pPr>
      <w:r>
        <w:rPr>
          <w:rFonts w:ascii="Arial" w:eastAsia="Arial" w:hAnsi="Arial" w:cs="Arial"/>
          <w:b/>
          <w:i/>
          <w:szCs w:val="22"/>
        </w:rPr>
        <w:t>8</w:t>
      </w:r>
      <w:r w:rsidR="0082479A" w:rsidRPr="0082479A">
        <w:rPr>
          <w:rFonts w:ascii="Arial" w:eastAsia="Arial" w:hAnsi="Arial" w:cs="Arial"/>
          <w:b/>
          <w:i/>
          <w:szCs w:val="22"/>
        </w:rPr>
        <w:t>.1.3 Medidas anticonceptivas</w:t>
      </w:r>
    </w:p>
    <w:p w:rsidR="0082479A" w:rsidRPr="0082479A" w:rsidRDefault="0082479A" w:rsidP="0082479A">
      <w:pPr>
        <w:pStyle w:val="NormalWeb"/>
        <w:spacing w:before="0" w:beforeAutospacing="0" w:after="120" w:afterAutospacing="0"/>
        <w:jc w:val="both"/>
        <w:rPr>
          <w:rFonts w:ascii="Arial" w:eastAsia="Arial" w:hAnsi="Arial" w:cs="Arial"/>
          <w:szCs w:val="22"/>
        </w:rPr>
      </w:pPr>
      <w:r w:rsidRPr="0082479A">
        <w:rPr>
          <w:rFonts w:ascii="Arial" w:eastAsia="Arial" w:hAnsi="Arial" w:cs="Arial"/>
          <w:szCs w:val="22"/>
        </w:rPr>
        <w:t xml:space="preserve">La anticoncepción en los ensayos clínicos que involucren </w:t>
      </w:r>
      <w:proofErr w:type="spellStart"/>
      <w:r w:rsidRPr="0082479A">
        <w:rPr>
          <w:rFonts w:ascii="Arial" w:eastAsia="Arial" w:hAnsi="Arial" w:cs="Arial"/>
          <w:szCs w:val="22"/>
        </w:rPr>
        <w:t>ATMPs</w:t>
      </w:r>
      <w:proofErr w:type="spellEnd"/>
      <w:r w:rsidRPr="0082479A">
        <w:rPr>
          <w:rFonts w:ascii="Arial" w:eastAsia="Arial" w:hAnsi="Arial" w:cs="Arial"/>
          <w:szCs w:val="22"/>
        </w:rPr>
        <w:t xml:space="preserve"> en investigación debe seguir los principios generales de las Recomendaciones relacionadas con la anticoncepción y las pruebas de embarazo en ensayos clínicos.</w:t>
      </w:r>
    </w:p>
    <w:p w:rsidR="0082479A" w:rsidRPr="0082479A" w:rsidRDefault="0082479A" w:rsidP="0082479A">
      <w:pPr>
        <w:pStyle w:val="NormalWeb"/>
        <w:spacing w:before="0" w:beforeAutospacing="0" w:after="120" w:afterAutospacing="0"/>
        <w:jc w:val="both"/>
        <w:rPr>
          <w:rFonts w:ascii="Arial" w:eastAsia="Arial" w:hAnsi="Arial" w:cs="Arial"/>
          <w:szCs w:val="22"/>
        </w:rPr>
      </w:pPr>
      <w:r w:rsidRPr="0082479A">
        <w:rPr>
          <w:rFonts w:ascii="Arial" w:eastAsia="Arial" w:hAnsi="Arial" w:cs="Arial"/>
          <w:szCs w:val="22"/>
        </w:rPr>
        <w:t xml:space="preserve">Al considerar los requisitos anticonceptivos para ensayos clínicos con </w:t>
      </w:r>
      <w:proofErr w:type="spellStart"/>
      <w:r w:rsidRPr="0082479A">
        <w:rPr>
          <w:rFonts w:ascii="Arial" w:eastAsia="Arial" w:hAnsi="Arial" w:cs="Arial"/>
          <w:szCs w:val="22"/>
        </w:rPr>
        <w:t>ATMPs</w:t>
      </w:r>
      <w:proofErr w:type="spellEnd"/>
      <w:r w:rsidRPr="0082479A">
        <w:rPr>
          <w:rFonts w:ascii="Arial" w:eastAsia="Arial" w:hAnsi="Arial" w:cs="Arial"/>
          <w:szCs w:val="22"/>
        </w:rPr>
        <w:t xml:space="preserve">, deben tenerse en cuenta los riesgos para el feto en desarrollo por exposición in </w:t>
      </w:r>
      <w:proofErr w:type="spellStart"/>
      <w:r w:rsidRPr="0082479A">
        <w:rPr>
          <w:rFonts w:ascii="Arial" w:eastAsia="Arial" w:hAnsi="Arial" w:cs="Arial"/>
          <w:szCs w:val="22"/>
        </w:rPr>
        <w:t>utero</w:t>
      </w:r>
      <w:proofErr w:type="spellEnd"/>
      <w:r w:rsidRPr="0082479A">
        <w:rPr>
          <w:rFonts w:ascii="Arial" w:eastAsia="Arial" w:hAnsi="Arial" w:cs="Arial"/>
          <w:szCs w:val="22"/>
        </w:rPr>
        <w:t xml:space="preserve"> y los riesgos para las células germinales en desarrollo.</w:t>
      </w:r>
    </w:p>
    <w:p w:rsidR="0082479A" w:rsidRPr="0082479A" w:rsidRDefault="0082479A" w:rsidP="0082479A">
      <w:pPr>
        <w:pStyle w:val="NormalWeb"/>
        <w:spacing w:before="0" w:beforeAutospacing="0" w:after="120" w:afterAutospacing="0"/>
        <w:jc w:val="both"/>
        <w:rPr>
          <w:rFonts w:ascii="Arial" w:eastAsia="Arial" w:hAnsi="Arial" w:cs="Arial"/>
          <w:szCs w:val="22"/>
        </w:rPr>
      </w:pPr>
      <w:r w:rsidRPr="0082479A">
        <w:rPr>
          <w:rFonts w:ascii="Arial" w:eastAsia="Arial" w:hAnsi="Arial" w:cs="Arial"/>
          <w:szCs w:val="22"/>
        </w:rPr>
        <w:t xml:space="preserve">En el caso de ensayos clínicos con </w:t>
      </w:r>
      <w:proofErr w:type="spellStart"/>
      <w:r w:rsidRPr="0082479A">
        <w:rPr>
          <w:rFonts w:ascii="Arial" w:eastAsia="Arial" w:hAnsi="Arial" w:cs="Arial"/>
          <w:szCs w:val="22"/>
        </w:rPr>
        <w:t>ATMPs</w:t>
      </w:r>
      <w:proofErr w:type="spellEnd"/>
      <w:r w:rsidRPr="0082479A">
        <w:rPr>
          <w:rFonts w:ascii="Arial" w:eastAsia="Arial" w:hAnsi="Arial" w:cs="Arial"/>
          <w:szCs w:val="22"/>
        </w:rPr>
        <w:t xml:space="preserve"> que aún no hayan recibido autorización de comercialización, deben evaluarse todos los datos no clínicos y clínicos relevantes para determinar el riesgo. Dependiendo de la fase de desarrollo, puede que no existan datos o que estos sean limitados en relación con los posibles efectos de toxicidad reproductiva. La exposición de por vida asociada a algunos </w:t>
      </w:r>
      <w:proofErr w:type="spellStart"/>
      <w:r w:rsidRPr="0082479A">
        <w:rPr>
          <w:rFonts w:ascii="Arial" w:eastAsia="Arial" w:hAnsi="Arial" w:cs="Arial"/>
          <w:szCs w:val="22"/>
        </w:rPr>
        <w:t>ATMPs</w:t>
      </w:r>
      <w:proofErr w:type="spellEnd"/>
      <w:r w:rsidRPr="0082479A">
        <w:rPr>
          <w:rFonts w:ascii="Arial" w:eastAsia="Arial" w:hAnsi="Arial" w:cs="Arial"/>
          <w:szCs w:val="22"/>
        </w:rPr>
        <w:t xml:space="preserve"> puede requerir consideraciones adicionales para la minimización de riesgos.</w:t>
      </w:r>
    </w:p>
    <w:p w:rsidR="0082479A" w:rsidRDefault="0082479A" w:rsidP="0082479A">
      <w:pPr>
        <w:pStyle w:val="NormalWeb"/>
        <w:spacing w:before="0" w:beforeAutospacing="0" w:after="120" w:afterAutospacing="0"/>
        <w:jc w:val="both"/>
        <w:rPr>
          <w:rFonts w:ascii="Arial" w:eastAsia="Arial" w:hAnsi="Arial" w:cs="Arial"/>
          <w:szCs w:val="22"/>
        </w:rPr>
      </w:pPr>
      <w:r w:rsidRPr="0082479A">
        <w:rPr>
          <w:rFonts w:ascii="Arial" w:eastAsia="Arial" w:hAnsi="Arial" w:cs="Arial"/>
          <w:szCs w:val="22"/>
        </w:rPr>
        <w:t xml:space="preserve">El protocolo y el manual del investigador (IB) deben incluir una evaluación del riesgo reproductivo, incluyendo el período de riesgo potencial y una justificación para la duración de las medidas anticonceptivas. Las medidas anticonceptivas deben adaptarse a los riesgos de productos específicos (por ejemplo, teniendo en cuenta la duración del </w:t>
      </w:r>
      <w:proofErr w:type="spellStart"/>
      <w:r w:rsidRPr="0082479A">
        <w:rPr>
          <w:rFonts w:ascii="Arial" w:eastAsia="Arial" w:hAnsi="Arial" w:cs="Arial"/>
          <w:szCs w:val="22"/>
        </w:rPr>
        <w:t>shedding</w:t>
      </w:r>
      <w:proofErr w:type="spellEnd"/>
      <w:r w:rsidRPr="0082479A">
        <w:rPr>
          <w:rFonts w:ascii="Arial" w:eastAsia="Arial" w:hAnsi="Arial" w:cs="Arial"/>
          <w:szCs w:val="22"/>
        </w:rPr>
        <w:t xml:space="preserve"> en productos basados en AAV).</w:t>
      </w:r>
    </w:p>
    <w:p w:rsidR="001A4922" w:rsidRPr="001A4922" w:rsidRDefault="00F3152E" w:rsidP="00F3152E">
      <w:pPr>
        <w:pStyle w:val="NormalWeb"/>
        <w:spacing w:after="120"/>
        <w:jc w:val="both"/>
        <w:rPr>
          <w:rFonts w:ascii="Arial" w:eastAsia="Arial" w:hAnsi="Arial" w:cs="Arial"/>
          <w:b/>
          <w:szCs w:val="22"/>
        </w:rPr>
      </w:pPr>
      <w:r w:rsidRPr="001A4922">
        <w:rPr>
          <w:rFonts w:ascii="Arial" w:eastAsia="Arial" w:hAnsi="Arial" w:cs="Arial"/>
          <w:b/>
          <w:szCs w:val="22"/>
        </w:rPr>
        <w:t>Recomendaciones para sujetos masculinos con pareja mujer en edad fértil (WOCBP), embarazada o no embarazada</w:t>
      </w:r>
    </w:p>
    <w:p w:rsidR="00F3152E" w:rsidRPr="00F3152E" w:rsidRDefault="00906862" w:rsidP="00F3152E">
      <w:pPr>
        <w:pStyle w:val="NormalWeb"/>
        <w:spacing w:after="120"/>
        <w:jc w:val="both"/>
        <w:rPr>
          <w:rFonts w:ascii="Arial" w:eastAsia="Arial" w:hAnsi="Arial" w:cs="Arial"/>
          <w:szCs w:val="22"/>
        </w:rPr>
      </w:pPr>
      <w:r w:rsidRPr="00906862">
        <w:rPr>
          <w:rFonts w:ascii="Arial" w:eastAsia="Arial" w:hAnsi="Arial" w:cs="Arial"/>
          <w:szCs w:val="22"/>
        </w:rPr>
        <w:t xml:space="preserve">Para los </w:t>
      </w:r>
      <w:proofErr w:type="spellStart"/>
      <w:r w:rsidRPr="00906862">
        <w:rPr>
          <w:rFonts w:ascii="Arial" w:eastAsia="Arial" w:hAnsi="Arial" w:cs="Arial"/>
          <w:szCs w:val="22"/>
        </w:rPr>
        <w:t>ATMPs</w:t>
      </w:r>
      <w:proofErr w:type="spellEnd"/>
      <w:r w:rsidRPr="00906862">
        <w:rPr>
          <w:rFonts w:ascii="Arial" w:eastAsia="Arial" w:hAnsi="Arial" w:cs="Arial"/>
          <w:szCs w:val="22"/>
        </w:rPr>
        <w:t xml:space="preserve"> en los que los datos no clínicos y, cuando estén disponibles, los datos de embarazo en humanos indiquen ausencia o baja probabilidad de riesgo de </w:t>
      </w:r>
      <w:proofErr w:type="spellStart"/>
      <w:r w:rsidRPr="00906862">
        <w:rPr>
          <w:rFonts w:ascii="Arial" w:eastAsia="Arial" w:hAnsi="Arial" w:cs="Arial"/>
          <w:szCs w:val="22"/>
        </w:rPr>
        <w:t>teratogenicidad</w:t>
      </w:r>
      <w:proofErr w:type="spellEnd"/>
      <w:r w:rsidRPr="00906862">
        <w:rPr>
          <w:rFonts w:ascii="Arial" w:eastAsia="Arial" w:hAnsi="Arial" w:cs="Arial"/>
          <w:szCs w:val="22"/>
        </w:rPr>
        <w:t>, y no se haya detectado eliminación (</w:t>
      </w:r>
      <w:proofErr w:type="spellStart"/>
      <w:r w:rsidRPr="00906862">
        <w:rPr>
          <w:rFonts w:ascii="Arial" w:eastAsia="Arial" w:hAnsi="Arial" w:cs="Arial"/>
          <w:szCs w:val="22"/>
        </w:rPr>
        <w:t>shedding</w:t>
      </w:r>
      <w:proofErr w:type="spellEnd"/>
      <w:r w:rsidRPr="00906862">
        <w:rPr>
          <w:rFonts w:ascii="Arial" w:eastAsia="Arial" w:hAnsi="Arial" w:cs="Arial"/>
          <w:szCs w:val="22"/>
        </w:rPr>
        <w:t>) del principio activo o de los vectores virales a través del semen, no se requieren medidas anticonceptivas para los sujetos masculinos.</w:t>
      </w:r>
    </w:p>
    <w:p w:rsidR="00F3152E" w:rsidRPr="00F3152E" w:rsidRDefault="00F3152E" w:rsidP="00F3152E">
      <w:pPr>
        <w:pStyle w:val="NormalWeb"/>
        <w:spacing w:after="120"/>
        <w:jc w:val="both"/>
        <w:rPr>
          <w:rFonts w:ascii="Arial" w:eastAsia="Arial" w:hAnsi="Arial" w:cs="Arial"/>
          <w:szCs w:val="22"/>
        </w:rPr>
      </w:pPr>
      <w:r w:rsidRPr="00F3152E">
        <w:rPr>
          <w:rFonts w:ascii="Arial" w:eastAsia="Arial" w:hAnsi="Arial" w:cs="Arial"/>
          <w:szCs w:val="22"/>
        </w:rPr>
        <w:lastRenderedPageBreak/>
        <w:t xml:space="preserve">Para los </w:t>
      </w:r>
      <w:proofErr w:type="spellStart"/>
      <w:r w:rsidRPr="00F3152E">
        <w:rPr>
          <w:rFonts w:ascii="Arial" w:eastAsia="Arial" w:hAnsi="Arial" w:cs="Arial"/>
          <w:szCs w:val="22"/>
        </w:rPr>
        <w:t>ATMPs</w:t>
      </w:r>
      <w:proofErr w:type="spellEnd"/>
      <w:r w:rsidRPr="00F3152E">
        <w:rPr>
          <w:rFonts w:ascii="Arial" w:eastAsia="Arial" w:hAnsi="Arial" w:cs="Arial"/>
          <w:szCs w:val="22"/>
        </w:rPr>
        <w:t xml:space="preserve"> con riesgo teratogénico desconocido o probablemente demostrado, el sujeto masculino debe utilizar anticoncepción de barrera durante el tratamiento y hasta el final del período de exposición relevante.</w:t>
      </w:r>
    </w:p>
    <w:p w:rsidR="0082479A" w:rsidRDefault="00F3152E" w:rsidP="00F3152E">
      <w:pPr>
        <w:pStyle w:val="NormalWeb"/>
        <w:spacing w:before="0" w:beforeAutospacing="0" w:after="120" w:afterAutospacing="0"/>
        <w:jc w:val="both"/>
        <w:rPr>
          <w:rFonts w:ascii="Arial" w:eastAsia="Arial" w:hAnsi="Arial" w:cs="Arial"/>
          <w:szCs w:val="22"/>
        </w:rPr>
      </w:pPr>
      <w:r w:rsidRPr="00F3152E">
        <w:rPr>
          <w:rFonts w:ascii="Arial" w:eastAsia="Arial" w:hAnsi="Arial" w:cs="Arial"/>
          <w:szCs w:val="22"/>
        </w:rPr>
        <w:t>En el caso de sujetos masculinos tratados con una terapia génica viral in vivo, debe utilizarse protección de barrera masculina durante el tiempo en que el virus se elimine en el semen y durante un período de tres meses o 90 días después de que ya no se detecte eliminación viral.</w:t>
      </w:r>
    </w:p>
    <w:p w:rsidR="00F270EA" w:rsidRPr="005D1656" w:rsidRDefault="00266D64" w:rsidP="00F270EA">
      <w:pPr>
        <w:pStyle w:val="NormalWeb"/>
        <w:spacing w:after="120"/>
        <w:jc w:val="both"/>
        <w:rPr>
          <w:rFonts w:ascii="Arial" w:eastAsia="Arial" w:hAnsi="Arial" w:cs="Arial"/>
          <w:b/>
          <w:i/>
          <w:szCs w:val="22"/>
        </w:rPr>
      </w:pPr>
      <w:r>
        <w:rPr>
          <w:rFonts w:ascii="Arial" w:eastAsia="Arial" w:hAnsi="Arial" w:cs="Arial"/>
          <w:b/>
          <w:i/>
          <w:szCs w:val="22"/>
        </w:rPr>
        <w:t>8</w:t>
      </w:r>
      <w:r w:rsidR="00F270EA" w:rsidRPr="005D1656">
        <w:rPr>
          <w:rFonts w:ascii="Arial" w:eastAsia="Arial" w:hAnsi="Arial" w:cs="Arial"/>
          <w:b/>
          <w:i/>
          <w:szCs w:val="22"/>
        </w:rPr>
        <w:t>.2 Ensayos clínicos exploratorios</w:t>
      </w:r>
    </w:p>
    <w:p w:rsidR="00F270EA" w:rsidRPr="005D1656" w:rsidRDefault="00266D64" w:rsidP="00F270EA">
      <w:pPr>
        <w:pStyle w:val="NormalWeb"/>
        <w:spacing w:after="120"/>
        <w:jc w:val="both"/>
        <w:rPr>
          <w:rFonts w:ascii="Arial" w:eastAsia="Arial" w:hAnsi="Arial" w:cs="Arial"/>
          <w:b/>
          <w:i/>
          <w:szCs w:val="22"/>
        </w:rPr>
      </w:pPr>
      <w:r>
        <w:rPr>
          <w:rFonts w:ascii="Arial" w:eastAsia="Arial" w:hAnsi="Arial" w:cs="Arial"/>
          <w:b/>
          <w:i/>
          <w:szCs w:val="22"/>
        </w:rPr>
        <w:t>8</w:t>
      </w:r>
      <w:r w:rsidR="00F270EA" w:rsidRPr="005D1656">
        <w:rPr>
          <w:rFonts w:ascii="Arial" w:eastAsia="Arial" w:hAnsi="Arial" w:cs="Arial"/>
          <w:b/>
          <w:i/>
          <w:szCs w:val="22"/>
        </w:rPr>
        <w:t>.2.1 Consideraciones generales</w:t>
      </w:r>
    </w:p>
    <w:p w:rsidR="00F270EA" w:rsidRPr="00F270EA" w:rsidRDefault="00F270EA" w:rsidP="00F270EA">
      <w:pPr>
        <w:pStyle w:val="NormalWeb"/>
        <w:spacing w:after="120"/>
        <w:jc w:val="both"/>
        <w:rPr>
          <w:rFonts w:ascii="Arial" w:eastAsia="Arial" w:hAnsi="Arial" w:cs="Arial"/>
          <w:szCs w:val="22"/>
        </w:rPr>
      </w:pPr>
      <w:r w:rsidRPr="00F270EA">
        <w:rPr>
          <w:rFonts w:ascii="Arial" w:eastAsia="Arial" w:hAnsi="Arial" w:cs="Arial"/>
          <w:szCs w:val="22"/>
        </w:rPr>
        <w:t xml:space="preserve">En los ensayos exploratorios de fase temprana, especialmente en los </w:t>
      </w:r>
      <w:r w:rsidR="005F3612" w:rsidRPr="005F3612">
        <w:rPr>
          <w:rFonts w:ascii="Arial" w:eastAsia="Arial" w:hAnsi="Arial" w:cs="Arial"/>
          <w:szCs w:val="22"/>
        </w:rPr>
        <w:t>ensayos clínicos de primera administración en humanos</w:t>
      </w:r>
      <w:r w:rsidRPr="00F270EA">
        <w:rPr>
          <w:rFonts w:ascii="Arial" w:eastAsia="Arial" w:hAnsi="Arial" w:cs="Arial"/>
          <w:szCs w:val="22"/>
        </w:rPr>
        <w:t>, los objetivos principales suelen ser la seguridad y la tolerabilidad.</w:t>
      </w:r>
    </w:p>
    <w:p w:rsidR="001A4922" w:rsidRDefault="00F270EA" w:rsidP="00F270EA">
      <w:pPr>
        <w:pStyle w:val="NormalWeb"/>
        <w:spacing w:after="120"/>
        <w:jc w:val="both"/>
        <w:rPr>
          <w:rFonts w:ascii="Arial" w:eastAsia="Arial" w:hAnsi="Arial" w:cs="Arial"/>
          <w:szCs w:val="22"/>
        </w:rPr>
      </w:pPr>
      <w:r w:rsidRPr="00F270EA">
        <w:rPr>
          <w:rFonts w:ascii="Arial" w:eastAsia="Arial" w:hAnsi="Arial" w:cs="Arial"/>
          <w:szCs w:val="22"/>
        </w:rPr>
        <w:t xml:space="preserve">El diseño de los ensayos exploratorios con </w:t>
      </w:r>
      <w:proofErr w:type="spellStart"/>
      <w:r w:rsidRPr="00F270EA">
        <w:rPr>
          <w:rFonts w:ascii="Arial" w:eastAsia="Arial" w:hAnsi="Arial" w:cs="Arial"/>
          <w:szCs w:val="22"/>
        </w:rPr>
        <w:t>ATMPs</w:t>
      </w:r>
      <w:proofErr w:type="spellEnd"/>
      <w:r w:rsidRPr="00F270EA">
        <w:rPr>
          <w:rFonts w:ascii="Arial" w:eastAsia="Arial" w:hAnsi="Arial" w:cs="Arial"/>
          <w:szCs w:val="22"/>
        </w:rPr>
        <w:t xml:space="preserve"> en investigación puede verse afectado por consideraciones de seguridad clínica que difieren de otros medicamentos </w:t>
      </w:r>
      <w:r w:rsidR="0086044E">
        <w:rPr>
          <w:rFonts w:ascii="Arial" w:eastAsia="Arial" w:hAnsi="Arial" w:cs="Arial"/>
          <w:szCs w:val="22"/>
        </w:rPr>
        <w:t>(</w:t>
      </w:r>
      <w:r w:rsidRPr="00F270EA">
        <w:rPr>
          <w:rFonts w:ascii="Arial" w:eastAsia="Arial" w:hAnsi="Arial" w:cs="Arial"/>
          <w:szCs w:val="22"/>
        </w:rPr>
        <w:t>lo que podría incluir efectos adversos prolongados o permanentes, por ejemplo:</w:t>
      </w:r>
      <w:r w:rsidR="005D1656">
        <w:rPr>
          <w:rFonts w:ascii="Arial" w:eastAsia="Arial" w:hAnsi="Arial" w:cs="Arial"/>
          <w:szCs w:val="22"/>
        </w:rPr>
        <w:t xml:space="preserve"> </w:t>
      </w:r>
      <w:r w:rsidRPr="00F270EA">
        <w:rPr>
          <w:rFonts w:ascii="Arial" w:eastAsia="Arial" w:hAnsi="Arial" w:cs="Arial"/>
          <w:szCs w:val="22"/>
        </w:rPr>
        <w:t>Problemas de seguridad a largo plazo o diferidos, como infecciones</w:t>
      </w:r>
      <w:r w:rsidR="005D1656">
        <w:rPr>
          <w:rFonts w:ascii="Arial" w:eastAsia="Arial" w:hAnsi="Arial" w:cs="Arial"/>
          <w:szCs w:val="22"/>
        </w:rPr>
        <w:t xml:space="preserve">, </w:t>
      </w:r>
      <w:r>
        <w:rPr>
          <w:rFonts w:ascii="Arial" w:eastAsia="Arial" w:hAnsi="Arial" w:cs="Arial"/>
          <w:szCs w:val="22"/>
        </w:rPr>
        <w:t>i</w:t>
      </w:r>
      <w:r w:rsidRPr="00F270EA">
        <w:rPr>
          <w:rFonts w:ascii="Arial" w:eastAsia="Arial" w:hAnsi="Arial" w:cs="Arial"/>
          <w:szCs w:val="22"/>
        </w:rPr>
        <w:t>nmunogenicidad o inmunosupresión</w:t>
      </w:r>
      <w:r>
        <w:rPr>
          <w:rFonts w:ascii="Arial" w:eastAsia="Arial" w:hAnsi="Arial" w:cs="Arial"/>
          <w:szCs w:val="22"/>
        </w:rPr>
        <w:t>, r</w:t>
      </w:r>
      <w:r w:rsidRPr="00F270EA">
        <w:rPr>
          <w:rFonts w:ascii="Arial" w:eastAsia="Arial" w:hAnsi="Arial" w:cs="Arial"/>
          <w:szCs w:val="22"/>
        </w:rPr>
        <w:t xml:space="preserve">iesgo potencial de integración en el genoma en algunos </w:t>
      </w:r>
      <w:proofErr w:type="spellStart"/>
      <w:r w:rsidRPr="00F270EA">
        <w:rPr>
          <w:rFonts w:ascii="Arial" w:eastAsia="Arial" w:hAnsi="Arial" w:cs="Arial"/>
          <w:szCs w:val="22"/>
        </w:rPr>
        <w:t>ATMPs</w:t>
      </w:r>
      <w:proofErr w:type="spellEnd"/>
      <w:r w:rsidRPr="00F270EA">
        <w:rPr>
          <w:rFonts w:ascii="Arial" w:eastAsia="Arial" w:hAnsi="Arial" w:cs="Arial"/>
          <w:szCs w:val="22"/>
        </w:rPr>
        <w:t xml:space="preserve"> de terapia génica</w:t>
      </w:r>
      <w:r>
        <w:rPr>
          <w:rFonts w:ascii="Arial" w:eastAsia="Arial" w:hAnsi="Arial" w:cs="Arial"/>
          <w:szCs w:val="22"/>
        </w:rPr>
        <w:t>, f</w:t>
      </w:r>
      <w:r w:rsidRPr="00F270EA">
        <w:rPr>
          <w:rFonts w:ascii="Arial" w:eastAsia="Arial" w:hAnsi="Arial" w:cs="Arial"/>
          <w:szCs w:val="22"/>
        </w:rPr>
        <w:t>ormación ectópica de tejidos</w:t>
      </w:r>
      <w:r>
        <w:rPr>
          <w:rFonts w:ascii="Arial" w:eastAsia="Arial" w:hAnsi="Arial" w:cs="Arial"/>
          <w:szCs w:val="22"/>
        </w:rPr>
        <w:t>, t</w:t>
      </w:r>
      <w:r w:rsidRPr="00F270EA">
        <w:rPr>
          <w:rFonts w:ascii="Arial" w:eastAsia="Arial" w:hAnsi="Arial" w:cs="Arial"/>
          <w:szCs w:val="22"/>
        </w:rPr>
        <w:t>ransformación maligna</w:t>
      </w:r>
      <w:r w:rsidR="0086044E">
        <w:rPr>
          <w:rFonts w:ascii="Arial" w:eastAsia="Arial" w:hAnsi="Arial" w:cs="Arial"/>
          <w:szCs w:val="22"/>
        </w:rPr>
        <w:t>)</w:t>
      </w:r>
      <w:r w:rsidRPr="00F270EA">
        <w:rPr>
          <w:rFonts w:ascii="Arial" w:eastAsia="Arial" w:hAnsi="Arial" w:cs="Arial"/>
          <w:szCs w:val="22"/>
        </w:rPr>
        <w:t>.</w:t>
      </w:r>
    </w:p>
    <w:p w:rsidR="0086044E" w:rsidRPr="0086044E" w:rsidRDefault="0086044E" w:rsidP="0086044E">
      <w:pPr>
        <w:pStyle w:val="NormalWeb"/>
        <w:spacing w:after="120"/>
        <w:jc w:val="both"/>
        <w:rPr>
          <w:rFonts w:ascii="Arial" w:eastAsia="Arial" w:hAnsi="Arial" w:cs="Arial"/>
          <w:szCs w:val="22"/>
        </w:rPr>
      </w:pPr>
      <w:r w:rsidRPr="0086044E">
        <w:rPr>
          <w:rFonts w:ascii="Arial" w:eastAsia="Arial" w:hAnsi="Arial" w:cs="Arial"/>
          <w:szCs w:val="22"/>
        </w:rPr>
        <w:t>Otros objetivos de los ensayos exploratorios (lista no exhaustiva):</w:t>
      </w:r>
    </w:p>
    <w:p w:rsidR="0086044E" w:rsidRPr="0086044E" w:rsidRDefault="0086044E" w:rsidP="0086044E">
      <w:pPr>
        <w:pStyle w:val="NormalWeb"/>
        <w:numPr>
          <w:ilvl w:val="0"/>
          <w:numId w:val="7"/>
        </w:numPr>
        <w:spacing w:after="120"/>
        <w:jc w:val="both"/>
        <w:rPr>
          <w:rFonts w:ascii="Arial" w:eastAsia="Arial" w:hAnsi="Arial" w:cs="Arial"/>
          <w:szCs w:val="22"/>
        </w:rPr>
      </w:pPr>
      <w:r w:rsidRPr="0086044E">
        <w:rPr>
          <w:rFonts w:ascii="Arial" w:eastAsia="Arial" w:hAnsi="Arial" w:cs="Arial"/>
          <w:szCs w:val="22"/>
        </w:rPr>
        <w:t xml:space="preserve">Farmacocinética y </w:t>
      </w:r>
      <w:proofErr w:type="spellStart"/>
      <w:r w:rsidRPr="0086044E">
        <w:rPr>
          <w:rFonts w:ascii="Arial" w:eastAsia="Arial" w:hAnsi="Arial" w:cs="Arial"/>
          <w:szCs w:val="22"/>
        </w:rPr>
        <w:t>biodistribución</w:t>
      </w:r>
      <w:proofErr w:type="spellEnd"/>
      <w:r w:rsidRPr="0086044E">
        <w:rPr>
          <w:rFonts w:ascii="Arial" w:eastAsia="Arial" w:hAnsi="Arial" w:cs="Arial"/>
          <w:szCs w:val="22"/>
        </w:rPr>
        <w:t>, cuando corresponda.</w:t>
      </w:r>
    </w:p>
    <w:p w:rsidR="0086044E" w:rsidRPr="0086044E" w:rsidRDefault="0086044E" w:rsidP="0086044E">
      <w:pPr>
        <w:pStyle w:val="NormalWeb"/>
        <w:numPr>
          <w:ilvl w:val="0"/>
          <w:numId w:val="7"/>
        </w:numPr>
        <w:spacing w:after="120"/>
        <w:jc w:val="both"/>
        <w:rPr>
          <w:rFonts w:ascii="Arial" w:eastAsia="Arial" w:hAnsi="Arial" w:cs="Arial"/>
          <w:szCs w:val="22"/>
        </w:rPr>
      </w:pPr>
      <w:r w:rsidRPr="0086044E">
        <w:rPr>
          <w:rFonts w:ascii="Arial" w:eastAsia="Arial" w:hAnsi="Arial" w:cs="Arial"/>
          <w:szCs w:val="22"/>
        </w:rPr>
        <w:t>Evaluación de la farmacodinámica, medición temprana de la actividad, por ejemplo: expresión génica, injerto celular.</w:t>
      </w:r>
    </w:p>
    <w:p w:rsidR="0086044E" w:rsidRPr="0086044E" w:rsidRDefault="0086044E" w:rsidP="0086044E">
      <w:pPr>
        <w:pStyle w:val="NormalWeb"/>
        <w:numPr>
          <w:ilvl w:val="0"/>
          <w:numId w:val="7"/>
        </w:numPr>
        <w:spacing w:after="120"/>
        <w:jc w:val="both"/>
        <w:rPr>
          <w:rFonts w:ascii="Arial" w:eastAsia="Arial" w:hAnsi="Arial" w:cs="Arial"/>
          <w:szCs w:val="22"/>
        </w:rPr>
      </w:pPr>
      <w:r w:rsidRPr="0086044E">
        <w:rPr>
          <w:rFonts w:ascii="Arial" w:eastAsia="Arial" w:hAnsi="Arial" w:cs="Arial"/>
          <w:szCs w:val="22"/>
        </w:rPr>
        <w:t>Selección de la dosis y determinación de la dosis recomendada para estudios confirmatorios.</w:t>
      </w:r>
    </w:p>
    <w:p w:rsidR="0086044E" w:rsidRDefault="0086044E" w:rsidP="0086044E">
      <w:pPr>
        <w:pStyle w:val="NormalWeb"/>
        <w:spacing w:after="120"/>
        <w:jc w:val="both"/>
        <w:rPr>
          <w:rFonts w:ascii="Arial" w:eastAsia="Arial" w:hAnsi="Arial" w:cs="Arial"/>
          <w:szCs w:val="22"/>
        </w:rPr>
      </w:pPr>
      <w:r w:rsidRPr="0086044E">
        <w:rPr>
          <w:rFonts w:ascii="Arial" w:eastAsia="Arial" w:hAnsi="Arial" w:cs="Arial"/>
          <w:szCs w:val="22"/>
        </w:rPr>
        <w:t>Este tipo de estudio también puede permitir:</w:t>
      </w:r>
      <w:r>
        <w:rPr>
          <w:rFonts w:ascii="Arial" w:eastAsia="Arial" w:hAnsi="Arial" w:cs="Arial"/>
          <w:szCs w:val="22"/>
        </w:rPr>
        <w:t xml:space="preserve"> </w:t>
      </w:r>
      <w:r w:rsidRPr="0086044E">
        <w:rPr>
          <w:rFonts w:ascii="Arial" w:eastAsia="Arial" w:hAnsi="Arial" w:cs="Arial"/>
          <w:szCs w:val="22"/>
        </w:rPr>
        <w:t>Identificar la necesidad de un procedimiento de administración optimizado o una ruta de administración adecuada</w:t>
      </w:r>
      <w:r>
        <w:rPr>
          <w:rFonts w:ascii="Arial" w:eastAsia="Arial" w:hAnsi="Arial" w:cs="Arial"/>
          <w:szCs w:val="22"/>
        </w:rPr>
        <w:t>, o</w:t>
      </w:r>
      <w:r w:rsidRPr="0086044E">
        <w:rPr>
          <w:rFonts w:ascii="Arial" w:eastAsia="Arial" w:hAnsi="Arial" w:cs="Arial"/>
          <w:szCs w:val="22"/>
        </w:rPr>
        <w:t>ptimizar el desarrollo del producto y evaluar la viabilidad de la fabricación</w:t>
      </w:r>
      <w:r>
        <w:rPr>
          <w:rFonts w:ascii="Arial" w:eastAsia="Arial" w:hAnsi="Arial" w:cs="Arial"/>
          <w:szCs w:val="22"/>
        </w:rPr>
        <w:t xml:space="preserve"> y e</w:t>
      </w:r>
      <w:r w:rsidRPr="0086044E">
        <w:rPr>
          <w:rFonts w:ascii="Arial" w:eastAsia="Arial" w:hAnsi="Arial" w:cs="Arial"/>
          <w:szCs w:val="22"/>
        </w:rPr>
        <w:t>valuar la factibilidad del reclutamiento, el enfoque terapéutico y el uso del ATMP.</w:t>
      </w:r>
    </w:p>
    <w:p w:rsidR="00C13B81" w:rsidRDefault="00C13B81" w:rsidP="0086044E">
      <w:pPr>
        <w:pStyle w:val="NormalWeb"/>
        <w:spacing w:after="120"/>
        <w:jc w:val="both"/>
        <w:rPr>
          <w:rFonts w:ascii="Arial" w:eastAsia="Arial" w:hAnsi="Arial" w:cs="Arial"/>
          <w:szCs w:val="22"/>
        </w:rPr>
      </w:pPr>
      <w:r w:rsidRPr="00C13B81">
        <w:rPr>
          <w:rFonts w:ascii="Arial" w:eastAsia="Arial" w:hAnsi="Arial" w:cs="Arial"/>
          <w:szCs w:val="22"/>
        </w:rPr>
        <w:lastRenderedPageBreak/>
        <w:t xml:space="preserve">El diseño de los </w:t>
      </w:r>
      <w:r w:rsidR="00D13516" w:rsidRPr="00D13516">
        <w:rPr>
          <w:rFonts w:ascii="Arial" w:eastAsia="Arial" w:hAnsi="Arial" w:cs="Arial"/>
          <w:szCs w:val="22"/>
        </w:rPr>
        <w:t>ensayos clínicos de primera administración en humanos</w:t>
      </w:r>
      <w:r w:rsidRPr="00C13B81">
        <w:rPr>
          <w:rFonts w:ascii="Arial" w:eastAsia="Arial" w:hAnsi="Arial" w:cs="Arial"/>
          <w:szCs w:val="22"/>
        </w:rPr>
        <w:t xml:space="preserve"> con </w:t>
      </w:r>
      <w:proofErr w:type="spellStart"/>
      <w:r w:rsidRPr="00C13B81">
        <w:rPr>
          <w:rFonts w:ascii="Arial" w:eastAsia="Arial" w:hAnsi="Arial" w:cs="Arial"/>
          <w:szCs w:val="22"/>
        </w:rPr>
        <w:t>ATMPs</w:t>
      </w:r>
      <w:proofErr w:type="spellEnd"/>
      <w:r w:rsidRPr="00C13B81">
        <w:rPr>
          <w:rFonts w:ascii="Arial" w:eastAsia="Arial" w:hAnsi="Arial" w:cs="Arial"/>
          <w:szCs w:val="22"/>
        </w:rPr>
        <w:t xml:space="preserve"> en investigación merece consideraciones específicas. Por ejemplo, la posibilidad de extrapolar datos no clínicos de farmacodinámica, farmacocinética/distribución y toxicidad a la situación humana puede ser limitada, dependiendo de la relevancia del modelo no clínico. Esto puede dificultar, entre otros aspectos, la predicción de una dosis inicial segura para los </w:t>
      </w:r>
      <w:r w:rsidR="00D13516" w:rsidRPr="00D13516">
        <w:rPr>
          <w:rFonts w:ascii="Arial" w:eastAsia="Arial" w:hAnsi="Arial" w:cs="Arial"/>
          <w:szCs w:val="22"/>
        </w:rPr>
        <w:t xml:space="preserve">ensayos clínicos de primera administración en humanos </w:t>
      </w:r>
      <w:r w:rsidRPr="00C13B81">
        <w:rPr>
          <w:rFonts w:ascii="Arial" w:eastAsia="Arial" w:hAnsi="Arial" w:cs="Arial"/>
          <w:szCs w:val="22"/>
        </w:rPr>
        <w:t xml:space="preserve">y la predicción de órganos diana de toxicidad. Todos los datos disponibles y las incertidumbres sobre la traslación de los datos no clínicos al entorno clínico deben tenerse en cuenta al establecer la dosis inicial para los </w:t>
      </w:r>
      <w:r w:rsidR="00D13516" w:rsidRPr="00D13516">
        <w:rPr>
          <w:rFonts w:ascii="Arial" w:eastAsia="Arial" w:hAnsi="Arial" w:cs="Arial"/>
          <w:szCs w:val="22"/>
        </w:rPr>
        <w:t>ensayos clínicos de primera administración en humanos</w:t>
      </w:r>
      <w:r w:rsidRPr="00C13B81">
        <w:rPr>
          <w:rFonts w:ascii="Arial" w:eastAsia="Arial" w:hAnsi="Arial" w:cs="Arial"/>
          <w:szCs w:val="22"/>
        </w:rPr>
        <w:t xml:space="preserve">. Como uno de los principios rectores, la elección del período de espera entre administraciones escalonadas debe tener en cuenta el curso temporal y la naturaleza de las toxicidades agudas y subagudas en animales y la experiencia previa en humanos, si la hubiera, con </w:t>
      </w:r>
      <w:proofErr w:type="spellStart"/>
      <w:r w:rsidRPr="00C13B81">
        <w:rPr>
          <w:rFonts w:ascii="Arial" w:eastAsia="Arial" w:hAnsi="Arial" w:cs="Arial"/>
          <w:szCs w:val="22"/>
        </w:rPr>
        <w:t>ATMPs</w:t>
      </w:r>
      <w:proofErr w:type="spellEnd"/>
      <w:r w:rsidRPr="00C13B81">
        <w:rPr>
          <w:rFonts w:ascii="Arial" w:eastAsia="Arial" w:hAnsi="Arial" w:cs="Arial"/>
          <w:szCs w:val="22"/>
        </w:rPr>
        <w:t xml:space="preserve"> relacionados/similares en investigación. Por ejemplo, el marco temporal de la respuesta inmune adaptativa anticipada debe tenerse en cuenta al elegir el período de espera. </w:t>
      </w:r>
    </w:p>
    <w:p w:rsidR="0086044E" w:rsidRDefault="00C13B81" w:rsidP="0086044E">
      <w:pPr>
        <w:pStyle w:val="NormalWeb"/>
        <w:spacing w:after="120"/>
        <w:jc w:val="both"/>
        <w:rPr>
          <w:rFonts w:ascii="Arial" w:eastAsia="Arial" w:hAnsi="Arial" w:cs="Arial"/>
          <w:szCs w:val="22"/>
        </w:rPr>
      </w:pPr>
      <w:r w:rsidRPr="00C13B81">
        <w:rPr>
          <w:rFonts w:ascii="Arial" w:eastAsia="Arial" w:hAnsi="Arial" w:cs="Arial"/>
          <w:szCs w:val="22"/>
        </w:rPr>
        <w:t>En caso de que se incluya un grupo control en un estudio exploratorio, debe considerarse la orientación de la sección 6.3.1 de esta guía.</w:t>
      </w:r>
    </w:p>
    <w:p w:rsidR="00C13B81" w:rsidRPr="00C13B81" w:rsidRDefault="00266D64" w:rsidP="00C13B81">
      <w:pPr>
        <w:pStyle w:val="NormalWeb"/>
        <w:spacing w:after="120"/>
        <w:jc w:val="both"/>
        <w:rPr>
          <w:rFonts w:ascii="Arial" w:eastAsia="Arial" w:hAnsi="Arial" w:cs="Arial"/>
          <w:b/>
          <w:i/>
          <w:szCs w:val="22"/>
        </w:rPr>
      </w:pPr>
      <w:r>
        <w:rPr>
          <w:rFonts w:ascii="Arial" w:eastAsia="Arial" w:hAnsi="Arial" w:cs="Arial"/>
          <w:b/>
          <w:i/>
          <w:szCs w:val="22"/>
        </w:rPr>
        <w:t>8</w:t>
      </w:r>
      <w:r w:rsidR="00C13B81" w:rsidRPr="00C13B81">
        <w:rPr>
          <w:rFonts w:ascii="Arial" w:eastAsia="Arial" w:hAnsi="Arial" w:cs="Arial"/>
          <w:b/>
          <w:i/>
          <w:szCs w:val="22"/>
        </w:rPr>
        <w:t>.2.2. Objetivos de seguridad y tolerabilidad</w:t>
      </w:r>
    </w:p>
    <w:p w:rsidR="00C13B81" w:rsidRPr="00C13B81" w:rsidRDefault="00C13B81" w:rsidP="00C13B81">
      <w:pPr>
        <w:pStyle w:val="NormalWeb"/>
        <w:spacing w:after="120"/>
        <w:jc w:val="both"/>
        <w:rPr>
          <w:rFonts w:ascii="Arial" w:eastAsia="Arial" w:hAnsi="Arial" w:cs="Arial"/>
          <w:szCs w:val="22"/>
        </w:rPr>
      </w:pPr>
      <w:r w:rsidRPr="00C13B81">
        <w:rPr>
          <w:rFonts w:ascii="Arial" w:eastAsia="Arial" w:hAnsi="Arial" w:cs="Arial"/>
          <w:szCs w:val="22"/>
        </w:rPr>
        <w:t>Al igual que con otros medicamentos, la evaluación de la seguridad debe ser el foco de los estudios exploratorios y debe incluirse como un objetivo principal. La dosis del ATMP en investigación que se administrará se deriva de estudios no clínicos con el producto, que sugieren un uso seguro en humanos, y/o se consideran datos de productos relacionados, cuando se justifica su relevancia. Se espera que el uso de datos de la literatura sea menos relevante en los casos en que el producto haya sido ampliamente manipulado, o cuando un producto contenga un componente no celular que pueda plantear preocupaciones adicionales de seguridad. En este caso, la seguridad de ambos componentes debe abordarse antes de iniciar el desarrollo clínico.</w:t>
      </w:r>
    </w:p>
    <w:p w:rsidR="00C13B81" w:rsidRPr="00C13B81" w:rsidRDefault="00C13B81" w:rsidP="00C13B81">
      <w:pPr>
        <w:pStyle w:val="NormalWeb"/>
        <w:spacing w:after="120"/>
        <w:jc w:val="both"/>
        <w:rPr>
          <w:rFonts w:ascii="Arial" w:eastAsia="Arial" w:hAnsi="Arial" w:cs="Arial"/>
          <w:szCs w:val="22"/>
        </w:rPr>
      </w:pPr>
      <w:r w:rsidRPr="00C13B81">
        <w:rPr>
          <w:rFonts w:ascii="Arial" w:eastAsia="Arial" w:hAnsi="Arial" w:cs="Arial"/>
          <w:szCs w:val="22"/>
        </w:rPr>
        <w:t xml:space="preserve">Los factores a considerar en la evaluación de riesgos de los </w:t>
      </w:r>
      <w:proofErr w:type="spellStart"/>
      <w:r w:rsidRPr="00C13B81">
        <w:rPr>
          <w:rFonts w:ascii="Arial" w:eastAsia="Arial" w:hAnsi="Arial" w:cs="Arial"/>
          <w:szCs w:val="22"/>
        </w:rPr>
        <w:t>ATMPs</w:t>
      </w:r>
      <w:proofErr w:type="spellEnd"/>
      <w:r w:rsidRPr="00C13B81">
        <w:rPr>
          <w:rFonts w:ascii="Arial" w:eastAsia="Arial" w:hAnsi="Arial" w:cs="Arial"/>
          <w:szCs w:val="22"/>
        </w:rPr>
        <w:t xml:space="preserve"> en investigación están relacionados especialmente con el modo de acción, la naturaleza del objetivo, el método y la vía de administración, la población del estudio, la complejidad de la enfermedad, la experiencia previa en humanos con el producto o con la misma clase de productos, si la hubiera, y/o la relevancia de los modelos animales.</w:t>
      </w:r>
    </w:p>
    <w:p w:rsidR="00C13B81" w:rsidRDefault="00C13B81" w:rsidP="00C13B81">
      <w:pPr>
        <w:pStyle w:val="NormalWeb"/>
        <w:spacing w:after="120"/>
        <w:jc w:val="both"/>
        <w:rPr>
          <w:rFonts w:ascii="Arial" w:eastAsia="Arial" w:hAnsi="Arial" w:cs="Arial"/>
          <w:szCs w:val="22"/>
        </w:rPr>
      </w:pPr>
      <w:r w:rsidRPr="00C13B81">
        <w:rPr>
          <w:rFonts w:ascii="Arial" w:eastAsia="Arial" w:hAnsi="Arial" w:cs="Arial"/>
          <w:szCs w:val="22"/>
        </w:rPr>
        <w:lastRenderedPageBreak/>
        <w:t xml:space="preserve">Se puede esperar un mayor riesgo en los </w:t>
      </w:r>
      <w:proofErr w:type="spellStart"/>
      <w:r w:rsidRPr="00C13B81">
        <w:rPr>
          <w:rFonts w:ascii="Arial" w:eastAsia="Arial" w:hAnsi="Arial" w:cs="Arial"/>
          <w:szCs w:val="22"/>
        </w:rPr>
        <w:t>ATMPs</w:t>
      </w:r>
      <w:proofErr w:type="spellEnd"/>
      <w:r w:rsidRPr="00C13B81">
        <w:rPr>
          <w:rFonts w:ascii="Arial" w:eastAsia="Arial" w:hAnsi="Arial" w:cs="Arial"/>
          <w:szCs w:val="22"/>
        </w:rPr>
        <w:t xml:space="preserve"> en investigación con un modo de acción que afecte a múltiples sistemas u órganos, en los casos en que la amplificación de un efecto no pueda ser suficientemente controlada por un mecanismo fisiológico de retroalimentación (p. ej., sistema inmunitario; sistema de coagulación sanguínea) y cuando exista conocimiento insuficiente sobre el modo de acción o sobre la </w:t>
      </w:r>
      <w:proofErr w:type="spellStart"/>
      <w:r w:rsidRPr="00C13B81">
        <w:rPr>
          <w:rFonts w:ascii="Arial" w:eastAsia="Arial" w:hAnsi="Arial" w:cs="Arial"/>
          <w:szCs w:val="22"/>
        </w:rPr>
        <w:t>biodistribución</w:t>
      </w:r>
      <w:proofErr w:type="spellEnd"/>
      <w:r w:rsidRPr="00C13B81">
        <w:rPr>
          <w:rFonts w:ascii="Arial" w:eastAsia="Arial" w:hAnsi="Arial" w:cs="Arial"/>
          <w:szCs w:val="22"/>
        </w:rPr>
        <w:t>, así como en los casos de relevancia cuestionable de especies/modelos animales.</w:t>
      </w:r>
    </w:p>
    <w:p w:rsidR="00C52906" w:rsidRPr="00C52906" w:rsidRDefault="00C52906" w:rsidP="00C52906">
      <w:pPr>
        <w:pStyle w:val="NormalWeb"/>
        <w:spacing w:after="120"/>
        <w:jc w:val="both"/>
        <w:rPr>
          <w:rFonts w:ascii="Arial" w:eastAsia="Arial" w:hAnsi="Arial" w:cs="Arial"/>
          <w:szCs w:val="22"/>
        </w:rPr>
      </w:pPr>
      <w:r w:rsidRPr="00C52906">
        <w:rPr>
          <w:rFonts w:ascii="Arial" w:eastAsia="Arial" w:hAnsi="Arial" w:cs="Arial"/>
          <w:szCs w:val="22"/>
        </w:rPr>
        <w:t xml:space="preserve">El riesgo de toda la intervención terapéutica, por ejemplo, los procedimientos quirúrgicos necesarios para administrar el ATMP en investigación (p. ej., múltiples inyecciones, aplicación intracraneal), el uso de anestesia general o regional o el uso de terapia inmunosupresora, debe considerarse al justificar los estudios clínicos y la elección de la población de pacientes objetivo. Cuando se involucra un procedimiento quirúrgico, como en el caso de la implantación de productos que contienen condrocitos, o la inyección </w:t>
      </w:r>
      <w:proofErr w:type="spellStart"/>
      <w:r w:rsidRPr="00C52906">
        <w:rPr>
          <w:rFonts w:ascii="Arial" w:eastAsia="Arial" w:hAnsi="Arial" w:cs="Arial"/>
          <w:szCs w:val="22"/>
        </w:rPr>
        <w:t>intramiocárdica</w:t>
      </w:r>
      <w:proofErr w:type="spellEnd"/>
      <w:r w:rsidRPr="00C52906">
        <w:rPr>
          <w:rFonts w:ascii="Arial" w:eastAsia="Arial" w:hAnsi="Arial" w:cs="Arial"/>
          <w:szCs w:val="22"/>
        </w:rPr>
        <w:t xml:space="preserve"> en el caso de indicaciones cardíacas, deben abordarse los riesgos potenciales asociados con la variabilidad del procedimiento de implantación quirúrgica entre centros y cirujanos. Se recomienda la estandarización del procedimiento de administración antes de iniciar los estudios clínicos.</w:t>
      </w:r>
    </w:p>
    <w:p w:rsidR="00C52906" w:rsidRPr="00C52906" w:rsidRDefault="00C52906" w:rsidP="00C52906">
      <w:pPr>
        <w:pStyle w:val="NormalWeb"/>
        <w:spacing w:after="120"/>
        <w:jc w:val="both"/>
        <w:rPr>
          <w:rFonts w:ascii="Arial" w:eastAsia="Arial" w:hAnsi="Arial" w:cs="Arial"/>
          <w:szCs w:val="22"/>
        </w:rPr>
      </w:pPr>
      <w:r w:rsidRPr="00C52906">
        <w:rPr>
          <w:rFonts w:ascii="Arial" w:eastAsia="Arial" w:hAnsi="Arial" w:cs="Arial"/>
          <w:szCs w:val="22"/>
        </w:rPr>
        <w:t>Todas las cuestiones derivadas del desarrollo no clínico deben integrarse en el diseño de los ensayos exploratorios, particularmente en ausencia de un modelo animal de la enfermedad tratada o en presencia de diferencias fisiológicas que limiten el valor predictivo de un modelo animal homólogo.</w:t>
      </w:r>
    </w:p>
    <w:p w:rsidR="00C52906" w:rsidRPr="00C52906" w:rsidRDefault="00C52906" w:rsidP="00C52906">
      <w:pPr>
        <w:pStyle w:val="NormalWeb"/>
        <w:spacing w:after="120"/>
        <w:jc w:val="both"/>
        <w:rPr>
          <w:rFonts w:ascii="Arial" w:eastAsia="Arial" w:hAnsi="Arial" w:cs="Arial"/>
          <w:szCs w:val="22"/>
        </w:rPr>
      </w:pPr>
      <w:r w:rsidRPr="00C52906">
        <w:rPr>
          <w:rFonts w:ascii="Arial" w:eastAsia="Arial" w:hAnsi="Arial" w:cs="Arial"/>
          <w:szCs w:val="22"/>
        </w:rPr>
        <w:t>El protocolo debe especificar la recopilación de datos de seguridad, p. ej., respuesta inmune, infecciones, formación de tejido ectópico, posible transformación maligna, tras la administración del ATMP en investigación y el tratamiento concomitante, siempre que sea relevante.</w:t>
      </w:r>
    </w:p>
    <w:p w:rsidR="00C52906" w:rsidRPr="00C52906" w:rsidRDefault="00C52906" w:rsidP="00C52906">
      <w:pPr>
        <w:pStyle w:val="NormalWeb"/>
        <w:spacing w:after="120"/>
        <w:jc w:val="both"/>
        <w:rPr>
          <w:rFonts w:ascii="Arial" w:eastAsia="Arial" w:hAnsi="Arial" w:cs="Arial"/>
          <w:szCs w:val="22"/>
        </w:rPr>
      </w:pPr>
      <w:r w:rsidRPr="00C52906">
        <w:rPr>
          <w:rFonts w:ascii="Arial" w:eastAsia="Arial" w:hAnsi="Arial" w:cs="Arial"/>
          <w:szCs w:val="22"/>
        </w:rPr>
        <w:t xml:space="preserve">En los ensayos que involucren poblaciones pediátricas, pueden surgir cuestiones específicas como la necesidad de datos preliminares de seguridad en adultos, efectos sobre la salud reproductiva o la expresión en la línea germinal. Deben tenerse en cuenta las guías </w:t>
      </w:r>
      <w:r w:rsidR="000366DC">
        <w:rPr>
          <w:rFonts w:ascii="Arial" w:eastAsia="Arial" w:hAnsi="Arial" w:cs="Arial"/>
          <w:szCs w:val="22"/>
        </w:rPr>
        <w:t xml:space="preserve">internacionales </w:t>
      </w:r>
      <w:r w:rsidRPr="00C52906">
        <w:rPr>
          <w:rFonts w:ascii="Arial" w:eastAsia="Arial" w:hAnsi="Arial" w:cs="Arial"/>
          <w:szCs w:val="22"/>
        </w:rPr>
        <w:t>específicas relevantes para la investigación clínica de medicamentos en población pediátrica.</w:t>
      </w:r>
    </w:p>
    <w:p w:rsidR="00C13B81" w:rsidRDefault="00C52906" w:rsidP="00C52906">
      <w:pPr>
        <w:pStyle w:val="NormalWeb"/>
        <w:spacing w:after="120"/>
        <w:jc w:val="both"/>
        <w:rPr>
          <w:rFonts w:ascii="Arial" w:eastAsia="Arial" w:hAnsi="Arial" w:cs="Arial"/>
          <w:szCs w:val="22"/>
        </w:rPr>
      </w:pPr>
      <w:r w:rsidRPr="00C52906">
        <w:rPr>
          <w:rFonts w:ascii="Arial" w:eastAsia="Arial" w:hAnsi="Arial" w:cs="Arial"/>
          <w:szCs w:val="22"/>
        </w:rPr>
        <w:t xml:space="preserve">En caso de un riesgo anticipado que incluya eventos de aparición tardía (p. ej., </w:t>
      </w:r>
      <w:proofErr w:type="spellStart"/>
      <w:r w:rsidRPr="00C52906">
        <w:rPr>
          <w:rFonts w:ascii="Arial" w:eastAsia="Arial" w:hAnsi="Arial" w:cs="Arial"/>
          <w:szCs w:val="22"/>
        </w:rPr>
        <w:t>tumorigenicidad</w:t>
      </w:r>
      <w:proofErr w:type="spellEnd"/>
      <w:r w:rsidRPr="00C52906">
        <w:rPr>
          <w:rFonts w:ascii="Arial" w:eastAsia="Arial" w:hAnsi="Arial" w:cs="Arial"/>
          <w:szCs w:val="22"/>
        </w:rPr>
        <w:t>), deben implementarse medidas para garantizar un seguimiento adecuado y la detección oportuna de la señal, así como para mitigar dicho riesgo.</w:t>
      </w:r>
    </w:p>
    <w:p w:rsidR="00C13B81" w:rsidRDefault="00C52906" w:rsidP="0086044E">
      <w:pPr>
        <w:pStyle w:val="NormalWeb"/>
        <w:spacing w:after="120"/>
        <w:jc w:val="both"/>
        <w:rPr>
          <w:rFonts w:ascii="Arial" w:eastAsia="Arial" w:hAnsi="Arial" w:cs="Arial"/>
          <w:szCs w:val="22"/>
        </w:rPr>
      </w:pPr>
      <w:r w:rsidRPr="00C52906">
        <w:rPr>
          <w:rFonts w:ascii="Arial" w:eastAsia="Arial" w:hAnsi="Arial" w:cs="Arial"/>
          <w:szCs w:val="22"/>
        </w:rPr>
        <w:lastRenderedPageBreak/>
        <w:t>Se debe tener una consideración especial en el diseño del estudio clínico y en la evaluación de riesgos cuando se utilizan dispositivos médicos para la administración o implantación de un ATMP en investigación. Debe proporcionarse información sobre la seguridad y la compatibilidad del sistema de administración. En general, esta información se deriva de estudios de calidad y no clínicos que han sido diseñados para evaluar el rendimiento del sistema de administración.</w:t>
      </w:r>
    </w:p>
    <w:p w:rsidR="00CC2995" w:rsidRPr="00CC2995" w:rsidRDefault="00266D64" w:rsidP="00CC2995">
      <w:pPr>
        <w:pStyle w:val="NormalWeb"/>
        <w:spacing w:after="120"/>
        <w:jc w:val="both"/>
        <w:rPr>
          <w:rFonts w:ascii="Arial" w:eastAsia="Arial" w:hAnsi="Arial" w:cs="Arial"/>
          <w:b/>
          <w:i/>
          <w:szCs w:val="22"/>
        </w:rPr>
      </w:pPr>
      <w:r>
        <w:rPr>
          <w:rFonts w:ascii="Arial" w:eastAsia="Arial" w:hAnsi="Arial" w:cs="Arial"/>
          <w:b/>
          <w:i/>
          <w:szCs w:val="22"/>
        </w:rPr>
        <w:t>8</w:t>
      </w:r>
      <w:r w:rsidR="00CC2995" w:rsidRPr="00CC2995">
        <w:rPr>
          <w:rFonts w:ascii="Arial" w:eastAsia="Arial" w:hAnsi="Arial" w:cs="Arial"/>
          <w:b/>
          <w:i/>
          <w:szCs w:val="22"/>
        </w:rPr>
        <w:t>.2.3. Determinación de dosis</w:t>
      </w:r>
    </w:p>
    <w:p w:rsidR="00CC2995" w:rsidRPr="00CC2995" w:rsidRDefault="00CC2995" w:rsidP="00CC2995">
      <w:pPr>
        <w:pStyle w:val="NormalWeb"/>
        <w:spacing w:after="120"/>
        <w:jc w:val="both"/>
        <w:rPr>
          <w:rFonts w:ascii="Arial" w:eastAsia="Arial" w:hAnsi="Arial" w:cs="Arial"/>
          <w:szCs w:val="22"/>
        </w:rPr>
      </w:pPr>
      <w:r w:rsidRPr="00CC2995">
        <w:rPr>
          <w:rFonts w:ascii="Arial" w:eastAsia="Arial" w:hAnsi="Arial" w:cs="Arial"/>
          <w:szCs w:val="22"/>
        </w:rPr>
        <w:t xml:space="preserve">Se requiere una justificación para la dosis inicial seleccionada, el esquema de escalado de dosis (cuando corresponda) y el calendario de administración en el protocolo del ensayo. El valor predictivo de los estudios no clínicos para una dosis inicial segura en humanos varía considerablemente y está influenciado por diferentes factores, como el tipo de ATMP, el modo y el calendario de administración/implantación, la enfermedad y la disponibilidad de modelos animales relevantes. En el caso de </w:t>
      </w:r>
      <w:proofErr w:type="spellStart"/>
      <w:r w:rsidRPr="00CC2995">
        <w:rPr>
          <w:rFonts w:ascii="Arial" w:eastAsia="Arial" w:hAnsi="Arial" w:cs="Arial"/>
          <w:szCs w:val="22"/>
        </w:rPr>
        <w:t>GTMPs</w:t>
      </w:r>
      <w:proofErr w:type="spellEnd"/>
      <w:r w:rsidRPr="00CC2995">
        <w:rPr>
          <w:rFonts w:ascii="Arial" w:eastAsia="Arial" w:hAnsi="Arial" w:cs="Arial"/>
          <w:szCs w:val="22"/>
        </w:rPr>
        <w:t xml:space="preserve"> que consisten en vectores virales, los estudios no clínicos en modelos animales relevantes con niveles medibles del producto del transgén (proteína o enzima) o un marcador farmacodinámico pueden permitir una determinación más confiable de la dosis inicial, en comparación con los productos basados en células.</w:t>
      </w:r>
    </w:p>
    <w:p w:rsidR="00C52906" w:rsidRDefault="00CC2995" w:rsidP="00CC2995">
      <w:pPr>
        <w:pStyle w:val="NormalWeb"/>
        <w:spacing w:after="120"/>
        <w:jc w:val="both"/>
        <w:rPr>
          <w:rFonts w:ascii="Arial" w:eastAsia="Arial" w:hAnsi="Arial" w:cs="Arial"/>
          <w:szCs w:val="22"/>
        </w:rPr>
      </w:pPr>
      <w:r w:rsidRPr="00CC2995">
        <w:rPr>
          <w:rFonts w:ascii="Arial" w:eastAsia="Arial" w:hAnsi="Arial" w:cs="Arial"/>
          <w:szCs w:val="22"/>
        </w:rPr>
        <w:t xml:space="preserve">Aunque los datos no clínicos son útiles para ayudar a definir una dosis inicial segura para los </w:t>
      </w:r>
      <w:proofErr w:type="spellStart"/>
      <w:r w:rsidRPr="00CC2995">
        <w:rPr>
          <w:rFonts w:ascii="Arial" w:eastAsia="Arial" w:hAnsi="Arial" w:cs="Arial"/>
          <w:szCs w:val="22"/>
        </w:rPr>
        <w:t>ATMPs</w:t>
      </w:r>
      <w:proofErr w:type="spellEnd"/>
      <w:r w:rsidRPr="00CC2995">
        <w:rPr>
          <w:rFonts w:ascii="Arial" w:eastAsia="Arial" w:hAnsi="Arial" w:cs="Arial"/>
          <w:szCs w:val="22"/>
        </w:rPr>
        <w:t xml:space="preserve"> en investigación, los estudios FIH en la mayoría de los casos informarán la selección de la dosificación (p. ej., dosis/rango, incrementos de dosis entre niveles y régimen de dosificación general). El objetivo de seleccionar una dosis inicial es identificar una dosis que se espere sea segura y tenga un efecto farmacológico. La evaluación de una dosis(s) biológicamente efectiva mínima y segura puede ser seguida por una exploración adicional de dosis. Asimismo, se recomienda evaluar la correlación entre exposición y efecto con el objetivo de establecer un rango de dosis eficaz, reconociendo que las relaciones dosis-exposición-respuesta pueden ser difíciles de establecer (p. ej., debido a la variabilidad, efectos umbral, tamaño de muestra limitado). El diseño del estudio de determinación de dosis requiere consideraciones y justificación exhaustivas en términos de, por ejemplo, toxicidad y/o escalado de dosis guiado por actividad/eficacia y características generales de diseño (p. ej., asistido por modelos, basado en modelos o basado en reglas). La dosificación recomendada debe basarse en la totalidad de los datos de PK, PD, actividad, seguridad y análisis posteriores. La(s) dosis seleccionada(s) del ATMP en investigación </w:t>
      </w:r>
      <w:r w:rsidRPr="00CC2995">
        <w:rPr>
          <w:rFonts w:ascii="Arial" w:eastAsia="Arial" w:hAnsi="Arial" w:cs="Arial"/>
          <w:szCs w:val="22"/>
        </w:rPr>
        <w:lastRenderedPageBreak/>
        <w:t>pueden luego evaluarse más a fondo, ya sea en cohortes de expansión o en ensayos clínicos posteriores separados.</w:t>
      </w:r>
    </w:p>
    <w:p w:rsidR="002410E4" w:rsidRPr="002410E4" w:rsidRDefault="002410E4" w:rsidP="002410E4">
      <w:pPr>
        <w:pStyle w:val="NormalWeb"/>
        <w:spacing w:after="120"/>
        <w:jc w:val="both"/>
        <w:rPr>
          <w:rFonts w:ascii="Arial" w:eastAsia="Arial" w:hAnsi="Arial" w:cs="Arial"/>
          <w:szCs w:val="22"/>
        </w:rPr>
      </w:pPr>
      <w:r w:rsidRPr="002410E4">
        <w:rPr>
          <w:rFonts w:ascii="Arial" w:eastAsia="Arial" w:hAnsi="Arial" w:cs="Arial"/>
          <w:szCs w:val="22"/>
        </w:rPr>
        <w:t xml:space="preserve">La justificación de la dosificación recomendada para el desarrollo clínico posterior se basa, por lo general, en datos no clínicos y/o clínicos como se describió anteriormente y considerando un contexto específico, como en el ejemplo siguiente. Las diferencias en injerto, diferenciación, persistencia e inmunogenicidad entre animales y humanos pueden limitar el valor predictivo de los estudios no clínicos de determinación de dosis, como en el caso de células CD34 positivas (CD34+) modificadas genéticamente para el tratamiento de inmunodeficiencias graves. Los aspectos a considerar para la selección de la dosis y el esquema de administración son atributos específicos del producto, como el tipo y origen celular (autólogo versus alogénico), número de células transducidas/editadas frente a células no transducidas/no editadas, número medio de copias de vector por célula y viabilidad celular, potencia y actividad biológica, tipo de molécula </w:t>
      </w:r>
      <w:proofErr w:type="spellStart"/>
      <w:r w:rsidRPr="002410E4">
        <w:rPr>
          <w:rFonts w:ascii="Arial" w:eastAsia="Arial" w:hAnsi="Arial" w:cs="Arial"/>
          <w:szCs w:val="22"/>
        </w:rPr>
        <w:t>coestimuladora</w:t>
      </w:r>
      <w:proofErr w:type="spellEnd"/>
      <w:r w:rsidRPr="002410E4">
        <w:rPr>
          <w:rFonts w:ascii="Arial" w:eastAsia="Arial" w:hAnsi="Arial" w:cs="Arial"/>
          <w:szCs w:val="22"/>
        </w:rPr>
        <w:t xml:space="preserve"> y expresión del transgén. En el caso de un producto que contenga células CD34+ modificadas genéticamente en el que se requiera un régimen de acondicionamiento concomitante previo, la dosificación inicial puede derivarse del trasplante hematopoyético, considerando la necesidad de aplicar una dosis mínima de células CD34+ para asegurar el injerto y evitar una supresión prolongada de la médula ósea. Debe proporcionarse una justificación para el esquema de administración, p. ej., administración única o repetida, dependiendo del tipo de ATMP en investigación, la </w:t>
      </w:r>
      <w:proofErr w:type="spellStart"/>
      <w:r w:rsidRPr="002410E4">
        <w:rPr>
          <w:rFonts w:ascii="Arial" w:eastAsia="Arial" w:hAnsi="Arial" w:cs="Arial"/>
          <w:szCs w:val="22"/>
        </w:rPr>
        <w:t>biodistribución</w:t>
      </w:r>
      <w:proofErr w:type="spellEnd"/>
      <w:r w:rsidRPr="002410E4">
        <w:rPr>
          <w:rFonts w:ascii="Arial" w:eastAsia="Arial" w:hAnsi="Arial" w:cs="Arial"/>
          <w:szCs w:val="22"/>
        </w:rPr>
        <w:t>, la persistencia y la reacción inmune inducida por el ATMP en investigación.</w:t>
      </w:r>
    </w:p>
    <w:p w:rsidR="00756B95" w:rsidRDefault="002410E4" w:rsidP="002410E4">
      <w:pPr>
        <w:pStyle w:val="NormalWeb"/>
        <w:spacing w:after="120"/>
        <w:jc w:val="both"/>
        <w:rPr>
          <w:rFonts w:ascii="Arial" w:eastAsia="Arial" w:hAnsi="Arial" w:cs="Arial"/>
          <w:szCs w:val="22"/>
        </w:rPr>
      </w:pPr>
      <w:r w:rsidRPr="002410E4">
        <w:rPr>
          <w:rFonts w:ascii="Arial" w:eastAsia="Arial" w:hAnsi="Arial" w:cs="Arial"/>
          <w:szCs w:val="22"/>
        </w:rPr>
        <w:t>En los casos en que un estudio de determinación de dosis no sea factible, la ausencia de dicho estudio y la dosis seleccionada deben justificarse de manera exhaustiva en el protocolo del estudio.</w:t>
      </w:r>
    </w:p>
    <w:p w:rsidR="00531A66" w:rsidRPr="00531A66" w:rsidRDefault="00266D64" w:rsidP="00531A66">
      <w:pPr>
        <w:pStyle w:val="NormalWeb"/>
        <w:spacing w:after="120"/>
        <w:jc w:val="both"/>
        <w:rPr>
          <w:rFonts w:ascii="Arial" w:eastAsia="Arial" w:hAnsi="Arial" w:cs="Arial"/>
          <w:b/>
          <w:i/>
          <w:szCs w:val="22"/>
        </w:rPr>
      </w:pPr>
      <w:r>
        <w:rPr>
          <w:rFonts w:ascii="Arial" w:eastAsia="Arial" w:hAnsi="Arial" w:cs="Arial"/>
          <w:b/>
          <w:i/>
          <w:szCs w:val="22"/>
        </w:rPr>
        <w:t>8</w:t>
      </w:r>
      <w:r w:rsidR="00531A66" w:rsidRPr="00531A66">
        <w:rPr>
          <w:rFonts w:ascii="Arial" w:eastAsia="Arial" w:hAnsi="Arial" w:cs="Arial"/>
          <w:b/>
          <w:i/>
          <w:szCs w:val="22"/>
        </w:rPr>
        <w:t>.2.5. Objetivos relacionados con farmacocinética</w:t>
      </w:r>
    </w:p>
    <w:p w:rsidR="00531A66" w:rsidRPr="00531A66" w:rsidRDefault="00531A66" w:rsidP="00531A66">
      <w:pPr>
        <w:pStyle w:val="NormalWeb"/>
        <w:spacing w:after="120"/>
        <w:jc w:val="both"/>
        <w:rPr>
          <w:rFonts w:ascii="Arial" w:eastAsia="Arial" w:hAnsi="Arial" w:cs="Arial"/>
          <w:szCs w:val="22"/>
        </w:rPr>
      </w:pPr>
      <w:r w:rsidRPr="00531A66">
        <w:rPr>
          <w:rFonts w:ascii="Arial" w:eastAsia="Arial" w:hAnsi="Arial" w:cs="Arial"/>
          <w:szCs w:val="22"/>
        </w:rPr>
        <w:t xml:space="preserve">La evaluación de la farmacocinética es otro objetivo de los ensayos clínicos exploratorios. La evaluación farmacocinética convencional de absorción, distribución, metabolismo y excreción (ADME) puede no ser posible o relevante para algunos tipos de </w:t>
      </w:r>
      <w:proofErr w:type="spellStart"/>
      <w:r w:rsidRPr="00531A66">
        <w:rPr>
          <w:rFonts w:ascii="Arial" w:eastAsia="Arial" w:hAnsi="Arial" w:cs="Arial"/>
          <w:szCs w:val="22"/>
        </w:rPr>
        <w:t>ATMPs</w:t>
      </w:r>
      <w:proofErr w:type="spellEnd"/>
      <w:r w:rsidRPr="00531A66">
        <w:rPr>
          <w:rFonts w:ascii="Arial" w:eastAsia="Arial" w:hAnsi="Arial" w:cs="Arial"/>
          <w:szCs w:val="22"/>
        </w:rPr>
        <w:t xml:space="preserve"> en investigación.</w:t>
      </w:r>
    </w:p>
    <w:p w:rsidR="00531A66" w:rsidRPr="00531A66" w:rsidRDefault="00531A66" w:rsidP="00531A66">
      <w:pPr>
        <w:pStyle w:val="NormalWeb"/>
        <w:spacing w:after="120"/>
        <w:jc w:val="both"/>
        <w:rPr>
          <w:rFonts w:ascii="Arial" w:eastAsia="Arial" w:hAnsi="Arial" w:cs="Arial"/>
          <w:szCs w:val="22"/>
        </w:rPr>
      </w:pPr>
      <w:r w:rsidRPr="00531A66">
        <w:rPr>
          <w:rFonts w:ascii="Arial" w:eastAsia="Arial" w:hAnsi="Arial" w:cs="Arial"/>
          <w:szCs w:val="22"/>
        </w:rPr>
        <w:t xml:space="preserve">En las terapias basadas en células, donde la evaluación de ADME no puede aplicarse plenamente, la evaluación farmacocinética debe realizarse cuando sea pertinente y factible, por ejemplo, para monitorizar viabilidad, </w:t>
      </w:r>
      <w:r w:rsidRPr="00531A66">
        <w:rPr>
          <w:rFonts w:ascii="Arial" w:eastAsia="Arial" w:hAnsi="Arial" w:cs="Arial"/>
          <w:szCs w:val="22"/>
        </w:rPr>
        <w:lastRenderedPageBreak/>
        <w:t>proliferación/diferenciación, inmunogenicidad, distribución corporal, focos ectópicos, tropismo/migración tisular y funcionalidad durante la viabilidad prevista de las células/productos. Aspectos como la inmunogenicidad y la diseminación son relevantes para los medicamentos de terapia génica.</w:t>
      </w:r>
    </w:p>
    <w:p w:rsidR="00DA1D2E" w:rsidRDefault="00531A66" w:rsidP="00531A66">
      <w:pPr>
        <w:pStyle w:val="NormalWeb"/>
        <w:spacing w:after="120"/>
        <w:jc w:val="both"/>
        <w:rPr>
          <w:rFonts w:ascii="Arial" w:eastAsia="Arial" w:hAnsi="Arial" w:cs="Arial"/>
          <w:szCs w:val="22"/>
        </w:rPr>
      </w:pPr>
      <w:r w:rsidRPr="00531A66">
        <w:rPr>
          <w:rFonts w:ascii="Arial" w:eastAsia="Arial" w:hAnsi="Arial" w:cs="Arial"/>
          <w:szCs w:val="22"/>
        </w:rPr>
        <w:t xml:space="preserve">Cuando corresponda, la evaluación farmacocinética, incluyendo como mínimo la determinación de la concentración (plasmática) y la duración de la expresión, debe realizarse para el producto terapéutico del transgén (es decir, proteína terapéutica) utilizando ensayos </w:t>
      </w:r>
      <w:proofErr w:type="spellStart"/>
      <w:r w:rsidRPr="00531A66">
        <w:rPr>
          <w:rFonts w:ascii="Arial" w:eastAsia="Arial" w:hAnsi="Arial" w:cs="Arial"/>
          <w:szCs w:val="22"/>
        </w:rPr>
        <w:t>bioanalíticos</w:t>
      </w:r>
      <w:proofErr w:type="spellEnd"/>
      <w:r w:rsidRPr="00531A66">
        <w:rPr>
          <w:rFonts w:ascii="Arial" w:eastAsia="Arial" w:hAnsi="Arial" w:cs="Arial"/>
          <w:szCs w:val="22"/>
        </w:rPr>
        <w:t xml:space="preserve"> adecuados para el propósito previsto.</w:t>
      </w:r>
    </w:p>
    <w:p w:rsidR="007E4FE8" w:rsidRPr="007E4FE8" w:rsidRDefault="00266D64" w:rsidP="007E4FE8">
      <w:pPr>
        <w:pStyle w:val="NormalWeb"/>
        <w:spacing w:after="120"/>
        <w:jc w:val="both"/>
        <w:rPr>
          <w:rFonts w:ascii="Arial" w:eastAsia="Arial" w:hAnsi="Arial" w:cs="Arial"/>
          <w:b/>
          <w:i/>
          <w:szCs w:val="22"/>
        </w:rPr>
      </w:pPr>
      <w:r>
        <w:rPr>
          <w:rFonts w:ascii="Arial" w:eastAsia="Arial" w:hAnsi="Arial" w:cs="Arial"/>
          <w:b/>
          <w:i/>
          <w:szCs w:val="22"/>
        </w:rPr>
        <w:t>8</w:t>
      </w:r>
      <w:r w:rsidR="007E4FE8" w:rsidRPr="007E4FE8">
        <w:rPr>
          <w:rFonts w:ascii="Arial" w:eastAsia="Arial" w:hAnsi="Arial" w:cs="Arial"/>
          <w:b/>
          <w:i/>
          <w:szCs w:val="22"/>
        </w:rPr>
        <w:t>.2.6. Objetivos relacionados con la farmacodinámica</w:t>
      </w:r>
    </w:p>
    <w:p w:rsidR="007E4FE8" w:rsidRPr="007E4FE8" w:rsidRDefault="007E4FE8" w:rsidP="007E4FE8">
      <w:pPr>
        <w:pStyle w:val="NormalWeb"/>
        <w:spacing w:after="120"/>
        <w:jc w:val="both"/>
        <w:rPr>
          <w:rFonts w:ascii="Arial" w:eastAsia="Arial" w:hAnsi="Arial" w:cs="Arial"/>
          <w:szCs w:val="22"/>
        </w:rPr>
      </w:pPr>
      <w:r w:rsidRPr="007E4FE8">
        <w:rPr>
          <w:rFonts w:ascii="Arial" w:eastAsia="Arial" w:hAnsi="Arial" w:cs="Arial"/>
          <w:szCs w:val="22"/>
        </w:rPr>
        <w:t>Las evaluaciones farmacodinámicas (FD) se utilizan con frecuencia para sustentar la prueba de mecanismo y la prueba de concepto, según los ejemplos que se indican a continuación.</w:t>
      </w:r>
    </w:p>
    <w:p w:rsidR="007E4FE8" w:rsidRPr="007E4FE8" w:rsidRDefault="007E4FE8" w:rsidP="007E4FE8">
      <w:pPr>
        <w:pStyle w:val="NormalWeb"/>
        <w:spacing w:after="120"/>
        <w:jc w:val="both"/>
        <w:rPr>
          <w:rFonts w:ascii="Arial" w:eastAsia="Arial" w:hAnsi="Arial" w:cs="Arial"/>
          <w:szCs w:val="22"/>
        </w:rPr>
      </w:pPr>
      <w:r w:rsidRPr="007E4FE8">
        <w:rPr>
          <w:rFonts w:ascii="Arial" w:eastAsia="Arial" w:hAnsi="Arial" w:cs="Arial"/>
          <w:szCs w:val="22"/>
        </w:rPr>
        <w:t>En el caso de medicamentos de terapia génica en investigación (</w:t>
      </w:r>
      <w:proofErr w:type="spellStart"/>
      <w:r w:rsidRPr="007E4FE8">
        <w:rPr>
          <w:rFonts w:ascii="Arial" w:eastAsia="Arial" w:hAnsi="Arial" w:cs="Arial"/>
          <w:szCs w:val="22"/>
        </w:rPr>
        <w:t>GTMPs</w:t>
      </w:r>
      <w:proofErr w:type="spellEnd"/>
      <w:r w:rsidRPr="007E4FE8">
        <w:rPr>
          <w:rFonts w:ascii="Arial" w:eastAsia="Arial" w:hAnsi="Arial" w:cs="Arial"/>
          <w:szCs w:val="22"/>
        </w:rPr>
        <w:t xml:space="preserve">), se espera que las evaluaciones FD se realicen para estudiar la expresión y función del producto de la expresión génica (por ejemplo, como proteína o enzima, incluyendo la conversión de profármacos por enzimas terapéuticas o la inducción de una respuesta inmunitaria) o la ausencia de expresión génica (por ejemplo, en el caso de productos de terapia avanzada basados en edición génica, </w:t>
      </w:r>
      <w:proofErr w:type="spellStart"/>
      <w:r w:rsidRPr="007E4FE8">
        <w:rPr>
          <w:rFonts w:ascii="Arial" w:eastAsia="Arial" w:hAnsi="Arial" w:cs="Arial"/>
          <w:szCs w:val="22"/>
        </w:rPr>
        <w:t>ATMPs</w:t>
      </w:r>
      <w:proofErr w:type="spellEnd"/>
      <w:r w:rsidRPr="007E4FE8">
        <w:rPr>
          <w:rFonts w:ascii="Arial" w:eastAsia="Arial" w:hAnsi="Arial" w:cs="Arial"/>
          <w:szCs w:val="22"/>
        </w:rPr>
        <w:t xml:space="preserve">), mientras que en otros casos se aborda el efecto del propio vector (por ejemplo, virus </w:t>
      </w:r>
      <w:proofErr w:type="spellStart"/>
      <w:r w:rsidRPr="007E4FE8">
        <w:rPr>
          <w:rFonts w:ascii="Arial" w:eastAsia="Arial" w:hAnsi="Arial" w:cs="Arial"/>
          <w:szCs w:val="22"/>
        </w:rPr>
        <w:t>oncolíticos</w:t>
      </w:r>
      <w:proofErr w:type="spellEnd"/>
      <w:r w:rsidRPr="007E4FE8">
        <w:rPr>
          <w:rFonts w:ascii="Arial" w:eastAsia="Arial" w:hAnsi="Arial" w:cs="Arial"/>
          <w:szCs w:val="22"/>
        </w:rPr>
        <w:t xml:space="preserve"> recombinantes). </w:t>
      </w:r>
    </w:p>
    <w:p w:rsidR="006205F8" w:rsidRDefault="007E4FE8" w:rsidP="007E4FE8">
      <w:pPr>
        <w:pStyle w:val="NormalWeb"/>
        <w:spacing w:after="120"/>
        <w:jc w:val="both"/>
        <w:rPr>
          <w:rFonts w:ascii="Arial" w:eastAsia="Arial" w:hAnsi="Arial" w:cs="Arial"/>
          <w:szCs w:val="22"/>
        </w:rPr>
      </w:pPr>
      <w:r w:rsidRPr="007E4FE8">
        <w:rPr>
          <w:rFonts w:ascii="Arial" w:eastAsia="Arial" w:hAnsi="Arial" w:cs="Arial"/>
          <w:szCs w:val="22"/>
        </w:rPr>
        <w:t>En el caso de un producto de terapia celular somática en investigación con función inmunológica, por ejemplo, una inmunoterapia contra el cáncer, los resultados farmacodinámicos esperados incluyen la respuesta inmune celular y humoral. En el caso de un producto de ingeniería tisular en investigación cuyo uso previsto sea restaurar o reemplazar células/tejidos, los ensayos estructurales e histológicos pueden constituir marcadores farmacodinámicos potenciales.</w:t>
      </w:r>
    </w:p>
    <w:p w:rsidR="00AA3772" w:rsidRPr="00AA3772" w:rsidRDefault="00266D64" w:rsidP="00AA3772">
      <w:pPr>
        <w:pStyle w:val="NormalWeb"/>
        <w:spacing w:after="120"/>
        <w:jc w:val="both"/>
        <w:rPr>
          <w:rFonts w:ascii="Arial" w:eastAsia="Arial" w:hAnsi="Arial" w:cs="Arial"/>
          <w:b/>
          <w:szCs w:val="22"/>
        </w:rPr>
      </w:pPr>
      <w:r>
        <w:rPr>
          <w:rFonts w:ascii="Arial" w:eastAsia="Arial" w:hAnsi="Arial" w:cs="Arial"/>
          <w:b/>
          <w:szCs w:val="22"/>
        </w:rPr>
        <w:t>8</w:t>
      </w:r>
      <w:r w:rsidR="00AA3772" w:rsidRPr="00AA3772">
        <w:rPr>
          <w:rFonts w:ascii="Arial" w:eastAsia="Arial" w:hAnsi="Arial" w:cs="Arial"/>
          <w:b/>
          <w:szCs w:val="22"/>
        </w:rPr>
        <w:t xml:space="preserve">.3 Ensayos clínicos confirmatorios </w:t>
      </w:r>
    </w:p>
    <w:p w:rsidR="00AA3772" w:rsidRPr="00AA3772" w:rsidRDefault="00266D64" w:rsidP="00AA3772">
      <w:pPr>
        <w:pStyle w:val="NormalWeb"/>
        <w:spacing w:after="120"/>
        <w:jc w:val="both"/>
        <w:rPr>
          <w:rFonts w:ascii="Arial" w:eastAsia="Arial" w:hAnsi="Arial" w:cs="Arial"/>
          <w:b/>
          <w:i/>
          <w:szCs w:val="22"/>
        </w:rPr>
      </w:pPr>
      <w:r>
        <w:rPr>
          <w:rFonts w:ascii="Arial" w:eastAsia="Arial" w:hAnsi="Arial" w:cs="Arial"/>
          <w:b/>
          <w:i/>
          <w:szCs w:val="22"/>
        </w:rPr>
        <w:t>8</w:t>
      </w:r>
      <w:r w:rsidR="00AA3772" w:rsidRPr="00AA3772">
        <w:rPr>
          <w:rFonts w:ascii="Arial" w:eastAsia="Arial" w:hAnsi="Arial" w:cs="Arial"/>
          <w:b/>
          <w:i/>
          <w:szCs w:val="22"/>
        </w:rPr>
        <w:t xml:space="preserve">.3.1 Consideraciones generales  </w:t>
      </w:r>
    </w:p>
    <w:p w:rsidR="00AA3772" w:rsidRPr="00AA3772" w:rsidRDefault="00AA3772" w:rsidP="00AA3772">
      <w:pPr>
        <w:pStyle w:val="NormalWeb"/>
        <w:spacing w:after="120"/>
        <w:jc w:val="both"/>
        <w:rPr>
          <w:rFonts w:ascii="Arial" w:eastAsia="Arial" w:hAnsi="Arial" w:cs="Arial"/>
          <w:szCs w:val="22"/>
        </w:rPr>
      </w:pPr>
      <w:r w:rsidRPr="00AA3772">
        <w:rPr>
          <w:rFonts w:ascii="Arial" w:eastAsia="Arial" w:hAnsi="Arial" w:cs="Arial"/>
          <w:szCs w:val="22"/>
        </w:rPr>
        <w:t xml:space="preserve">Los estudios confirmatorios deben diseñarse y llevarse a cabo de conformidad con las directrices generales existentes para áreas terapéuticas específicas. En </w:t>
      </w:r>
      <w:r w:rsidRPr="00AA3772">
        <w:rPr>
          <w:rFonts w:ascii="Arial" w:eastAsia="Arial" w:hAnsi="Arial" w:cs="Arial"/>
          <w:szCs w:val="22"/>
        </w:rPr>
        <w:lastRenderedPageBreak/>
        <w:t>situaciones en las que no exista una guía específica para un área terapéutica determinada o esta no sea relevante para los ATMP, el asesoramiento científico resulta aún más esencial.</w:t>
      </w:r>
    </w:p>
    <w:p w:rsidR="00AA3772" w:rsidRPr="00AA3772" w:rsidRDefault="00AA3772" w:rsidP="00AA3772">
      <w:pPr>
        <w:pStyle w:val="NormalWeb"/>
        <w:spacing w:after="120"/>
        <w:jc w:val="both"/>
        <w:rPr>
          <w:rFonts w:ascii="Arial" w:eastAsia="Arial" w:hAnsi="Arial" w:cs="Arial"/>
          <w:szCs w:val="22"/>
        </w:rPr>
      </w:pPr>
      <w:r w:rsidRPr="00AA3772">
        <w:rPr>
          <w:rFonts w:ascii="Arial" w:eastAsia="Arial" w:hAnsi="Arial" w:cs="Arial"/>
          <w:szCs w:val="22"/>
        </w:rPr>
        <w:t>Además, debe considerarse cualquier posible impacto de cambios sustanciales en el proceso de fabricación antes o durante los ensayos confirmatorios (tal como se discute en la sección de calidad de esta guía, secciones S.2.6 y P.2); asimismo, deben tenerse en cuenta las posibles consecuencias sobre la representatividad del material utilizado para generar los datos no clínicos y clínicos tempranos.</w:t>
      </w:r>
    </w:p>
    <w:p w:rsidR="00AA3772" w:rsidRPr="00AA3772" w:rsidRDefault="00AA3772" w:rsidP="00AA3772">
      <w:pPr>
        <w:pStyle w:val="NormalWeb"/>
        <w:spacing w:after="120"/>
        <w:jc w:val="both"/>
        <w:rPr>
          <w:rFonts w:ascii="Arial" w:eastAsia="Arial" w:hAnsi="Arial" w:cs="Arial"/>
          <w:i/>
          <w:szCs w:val="22"/>
        </w:rPr>
      </w:pPr>
      <w:r w:rsidRPr="00AA3772">
        <w:rPr>
          <w:rFonts w:ascii="Arial" w:eastAsia="Arial" w:hAnsi="Arial" w:cs="Arial"/>
          <w:i/>
          <w:szCs w:val="22"/>
        </w:rPr>
        <w:t xml:space="preserve">Diseño del ensayo clínico  </w:t>
      </w:r>
    </w:p>
    <w:p w:rsidR="00AA3772" w:rsidRPr="00AA3772" w:rsidRDefault="00AA3772" w:rsidP="00AA3772">
      <w:pPr>
        <w:pStyle w:val="NormalWeb"/>
        <w:spacing w:after="120"/>
        <w:jc w:val="both"/>
        <w:rPr>
          <w:rFonts w:ascii="Arial" w:eastAsia="Arial" w:hAnsi="Arial" w:cs="Arial"/>
          <w:szCs w:val="22"/>
        </w:rPr>
      </w:pPr>
      <w:r w:rsidRPr="00AA3772">
        <w:rPr>
          <w:rFonts w:ascii="Arial" w:eastAsia="Arial" w:hAnsi="Arial" w:cs="Arial"/>
          <w:szCs w:val="22"/>
        </w:rPr>
        <w:t xml:space="preserve">Como en cualquier medicamento, los principales aspectos a abordar en el protocolo del estudio son: elección de la población objetivo y del grupo control, enmascaramiento, elección de los criterios de valoración primarios y secundarios, duración del estudio, estimación del tamaño de la muestra, métodos estadísticos. </w:t>
      </w:r>
    </w:p>
    <w:p w:rsidR="00AA3772" w:rsidRPr="00AA3772" w:rsidRDefault="00AA3772" w:rsidP="00AA3772">
      <w:pPr>
        <w:pStyle w:val="NormalWeb"/>
        <w:spacing w:after="120"/>
        <w:jc w:val="both"/>
        <w:rPr>
          <w:rFonts w:ascii="Arial" w:eastAsia="Arial" w:hAnsi="Arial" w:cs="Arial"/>
          <w:szCs w:val="22"/>
        </w:rPr>
      </w:pPr>
      <w:r w:rsidRPr="00AA3772">
        <w:rPr>
          <w:rFonts w:ascii="Arial" w:eastAsia="Arial" w:hAnsi="Arial" w:cs="Arial"/>
          <w:szCs w:val="22"/>
        </w:rPr>
        <w:t xml:space="preserve">Los ensayos controlados aleatorizados y comparativos son preferibles a los ensayos de un solo brazo o a los ensayos con controles externos o históricos, ya que minimizan las variables de referencia de confusión, reducen el sesgo y son más adecuados para obtener una estimación no sesgada del efecto del tratamiento y de la seguridad. Cuando no se disponga de terapias de referencia, se espera que la comparación con el mejor tratamiento de soporte basado en la elección del investigador o con placebo proporcione evidencia de eficacia y se prefiere frente a los ensayos de un solo brazo. El uso de comparadores alternativos (por ejemplo, un procedimiento simulado) también puede considerarse como comparador, dependiendo de diversos factores como los riesgos adicionales para el paciente y la naturaleza de la condición. Para algunos ATMP en investigación, podría considerarse un control </w:t>
      </w:r>
      <w:proofErr w:type="spellStart"/>
      <w:r w:rsidRPr="00AA3772">
        <w:rPr>
          <w:rFonts w:ascii="Arial" w:eastAsia="Arial" w:hAnsi="Arial" w:cs="Arial"/>
          <w:szCs w:val="22"/>
        </w:rPr>
        <w:t>intra-sujeto</w:t>
      </w:r>
      <w:proofErr w:type="spellEnd"/>
      <w:r w:rsidRPr="00AA3772">
        <w:rPr>
          <w:rFonts w:ascii="Arial" w:eastAsia="Arial" w:hAnsi="Arial" w:cs="Arial"/>
          <w:szCs w:val="22"/>
        </w:rPr>
        <w:t xml:space="preserve"> con una fase de preparación adecuada, si está debidamente justificado.</w:t>
      </w:r>
    </w:p>
    <w:p w:rsidR="00AA3772" w:rsidRPr="00AA3772" w:rsidRDefault="00AA3772" w:rsidP="00AA3772">
      <w:pPr>
        <w:pStyle w:val="NormalWeb"/>
        <w:spacing w:after="120"/>
        <w:jc w:val="both"/>
        <w:rPr>
          <w:rFonts w:ascii="Arial" w:eastAsia="Arial" w:hAnsi="Arial" w:cs="Arial"/>
          <w:szCs w:val="22"/>
        </w:rPr>
      </w:pPr>
      <w:r w:rsidRPr="00AA3772">
        <w:rPr>
          <w:rFonts w:ascii="Arial" w:eastAsia="Arial" w:hAnsi="Arial" w:cs="Arial"/>
          <w:szCs w:val="22"/>
        </w:rPr>
        <w:t>Si el enmascaramiento simple o doble no es posible, esto debe justificarse adecuadamente (por ejemplo, cuando se involucran procedimientos quirúrgicos) y el diseño del ensayo debe incluir medidas para reducir el posible sesgo mediante un enmascaramiento parcial; la persona que evalúe los principales resultados del estudio debe estar cegada respecto a la asignación del tratamiento y actuar como revisor independiente.</w:t>
      </w:r>
    </w:p>
    <w:p w:rsidR="00544D2F" w:rsidRDefault="00AA3772" w:rsidP="00AA3772">
      <w:pPr>
        <w:pStyle w:val="NormalWeb"/>
        <w:spacing w:after="120"/>
        <w:jc w:val="both"/>
        <w:rPr>
          <w:rFonts w:ascii="Arial" w:eastAsia="Arial" w:hAnsi="Arial" w:cs="Arial"/>
          <w:szCs w:val="22"/>
        </w:rPr>
      </w:pPr>
      <w:r w:rsidRPr="00AA3772">
        <w:rPr>
          <w:rFonts w:ascii="Arial" w:eastAsia="Arial" w:hAnsi="Arial" w:cs="Arial"/>
          <w:szCs w:val="22"/>
        </w:rPr>
        <w:lastRenderedPageBreak/>
        <w:t>Dependiendo del diseño del ensayo, la evaluación también puede incluir resultados comunicados por los pacientes.</w:t>
      </w:r>
    </w:p>
    <w:p w:rsidR="00805D4B" w:rsidRPr="00805D4B" w:rsidRDefault="00B74D74" w:rsidP="00805D4B">
      <w:pPr>
        <w:pStyle w:val="NormalWeb"/>
        <w:spacing w:after="120"/>
        <w:jc w:val="both"/>
        <w:rPr>
          <w:rFonts w:ascii="Arial" w:eastAsia="Arial" w:hAnsi="Arial" w:cs="Arial"/>
          <w:b/>
          <w:i/>
          <w:szCs w:val="22"/>
        </w:rPr>
      </w:pPr>
      <w:r>
        <w:rPr>
          <w:rFonts w:ascii="Arial" w:eastAsia="Arial" w:hAnsi="Arial" w:cs="Arial"/>
          <w:b/>
          <w:i/>
          <w:szCs w:val="22"/>
        </w:rPr>
        <w:t>8</w:t>
      </w:r>
      <w:r w:rsidR="00805D4B" w:rsidRPr="00805D4B">
        <w:rPr>
          <w:rFonts w:ascii="Arial" w:eastAsia="Arial" w:hAnsi="Arial" w:cs="Arial"/>
          <w:b/>
          <w:i/>
          <w:szCs w:val="22"/>
        </w:rPr>
        <w:t xml:space="preserve">.3.2 Eficacia  </w:t>
      </w:r>
    </w:p>
    <w:p w:rsidR="00805D4B" w:rsidRPr="00805D4B" w:rsidRDefault="00805D4B" w:rsidP="00805D4B">
      <w:pPr>
        <w:pStyle w:val="NormalWeb"/>
        <w:spacing w:after="120"/>
        <w:jc w:val="both"/>
        <w:rPr>
          <w:rFonts w:ascii="Arial" w:eastAsia="Arial" w:hAnsi="Arial" w:cs="Arial"/>
          <w:szCs w:val="22"/>
        </w:rPr>
      </w:pPr>
      <w:r w:rsidRPr="00805D4B">
        <w:rPr>
          <w:rFonts w:ascii="Arial" w:eastAsia="Arial" w:hAnsi="Arial" w:cs="Arial"/>
          <w:szCs w:val="22"/>
        </w:rPr>
        <w:t>Los criterios de valoración de eficacia clínica</w:t>
      </w:r>
      <w:r w:rsidR="00501239">
        <w:rPr>
          <w:rFonts w:ascii="Arial" w:eastAsia="Arial" w:hAnsi="Arial" w:cs="Arial"/>
          <w:szCs w:val="22"/>
        </w:rPr>
        <w:t xml:space="preserve"> </w:t>
      </w:r>
      <w:r w:rsidRPr="00805D4B">
        <w:rPr>
          <w:rFonts w:ascii="Arial" w:eastAsia="Arial" w:hAnsi="Arial" w:cs="Arial"/>
          <w:szCs w:val="22"/>
        </w:rPr>
        <w:t>constituyen la base para la evaluación clínica de los ATMP en investigación. El objetivo principal es demostrar o confirmar el beneficio terapéutico.</w:t>
      </w:r>
    </w:p>
    <w:p w:rsidR="00805D4B" w:rsidRPr="00805D4B" w:rsidRDefault="00805D4B" w:rsidP="00805D4B">
      <w:pPr>
        <w:pStyle w:val="NormalWeb"/>
        <w:spacing w:after="120"/>
        <w:jc w:val="both"/>
        <w:rPr>
          <w:rFonts w:ascii="Arial" w:eastAsia="Arial" w:hAnsi="Arial" w:cs="Arial"/>
          <w:szCs w:val="22"/>
        </w:rPr>
      </w:pPr>
      <w:r w:rsidRPr="00805D4B">
        <w:rPr>
          <w:rFonts w:ascii="Arial" w:eastAsia="Arial" w:hAnsi="Arial" w:cs="Arial"/>
          <w:szCs w:val="22"/>
        </w:rPr>
        <w:t xml:space="preserve">En ocasiones, el resultado clínico deseado solo puede observarse tras un seguimiento prolongado. En tales casos, puede utilizarse un criterio de valoración intermedio en el ensayo con la intención de respaldar una autorización de comercialización inicial. En los casos en que se espere una eficacia a largo plazo, los criterios de valoración también deben centrarse en la duración del efecto del tratamiento. Si la eficacia depende de la persistencia a largo plazo del producto, debe proporcionarse un plan de seguimiento prolongado para los pacientes. </w:t>
      </w:r>
    </w:p>
    <w:p w:rsidR="00AA3772" w:rsidRDefault="00805D4B" w:rsidP="00805D4B">
      <w:pPr>
        <w:pStyle w:val="NormalWeb"/>
        <w:spacing w:after="120"/>
        <w:jc w:val="both"/>
        <w:rPr>
          <w:rFonts w:ascii="Arial" w:eastAsia="Arial" w:hAnsi="Arial" w:cs="Arial"/>
          <w:szCs w:val="22"/>
        </w:rPr>
      </w:pPr>
      <w:r w:rsidRPr="00805D4B">
        <w:rPr>
          <w:rFonts w:ascii="Arial" w:eastAsia="Arial" w:hAnsi="Arial" w:cs="Arial"/>
          <w:szCs w:val="22"/>
        </w:rPr>
        <w:t xml:space="preserve">Para los productos de ingeniería tisular en investigación, pueden requerirse criterios de valoración adicionales específicos de células y tejidos, tales como parámetros bioquímicos, morfológicos, estructurales y funcionales, que sean relevantes para la reivindicación terapéutica prevista. Estos criterios de valoración pueden utilizarse como variables </w:t>
      </w:r>
      <w:proofErr w:type="spellStart"/>
      <w:r w:rsidRPr="00805D4B">
        <w:rPr>
          <w:rFonts w:ascii="Arial" w:eastAsia="Arial" w:hAnsi="Arial" w:cs="Arial"/>
          <w:szCs w:val="22"/>
        </w:rPr>
        <w:t>co</w:t>
      </w:r>
      <w:r w:rsidR="004443C2">
        <w:rPr>
          <w:rFonts w:ascii="Arial" w:eastAsia="Arial" w:hAnsi="Arial" w:cs="Arial"/>
          <w:szCs w:val="22"/>
        </w:rPr>
        <w:t>-</w:t>
      </w:r>
      <w:r w:rsidRPr="00805D4B">
        <w:rPr>
          <w:rFonts w:ascii="Arial" w:eastAsia="Arial" w:hAnsi="Arial" w:cs="Arial"/>
          <w:szCs w:val="22"/>
        </w:rPr>
        <w:t>primarias</w:t>
      </w:r>
      <w:proofErr w:type="spellEnd"/>
      <w:r w:rsidRPr="00805D4B">
        <w:rPr>
          <w:rFonts w:ascii="Arial" w:eastAsia="Arial" w:hAnsi="Arial" w:cs="Arial"/>
          <w:szCs w:val="22"/>
        </w:rPr>
        <w:t xml:space="preserve"> o secundarias y se espera que respalden la variable principal de eficacia clínica.</w:t>
      </w:r>
    </w:p>
    <w:p w:rsidR="00B51402" w:rsidRPr="00B51402" w:rsidRDefault="00B74D74" w:rsidP="00B51402">
      <w:pPr>
        <w:pStyle w:val="NormalWeb"/>
        <w:spacing w:after="120"/>
        <w:jc w:val="both"/>
        <w:rPr>
          <w:rFonts w:ascii="Arial" w:eastAsia="Arial" w:hAnsi="Arial" w:cs="Arial"/>
          <w:b/>
          <w:i/>
          <w:szCs w:val="22"/>
        </w:rPr>
      </w:pPr>
      <w:r>
        <w:rPr>
          <w:rFonts w:ascii="Arial" w:eastAsia="Arial" w:hAnsi="Arial" w:cs="Arial"/>
          <w:b/>
          <w:i/>
          <w:szCs w:val="22"/>
        </w:rPr>
        <w:t>8</w:t>
      </w:r>
      <w:r w:rsidR="00B51402" w:rsidRPr="00B51402">
        <w:rPr>
          <w:rFonts w:ascii="Arial" w:eastAsia="Arial" w:hAnsi="Arial" w:cs="Arial"/>
          <w:b/>
          <w:i/>
          <w:szCs w:val="22"/>
        </w:rPr>
        <w:t xml:space="preserve">.3.3 Seguridad clínica  </w:t>
      </w:r>
    </w:p>
    <w:p w:rsidR="00B51402" w:rsidRPr="00B51402" w:rsidRDefault="00B51402" w:rsidP="00B51402">
      <w:pPr>
        <w:pStyle w:val="NormalWeb"/>
        <w:spacing w:after="120"/>
        <w:jc w:val="both"/>
        <w:rPr>
          <w:rFonts w:ascii="Arial" w:eastAsia="Arial" w:hAnsi="Arial" w:cs="Arial"/>
          <w:szCs w:val="22"/>
        </w:rPr>
      </w:pPr>
      <w:r w:rsidRPr="00B51402">
        <w:rPr>
          <w:rFonts w:ascii="Arial" w:eastAsia="Arial" w:hAnsi="Arial" w:cs="Arial"/>
          <w:szCs w:val="22"/>
        </w:rPr>
        <w:t>La determinación del perfil de seguridad y la detección de los riesgos deben continuar durante los ensayos clínicos en fase confirmatoria con el fin de prevenir y/o minimizar dichos riesgos. La información relativa a los riesgos detectados (importantes y potenciales) podría constituir la base para el Plan de Gestión de Riesgos. En relación con los posibles riesgos asociados a los ATMP en investigación, se hace referencia a la metodología basada en el enfoque de riesgos, así como a los riesgos enumerados en la guía sobre seguimiento de seguridad y eficacia y gestión de riesgos de los ATMP.</w:t>
      </w:r>
    </w:p>
    <w:p w:rsidR="004443C2" w:rsidRDefault="00B51402" w:rsidP="00B51402">
      <w:pPr>
        <w:pStyle w:val="NormalWeb"/>
        <w:spacing w:after="120"/>
        <w:jc w:val="both"/>
        <w:rPr>
          <w:rFonts w:ascii="Arial" w:eastAsia="Arial" w:hAnsi="Arial" w:cs="Arial"/>
          <w:szCs w:val="22"/>
        </w:rPr>
      </w:pPr>
      <w:r w:rsidRPr="00B51402">
        <w:rPr>
          <w:rFonts w:ascii="Arial" w:eastAsia="Arial" w:hAnsi="Arial" w:cs="Arial"/>
          <w:szCs w:val="22"/>
        </w:rPr>
        <w:t xml:space="preserve">En caso de un riesgo anticipado que incluya acontecimientos de aparición tardía (por ejemplo, </w:t>
      </w:r>
      <w:proofErr w:type="spellStart"/>
      <w:r w:rsidRPr="00B51402">
        <w:rPr>
          <w:rFonts w:ascii="Arial" w:eastAsia="Arial" w:hAnsi="Arial" w:cs="Arial"/>
          <w:szCs w:val="22"/>
        </w:rPr>
        <w:t>tumorigenicidad</w:t>
      </w:r>
      <w:proofErr w:type="spellEnd"/>
      <w:r w:rsidRPr="00B51402">
        <w:rPr>
          <w:rFonts w:ascii="Arial" w:eastAsia="Arial" w:hAnsi="Arial" w:cs="Arial"/>
          <w:szCs w:val="22"/>
        </w:rPr>
        <w:t>), deben implementarse medidas para garantizar un seguimiento adecuado, detectar oportunamente la señal y mitigar dicho riesgo.</w:t>
      </w:r>
    </w:p>
    <w:p w:rsidR="005B3285" w:rsidRPr="005B3285" w:rsidRDefault="00B74D74" w:rsidP="005B3285">
      <w:pPr>
        <w:pStyle w:val="NormalWeb"/>
        <w:spacing w:after="120"/>
        <w:jc w:val="both"/>
        <w:rPr>
          <w:rFonts w:ascii="Arial" w:eastAsia="Arial" w:hAnsi="Arial" w:cs="Arial"/>
          <w:b/>
          <w:szCs w:val="22"/>
        </w:rPr>
      </w:pPr>
      <w:r>
        <w:rPr>
          <w:rFonts w:ascii="Arial" w:eastAsia="Arial" w:hAnsi="Arial" w:cs="Arial"/>
          <w:b/>
          <w:szCs w:val="22"/>
        </w:rPr>
        <w:lastRenderedPageBreak/>
        <w:t>8</w:t>
      </w:r>
      <w:r w:rsidR="005B3285" w:rsidRPr="005B3285">
        <w:rPr>
          <w:rFonts w:ascii="Arial" w:eastAsia="Arial" w:hAnsi="Arial" w:cs="Arial"/>
          <w:b/>
          <w:szCs w:val="22"/>
        </w:rPr>
        <w:t xml:space="preserve">.4 Seguimiento de la eficacia y seguridad a largo plazo  </w:t>
      </w:r>
    </w:p>
    <w:p w:rsidR="005B3285" w:rsidRPr="005B3285" w:rsidRDefault="005B3285" w:rsidP="005B3285">
      <w:pPr>
        <w:pStyle w:val="NormalWeb"/>
        <w:spacing w:after="120"/>
        <w:jc w:val="both"/>
        <w:rPr>
          <w:rFonts w:ascii="Arial" w:eastAsia="Arial" w:hAnsi="Arial" w:cs="Arial"/>
          <w:szCs w:val="22"/>
        </w:rPr>
      </w:pPr>
      <w:r w:rsidRPr="005B3285">
        <w:rPr>
          <w:rFonts w:ascii="Arial" w:eastAsia="Arial" w:hAnsi="Arial" w:cs="Arial"/>
          <w:szCs w:val="22"/>
        </w:rPr>
        <w:t>El seguimiento de la eficacia y seguridad a largo plazo, así como la monitorización prolongada de los pacientes tratados con un ATMP en investigación, debe tener en cuenta la naturaleza del ATMP en investigación y, si corresponde, la expectativa de vida asociada a la enfermedad tratada. La duración del seguimiento de eficacia y seguridad debe determinarse lo antes posible de acuerdo con un enfoque basado en riesgos, considerando los resultados de los estudios no clínicos, el mecanismo de acción, la persistencia, la naturaleza del producto (por ejemplo, el tipo de vector) y las consideraciones específicas de la edad.</w:t>
      </w:r>
    </w:p>
    <w:p w:rsidR="005B3285" w:rsidRPr="005B3285" w:rsidRDefault="005B3285" w:rsidP="005B3285">
      <w:pPr>
        <w:pStyle w:val="NormalWeb"/>
        <w:spacing w:after="120"/>
        <w:jc w:val="both"/>
        <w:rPr>
          <w:rFonts w:ascii="Arial" w:eastAsia="Arial" w:hAnsi="Arial" w:cs="Arial"/>
          <w:szCs w:val="22"/>
        </w:rPr>
      </w:pPr>
      <w:r w:rsidRPr="005B3285">
        <w:rPr>
          <w:rFonts w:ascii="Arial" w:eastAsia="Arial" w:hAnsi="Arial" w:cs="Arial"/>
          <w:szCs w:val="22"/>
        </w:rPr>
        <w:t>Los desarrolladores de ATMP deben garantizar que los pacientes incluidos en ensayos clínicos sean seguidos de manera adecuada con el fin de generar datos de eficacia y seguridad a largo plazo suficientes para respaldar la solicitud de autorización de comercialización. Los detalles del seguimiento deben definirse en los respectivos protocolos de ensayo clínico.</w:t>
      </w:r>
    </w:p>
    <w:p w:rsidR="005B3285" w:rsidRPr="005B3285" w:rsidRDefault="005B3285" w:rsidP="005B3285">
      <w:pPr>
        <w:pStyle w:val="NormalWeb"/>
        <w:spacing w:after="120"/>
        <w:jc w:val="both"/>
        <w:rPr>
          <w:rFonts w:ascii="Arial" w:eastAsia="Arial" w:hAnsi="Arial" w:cs="Arial"/>
          <w:szCs w:val="22"/>
        </w:rPr>
      </w:pPr>
      <w:r w:rsidRPr="005B3285">
        <w:rPr>
          <w:rFonts w:ascii="Arial" w:eastAsia="Arial" w:hAnsi="Arial" w:cs="Arial"/>
          <w:szCs w:val="22"/>
        </w:rPr>
        <w:t>La monitorización de la eficacia y seguridad a largo plazo debe diseñarse de manera apropiada (por ejemplo, plan de muestreo, tratamiento de muestras, métodos analíticos, criterios de valoración) con el fin de maximizar la obtención de información, especialmente cuando se empleen métodos invasivos. Esto reviste especial importancia cuando el ATMP en investigación está destinado a proporcionar una persistencia de por vida de la actividad biológica y de los efectos del tratamiento. Consideraciones similares se aplican cuando los ATMP en investigación tienen un alto potencial de inmunogenicidad o requieren procedimientos relativamente invasivos para su administración. La persistencia del producto se evalúa determinando la presencia de células, vectores, virus, ácidos nucleicos, proteínas y otros productos en fluidos biológicos o tejidos. La actividad puede evaluarse midiendo, por ejemplo, la expresión génica o cambios en biomarcadores.</w:t>
      </w:r>
    </w:p>
    <w:p w:rsidR="00B51402" w:rsidRDefault="005B3285" w:rsidP="005B3285">
      <w:pPr>
        <w:pStyle w:val="NormalWeb"/>
        <w:spacing w:after="120"/>
        <w:jc w:val="both"/>
        <w:rPr>
          <w:rFonts w:ascii="Arial" w:eastAsia="Arial" w:hAnsi="Arial" w:cs="Arial"/>
          <w:szCs w:val="22"/>
        </w:rPr>
      </w:pPr>
      <w:r w:rsidRPr="005B3285">
        <w:rPr>
          <w:rFonts w:ascii="Arial" w:eastAsia="Arial" w:hAnsi="Arial" w:cs="Arial"/>
          <w:szCs w:val="22"/>
        </w:rPr>
        <w:t xml:space="preserve">Los pacientes pueden ser objeto de seguimiento dentro de un ensayo clínico o ser incluidos en un registro. La frecuencia y duración del seguimiento dependerán de las características del producto y del riesgo de aparición tardía de reacciones adversas (por ejemplo, </w:t>
      </w:r>
      <w:proofErr w:type="spellStart"/>
      <w:r w:rsidRPr="005B3285">
        <w:rPr>
          <w:rFonts w:ascii="Arial" w:eastAsia="Arial" w:hAnsi="Arial" w:cs="Arial"/>
          <w:szCs w:val="22"/>
        </w:rPr>
        <w:t>tumorigenicidad</w:t>
      </w:r>
      <w:proofErr w:type="spellEnd"/>
      <w:r w:rsidRPr="005B3285">
        <w:rPr>
          <w:rFonts w:ascii="Arial" w:eastAsia="Arial" w:hAnsi="Arial" w:cs="Arial"/>
          <w:szCs w:val="22"/>
        </w:rPr>
        <w:t>). El período de seguimiento debe acordarse caso por caso con la agencia reguladora. Puede solicitarse asesoramiento científico sobre el protocolo de seguimiento a largo plazo.</w:t>
      </w:r>
    </w:p>
    <w:p w:rsidR="002B273D" w:rsidRPr="002B273D" w:rsidRDefault="00B74D74" w:rsidP="002B273D">
      <w:pPr>
        <w:pStyle w:val="NormalWeb"/>
        <w:spacing w:after="120"/>
        <w:jc w:val="both"/>
        <w:rPr>
          <w:rFonts w:ascii="Arial" w:eastAsia="Arial" w:hAnsi="Arial" w:cs="Arial"/>
          <w:b/>
          <w:szCs w:val="22"/>
        </w:rPr>
      </w:pPr>
      <w:r>
        <w:rPr>
          <w:rFonts w:ascii="Arial" w:eastAsia="Arial" w:hAnsi="Arial" w:cs="Arial"/>
          <w:b/>
          <w:szCs w:val="22"/>
        </w:rPr>
        <w:lastRenderedPageBreak/>
        <w:t>9</w:t>
      </w:r>
      <w:r w:rsidR="002B273D" w:rsidRPr="002B273D">
        <w:rPr>
          <w:rFonts w:ascii="Arial" w:eastAsia="Arial" w:hAnsi="Arial" w:cs="Arial"/>
          <w:b/>
          <w:szCs w:val="22"/>
        </w:rPr>
        <w:t xml:space="preserve">. Combinaciones ATMP-dispositivo  </w:t>
      </w:r>
    </w:p>
    <w:p w:rsidR="002B273D" w:rsidRPr="002B273D" w:rsidRDefault="002B273D" w:rsidP="002B273D">
      <w:pPr>
        <w:pStyle w:val="NormalWeb"/>
        <w:spacing w:after="120"/>
        <w:jc w:val="both"/>
        <w:rPr>
          <w:rFonts w:ascii="Arial" w:eastAsia="Arial" w:hAnsi="Arial" w:cs="Arial"/>
          <w:szCs w:val="22"/>
        </w:rPr>
      </w:pPr>
      <w:r w:rsidRPr="002B273D">
        <w:rPr>
          <w:rFonts w:ascii="Arial" w:eastAsia="Arial" w:hAnsi="Arial" w:cs="Arial"/>
          <w:szCs w:val="22"/>
        </w:rPr>
        <w:t>Esta sección aborda las siguientes situaciones:</w:t>
      </w:r>
    </w:p>
    <w:p w:rsidR="002B273D" w:rsidRPr="002B273D" w:rsidRDefault="002B273D" w:rsidP="002B273D">
      <w:pPr>
        <w:pStyle w:val="NormalWeb"/>
        <w:spacing w:after="120"/>
        <w:jc w:val="both"/>
        <w:rPr>
          <w:rFonts w:ascii="Arial" w:eastAsia="Arial" w:hAnsi="Arial" w:cs="Arial"/>
          <w:szCs w:val="22"/>
        </w:rPr>
      </w:pPr>
      <w:r w:rsidRPr="002B273D">
        <w:rPr>
          <w:rFonts w:ascii="Arial" w:eastAsia="Arial" w:hAnsi="Arial" w:cs="Arial"/>
          <w:szCs w:val="22"/>
        </w:rPr>
        <w:t xml:space="preserve">• ATMP con dispositivos médicos </w:t>
      </w:r>
      <w:proofErr w:type="spellStart"/>
      <w:r w:rsidRPr="002B273D">
        <w:rPr>
          <w:rFonts w:ascii="Arial" w:eastAsia="Arial" w:hAnsi="Arial" w:cs="Arial"/>
          <w:szCs w:val="22"/>
        </w:rPr>
        <w:t>co</w:t>
      </w:r>
      <w:r>
        <w:rPr>
          <w:rFonts w:ascii="Arial" w:eastAsia="Arial" w:hAnsi="Arial" w:cs="Arial"/>
          <w:szCs w:val="22"/>
        </w:rPr>
        <w:t>-</w:t>
      </w:r>
      <w:r w:rsidRPr="002B273D">
        <w:rPr>
          <w:rFonts w:ascii="Arial" w:eastAsia="Arial" w:hAnsi="Arial" w:cs="Arial"/>
          <w:szCs w:val="22"/>
        </w:rPr>
        <w:t>empaquetados</w:t>
      </w:r>
      <w:proofErr w:type="spellEnd"/>
      <w:r w:rsidRPr="002B273D">
        <w:rPr>
          <w:rFonts w:ascii="Arial" w:eastAsia="Arial" w:hAnsi="Arial" w:cs="Arial"/>
          <w:szCs w:val="22"/>
        </w:rPr>
        <w:t>;</w:t>
      </w:r>
    </w:p>
    <w:p w:rsidR="002B273D" w:rsidRPr="002B273D" w:rsidRDefault="002B273D" w:rsidP="002B273D">
      <w:pPr>
        <w:pStyle w:val="NormalWeb"/>
        <w:spacing w:after="120"/>
        <w:jc w:val="both"/>
        <w:rPr>
          <w:rFonts w:ascii="Arial" w:eastAsia="Arial" w:hAnsi="Arial" w:cs="Arial"/>
          <w:szCs w:val="22"/>
        </w:rPr>
      </w:pPr>
      <w:r w:rsidRPr="002B273D">
        <w:rPr>
          <w:rFonts w:ascii="Arial" w:eastAsia="Arial" w:hAnsi="Arial" w:cs="Arial"/>
          <w:szCs w:val="22"/>
        </w:rPr>
        <w:t>• ATMP con dispositivos médicos referenciados;</w:t>
      </w:r>
    </w:p>
    <w:p w:rsidR="002B273D" w:rsidRPr="002B273D" w:rsidRDefault="002B273D" w:rsidP="002B273D">
      <w:pPr>
        <w:pStyle w:val="NormalWeb"/>
        <w:spacing w:after="120"/>
        <w:jc w:val="both"/>
        <w:rPr>
          <w:rFonts w:ascii="Arial" w:eastAsia="Arial" w:hAnsi="Arial" w:cs="Arial"/>
          <w:szCs w:val="22"/>
        </w:rPr>
      </w:pPr>
      <w:r w:rsidRPr="002B273D">
        <w:rPr>
          <w:rFonts w:ascii="Arial" w:eastAsia="Arial" w:hAnsi="Arial" w:cs="Arial"/>
          <w:szCs w:val="22"/>
        </w:rPr>
        <w:t>• ATMP con un dispositivo médico integral.</w:t>
      </w:r>
    </w:p>
    <w:p w:rsidR="002B273D" w:rsidRPr="002B273D" w:rsidRDefault="002B273D" w:rsidP="002B273D">
      <w:pPr>
        <w:pStyle w:val="NormalWeb"/>
        <w:spacing w:after="120"/>
        <w:jc w:val="both"/>
        <w:rPr>
          <w:rFonts w:ascii="Arial" w:eastAsia="Arial" w:hAnsi="Arial" w:cs="Arial"/>
          <w:szCs w:val="22"/>
        </w:rPr>
      </w:pPr>
      <w:r w:rsidRPr="002B273D">
        <w:rPr>
          <w:rFonts w:ascii="Arial" w:eastAsia="Arial" w:hAnsi="Arial" w:cs="Arial"/>
          <w:szCs w:val="22"/>
        </w:rPr>
        <w:t xml:space="preserve">Si se utiliza un dispositivo médico, su estatus regulatorio debe declararse explícitamente (por ejemplo, si cuenta con </w:t>
      </w:r>
      <w:r w:rsidR="00870355">
        <w:rPr>
          <w:rFonts w:ascii="Arial" w:eastAsia="Arial" w:hAnsi="Arial" w:cs="Arial"/>
          <w:szCs w:val="22"/>
        </w:rPr>
        <w:t>certificación</w:t>
      </w:r>
      <w:r w:rsidRPr="002B273D">
        <w:rPr>
          <w:rFonts w:ascii="Arial" w:eastAsia="Arial" w:hAnsi="Arial" w:cs="Arial"/>
          <w:szCs w:val="22"/>
        </w:rPr>
        <w:t xml:space="preserve"> para el uso previsto o no). Si está certificado para el uso previsto, debe proporcionarse la certificación.</w:t>
      </w:r>
    </w:p>
    <w:p w:rsidR="002B273D" w:rsidRPr="002B273D" w:rsidRDefault="002B273D" w:rsidP="002B273D">
      <w:pPr>
        <w:pStyle w:val="NormalWeb"/>
        <w:spacing w:after="120"/>
        <w:jc w:val="both"/>
        <w:rPr>
          <w:rFonts w:ascii="Arial" w:eastAsia="Arial" w:hAnsi="Arial" w:cs="Arial"/>
          <w:szCs w:val="22"/>
        </w:rPr>
      </w:pPr>
      <w:r w:rsidRPr="002B273D">
        <w:rPr>
          <w:rFonts w:ascii="Arial" w:eastAsia="Arial" w:hAnsi="Arial" w:cs="Arial"/>
          <w:szCs w:val="22"/>
        </w:rPr>
        <w:t>En las dos primeras situaciones, el dispositivo médico es no integral y constituye una entidad independiente sujeta a los requisitos de la legislación sobre dispositivos médicos. Reconociendo las diferentes legislaciones aplicables a medicamentos, ATMP y dispositivos médicos, en el contexto del ensayo clínico debe abordarse el posible impacto del dispositivo en la calidad, seguridad y/o eficacia del ATMP, y el uso seguro y eficaz del dispositivo médico en combinación con el ATMP debe estar respaldado por datos en el expediente de presentación.</w:t>
      </w:r>
    </w:p>
    <w:p w:rsidR="002B273D" w:rsidRPr="002B273D" w:rsidRDefault="002B273D" w:rsidP="002B273D">
      <w:pPr>
        <w:pStyle w:val="NormalWeb"/>
        <w:spacing w:after="120"/>
        <w:jc w:val="both"/>
        <w:rPr>
          <w:rFonts w:ascii="Arial" w:eastAsia="Arial" w:hAnsi="Arial" w:cs="Arial"/>
          <w:szCs w:val="22"/>
        </w:rPr>
      </w:pPr>
      <w:r w:rsidRPr="002B273D">
        <w:rPr>
          <w:rFonts w:ascii="Arial" w:eastAsia="Arial" w:hAnsi="Arial" w:cs="Arial"/>
          <w:szCs w:val="22"/>
        </w:rPr>
        <w:t xml:space="preserve">Los dispositivos médicos no integrales combinados con ATMP pueden desarrollarse de manera independiente o </w:t>
      </w:r>
      <w:proofErr w:type="spellStart"/>
      <w:r w:rsidRPr="002B273D">
        <w:rPr>
          <w:rFonts w:ascii="Arial" w:eastAsia="Arial" w:hAnsi="Arial" w:cs="Arial"/>
          <w:szCs w:val="22"/>
        </w:rPr>
        <w:t>co-desarrollarse</w:t>
      </w:r>
      <w:proofErr w:type="spellEnd"/>
      <w:r w:rsidRPr="002B273D">
        <w:rPr>
          <w:rFonts w:ascii="Arial" w:eastAsia="Arial" w:hAnsi="Arial" w:cs="Arial"/>
          <w:szCs w:val="22"/>
        </w:rPr>
        <w:t xml:space="preserve"> junto con el ATMP, en cuyo caso aún no estarían certificados. </w:t>
      </w:r>
      <w:r w:rsidR="00FC6560">
        <w:rPr>
          <w:rFonts w:ascii="Arial" w:eastAsia="Arial" w:hAnsi="Arial" w:cs="Arial"/>
          <w:szCs w:val="22"/>
        </w:rPr>
        <w:t>La certificación</w:t>
      </w:r>
      <w:r w:rsidRPr="002B273D">
        <w:rPr>
          <w:rFonts w:ascii="Arial" w:eastAsia="Arial" w:hAnsi="Arial" w:cs="Arial"/>
          <w:szCs w:val="22"/>
        </w:rPr>
        <w:t xml:space="preserve"> para el uso previsto debe obtenerse en paralelo con la autorización de comercialización para que el dispositivo pueda estar legalmente en el mercado. Para los dispositivos </w:t>
      </w:r>
      <w:proofErr w:type="spellStart"/>
      <w:r w:rsidRPr="002B273D">
        <w:rPr>
          <w:rFonts w:ascii="Arial" w:eastAsia="Arial" w:hAnsi="Arial" w:cs="Arial"/>
          <w:szCs w:val="22"/>
        </w:rPr>
        <w:t>co-desarrollados</w:t>
      </w:r>
      <w:proofErr w:type="spellEnd"/>
      <w:r w:rsidRPr="002B273D">
        <w:rPr>
          <w:rFonts w:ascii="Arial" w:eastAsia="Arial" w:hAnsi="Arial" w:cs="Arial"/>
          <w:szCs w:val="22"/>
        </w:rPr>
        <w:t>, un único protocolo de estudio puede servir para demostrar el perfil de eficacia y seguridad del ATMP y la idoneidad de uso del dispositivo. El protocolo deberá tener en cuenta los requisitos tanto de la legislación sobre dispositivos médicos como de la legislación sobre medicamentos, y deberá abordar las interacciones e interdependencias dispositivo-ATMP. La solicitud de ensayo clínico y la investigación clínica deberán presentarse en paralelo ante las autoridades competentes de medicamentos y de dispositivos médicos. En caso de que el protocolo no sea integrado, se requerirá una declaración de conformidad del dispositivo médico con los requisitos legales pertinentes de seguridad y rendimiento como parte del expediente de presentación del ensayo clínico.</w:t>
      </w:r>
    </w:p>
    <w:p w:rsidR="002B273D" w:rsidRPr="002B273D" w:rsidRDefault="002B273D" w:rsidP="002B273D">
      <w:pPr>
        <w:pStyle w:val="NormalWeb"/>
        <w:spacing w:after="120"/>
        <w:jc w:val="both"/>
        <w:rPr>
          <w:rFonts w:ascii="Arial" w:eastAsia="Arial" w:hAnsi="Arial" w:cs="Arial"/>
          <w:szCs w:val="22"/>
        </w:rPr>
      </w:pPr>
      <w:r w:rsidRPr="002B273D">
        <w:rPr>
          <w:rFonts w:ascii="Arial" w:eastAsia="Arial" w:hAnsi="Arial" w:cs="Arial"/>
          <w:szCs w:val="22"/>
        </w:rPr>
        <w:lastRenderedPageBreak/>
        <w:t xml:space="preserve">Cuando el ATMP tenga un componente de dispositivo médico integral, el producto global se rige por la legislación de medicamentos. Los datos científicos que respalden el componente del dispositivo deberán ser </w:t>
      </w:r>
      <w:proofErr w:type="gramStart"/>
      <w:r w:rsidRPr="002B273D">
        <w:rPr>
          <w:rFonts w:ascii="Arial" w:eastAsia="Arial" w:hAnsi="Arial" w:cs="Arial"/>
          <w:szCs w:val="22"/>
        </w:rPr>
        <w:t>proporcionales</w:t>
      </w:r>
      <w:proofErr w:type="gramEnd"/>
      <w:r w:rsidRPr="002B273D">
        <w:rPr>
          <w:rFonts w:ascii="Arial" w:eastAsia="Arial" w:hAnsi="Arial" w:cs="Arial"/>
          <w:szCs w:val="22"/>
        </w:rPr>
        <w:t xml:space="preserve"> a su función en el contexto del producto, es decir, como dispositivo de administración integral o parte del producto a administrar. Los datos que respalden el uso seguro y eficaz deben presentarse.</w:t>
      </w:r>
    </w:p>
    <w:p w:rsidR="00363513" w:rsidRPr="000A507F" w:rsidRDefault="000A507F" w:rsidP="002B273D">
      <w:pPr>
        <w:pStyle w:val="NormalWeb"/>
        <w:spacing w:after="120"/>
        <w:jc w:val="both"/>
        <w:rPr>
          <w:rFonts w:ascii="Arial" w:eastAsia="Arial" w:hAnsi="Arial" w:cs="Arial"/>
          <w:b/>
          <w:szCs w:val="22"/>
        </w:rPr>
      </w:pPr>
      <w:r w:rsidRPr="000A507F">
        <w:rPr>
          <w:rFonts w:ascii="Arial" w:eastAsia="Arial" w:hAnsi="Arial" w:cs="Arial"/>
          <w:b/>
          <w:szCs w:val="22"/>
        </w:rPr>
        <w:t>Ab</w:t>
      </w:r>
      <w:r w:rsidR="00363513" w:rsidRPr="000A507F">
        <w:rPr>
          <w:rFonts w:ascii="Arial" w:eastAsia="Arial" w:hAnsi="Arial" w:cs="Arial"/>
          <w:b/>
          <w:szCs w:val="22"/>
        </w:rPr>
        <w:t>reviaturas</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ATMP –</w:t>
      </w:r>
      <w:r>
        <w:rPr>
          <w:rFonts w:ascii="Arial" w:eastAsia="Arial" w:hAnsi="Arial" w:cs="Arial"/>
          <w:szCs w:val="22"/>
        </w:rPr>
        <w:t xml:space="preserve"> Medicamento</w:t>
      </w:r>
      <w:r w:rsidRPr="0053232B">
        <w:rPr>
          <w:rFonts w:ascii="Arial" w:eastAsia="Arial" w:hAnsi="Arial" w:cs="Arial"/>
          <w:szCs w:val="22"/>
        </w:rPr>
        <w:t xml:space="preserve"> de Terapia Avanzada</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CTD –</w:t>
      </w:r>
      <w:r>
        <w:rPr>
          <w:rFonts w:ascii="Arial" w:eastAsia="Arial" w:hAnsi="Arial" w:cs="Arial"/>
          <w:szCs w:val="22"/>
        </w:rPr>
        <w:t xml:space="preserve"> </w:t>
      </w:r>
      <w:r w:rsidRPr="0053232B">
        <w:rPr>
          <w:rFonts w:ascii="Arial" w:eastAsia="Arial" w:hAnsi="Arial" w:cs="Arial"/>
          <w:szCs w:val="22"/>
        </w:rPr>
        <w:t>Documento Técnico Común</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CTR – Reglamento de Ensayos Clínicos</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CTIS – Sistema de Información de Ensayos Clínicos</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CQA – Atributos Críticos de Calidad</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ESC –Célula Madre Embrionaria</w:t>
      </w:r>
    </w:p>
    <w:p w:rsidR="000A507F"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ERA – Evaluación del Riesgo Ambiental</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FIH – Primer en humanos</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GCP – Buenas Prácticas Clínicas</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GMP – Buenas Prácticas de Manufactura</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GMO – Organismo Genéticamente Modificado</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 xml:space="preserve">GTMP – </w:t>
      </w:r>
      <w:r>
        <w:rPr>
          <w:rFonts w:ascii="Arial" w:eastAsia="Arial" w:hAnsi="Arial" w:cs="Arial"/>
          <w:szCs w:val="22"/>
        </w:rPr>
        <w:t>Medicamento</w:t>
      </w:r>
      <w:r w:rsidRPr="0053232B">
        <w:rPr>
          <w:rFonts w:ascii="Arial" w:eastAsia="Arial" w:hAnsi="Arial" w:cs="Arial"/>
          <w:szCs w:val="22"/>
        </w:rPr>
        <w:t xml:space="preserve"> de Terapia Génica</w:t>
      </w:r>
    </w:p>
    <w:p w:rsidR="0053232B" w:rsidRPr="00E30510" w:rsidRDefault="0053232B" w:rsidP="0053232B">
      <w:pPr>
        <w:pStyle w:val="NormalWeb"/>
        <w:spacing w:after="120"/>
        <w:jc w:val="both"/>
        <w:rPr>
          <w:rFonts w:ascii="Arial" w:eastAsia="Arial" w:hAnsi="Arial" w:cs="Arial"/>
          <w:szCs w:val="22"/>
        </w:rPr>
      </w:pPr>
      <w:r w:rsidRPr="00E30510">
        <w:rPr>
          <w:rFonts w:ascii="Arial" w:eastAsia="Arial" w:hAnsi="Arial" w:cs="Arial"/>
          <w:szCs w:val="22"/>
        </w:rPr>
        <w:t>IB – Folleto del Investigador</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ICH – Consejo Internacional para la Armonización de Requisitos Técnicos de Productos Farmacéuticos para Uso Humano</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IMP – Producto Medicinal en Investigación</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lastRenderedPageBreak/>
        <w:t>IMPD – Expediente del Producto Medicinal en Investigación</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IPC – Controles en Proceso de Elaboración</w:t>
      </w:r>
    </w:p>
    <w:p w:rsidR="0053232B" w:rsidRPr="0053232B" w:rsidRDefault="0053232B" w:rsidP="0053232B">
      <w:pPr>
        <w:pStyle w:val="NormalWeb"/>
        <w:spacing w:after="120"/>
        <w:jc w:val="both"/>
        <w:rPr>
          <w:rFonts w:ascii="Arial" w:eastAsia="Arial" w:hAnsi="Arial" w:cs="Arial"/>
          <w:szCs w:val="22"/>
        </w:rPr>
      </w:pPr>
      <w:proofErr w:type="spellStart"/>
      <w:r w:rsidRPr="00723DF0">
        <w:rPr>
          <w:rFonts w:ascii="Arial" w:eastAsia="Arial" w:hAnsi="Arial" w:cs="Arial"/>
          <w:szCs w:val="22"/>
        </w:rPr>
        <w:t>iPS</w:t>
      </w:r>
      <w:proofErr w:type="spellEnd"/>
      <w:r w:rsidRPr="00723DF0">
        <w:rPr>
          <w:rFonts w:ascii="Arial" w:eastAsia="Arial" w:hAnsi="Arial" w:cs="Arial"/>
          <w:szCs w:val="22"/>
        </w:rPr>
        <w:t xml:space="preserve">(C) – </w:t>
      </w:r>
      <w:r w:rsidRPr="0053232B">
        <w:rPr>
          <w:rFonts w:ascii="Arial" w:eastAsia="Arial" w:hAnsi="Arial" w:cs="Arial"/>
          <w:szCs w:val="22"/>
        </w:rPr>
        <w:t xml:space="preserve">Célula </w:t>
      </w:r>
      <w:r w:rsidR="00723DF0">
        <w:rPr>
          <w:rFonts w:ascii="Arial" w:eastAsia="Arial" w:hAnsi="Arial" w:cs="Arial"/>
          <w:szCs w:val="22"/>
        </w:rPr>
        <w:t xml:space="preserve">Madre </w:t>
      </w:r>
      <w:r w:rsidRPr="0053232B">
        <w:rPr>
          <w:rFonts w:ascii="Arial" w:eastAsia="Arial" w:hAnsi="Arial" w:cs="Arial"/>
          <w:szCs w:val="22"/>
        </w:rPr>
        <w:t>Pluripotente Inducida</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INN – Denominación Común Internacional</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MA –Autorización de Comercialización de Medicamentos</w:t>
      </w:r>
    </w:p>
    <w:p w:rsidR="0053232B" w:rsidRPr="0053232B"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MAA –Solicitud de Comercialización de Medicamentos</w:t>
      </w:r>
    </w:p>
    <w:p w:rsidR="0053232B" w:rsidRPr="0053232B" w:rsidRDefault="0053232B" w:rsidP="0053232B">
      <w:pPr>
        <w:pStyle w:val="NormalWeb"/>
        <w:spacing w:after="120"/>
        <w:jc w:val="both"/>
        <w:rPr>
          <w:rFonts w:ascii="Arial" w:eastAsia="Arial" w:hAnsi="Arial" w:cs="Arial"/>
          <w:szCs w:val="22"/>
        </w:rPr>
      </w:pPr>
      <w:proofErr w:type="spellStart"/>
      <w:r w:rsidRPr="0053232B">
        <w:rPr>
          <w:rFonts w:ascii="Arial" w:eastAsia="Arial" w:hAnsi="Arial" w:cs="Arial"/>
          <w:szCs w:val="22"/>
        </w:rPr>
        <w:t>MoA</w:t>
      </w:r>
      <w:proofErr w:type="spellEnd"/>
      <w:r w:rsidRPr="0053232B">
        <w:rPr>
          <w:rFonts w:ascii="Arial" w:eastAsia="Arial" w:hAnsi="Arial" w:cs="Arial"/>
          <w:szCs w:val="22"/>
        </w:rPr>
        <w:t xml:space="preserve"> –</w:t>
      </w:r>
      <w:r w:rsidR="00C5592B">
        <w:rPr>
          <w:rFonts w:ascii="Arial" w:eastAsia="Arial" w:hAnsi="Arial" w:cs="Arial"/>
          <w:szCs w:val="22"/>
        </w:rPr>
        <w:t xml:space="preserve"> </w:t>
      </w:r>
      <w:r w:rsidRPr="0053232B">
        <w:rPr>
          <w:rFonts w:ascii="Arial" w:eastAsia="Arial" w:hAnsi="Arial" w:cs="Arial"/>
          <w:szCs w:val="22"/>
        </w:rPr>
        <w:t>Mecanismo de Acción</w:t>
      </w:r>
    </w:p>
    <w:p w:rsidR="0053232B" w:rsidRPr="00355291" w:rsidRDefault="0053232B" w:rsidP="0053232B">
      <w:pPr>
        <w:pStyle w:val="NormalWeb"/>
        <w:spacing w:after="120"/>
        <w:jc w:val="both"/>
        <w:rPr>
          <w:rFonts w:ascii="Arial" w:eastAsia="Arial" w:hAnsi="Arial" w:cs="Arial"/>
          <w:szCs w:val="22"/>
        </w:rPr>
      </w:pPr>
      <w:r w:rsidRPr="0053232B">
        <w:rPr>
          <w:rFonts w:ascii="Arial" w:eastAsia="Arial" w:hAnsi="Arial" w:cs="Arial"/>
          <w:szCs w:val="22"/>
        </w:rPr>
        <w:t>RCV – Virus Competente para la Replicación</w:t>
      </w:r>
    </w:p>
    <w:sectPr w:rsidR="0053232B" w:rsidRPr="00355291" w:rsidSect="001D4C77">
      <w:headerReference w:type="default" r:id="rId8"/>
      <w:footerReference w:type="default" r:id="rId9"/>
      <w:pgSz w:w="11906" w:h="16838"/>
      <w:pgMar w:top="357" w:right="1106" w:bottom="720" w:left="2160" w:header="0" w:footer="22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68A" w:rsidRDefault="00E3668A">
      <w:r>
        <w:separator/>
      </w:r>
    </w:p>
  </w:endnote>
  <w:endnote w:type="continuationSeparator" w:id="0">
    <w:p w:rsidR="00E3668A" w:rsidRDefault="00E3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20B" w:rsidRDefault="00AD020B">
    <w:pPr>
      <w:jc w:val="both"/>
      <w:rPr>
        <w:rFonts w:ascii="Arial" w:eastAsia="Arial" w:hAnsi="Arial" w:cs="Arial"/>
        <w:b/>
        <w:sz w:val="14"/>
        <w:szCs w:val="14"/>
      </w:rPr>
    </w:pPr>
  </w:p>
  <w:p w:rsidR="00AD020B" w:rsidRDefault="00AD020B">
    <w:pPr>
      <w:jc w:val="both"/>
      <w:rPr>
        <w:rFonts w:ascii="Arial" w:eastAsia="Arial" w:hAnsi="Arial" w:cs="Arial"/>
        <w:b/>
        <w:sz w:val="14"/>
        <w:szCs w:val="14"/>
      </w:rPr>
    </w:pPr>
  </w:p>
  <w:p w:rsidR="00E66E69" w:rsidRDefault="00E66E69">
    <w:pPr>
      <w:jc w:val="both"/>
      <w:rPr>
        <w:rFonts w:ascii="Arial" w:eastAsia="Arial" w:hAnsi="Arial" w:cs="Arial"/>
        <w:sz w:val="14"/>
        <w:szCs w:val="14"/>
      </w:rPr>
    </w:pPr>
    <w:r>
      <w:rPr>
        <w:rFonts w:ascii="Arial" w:eastAsia="Arial" w:hAnsi="Arial" w:cs="Arial"/>
        <w:b/>
        <w:sz w:val="14"/>
        <w:szCs w:val="14"/>
      </w:rPr>
      <w:t>Misión</w:t>
    </w:r>
    <w:r>
      <w:rPr>
        <w:rFonts w:ascii="Arial" w:eastAsia="Arial" w:hAnsi="Arial" w:cs="Arial"/>
        <w:sz w:val="14"/>
        <w:szCs w:val="14"/>
      </w:rPr>
      <w:t>: Regular, vigilar y fiscalizar productos de aplicación en medicina y otros asignados por ley, para garantizar la calidad, seguridad y eficacia de los mismos en beneficio de las personas, respondiendo a los desafíos de la innovación y promoviendo el desarrollo, a través de acciones coordinadas e integradas, sostenidas en normas técnicas.</w:t>
    </w:r>
  </w:p>
  <w:p w:rsidR="00E66E69" w:rsidRDefault="00E66E69">
    <w:pPr>
      <w:jc w:val="both"/>
      <w:rPr>
        <w:rFonts w:ascii="Arial" w:eastAsia="Arial" w:hAnsi="Arial" w:cs="Arial"/>
        <w:sz w:val="14"/>
        <w:szCs w:val="14"/>
      </w:rPr>
    </w:pPr>
    <w:r>
      <w:rPr>
        <w:rFonts w:ascii="Arial" w:eastAsia="Arial" w:hAnsi="Arial" w:cs="Arial"/>
        <w:b/>
        <w:sz w:val="14"/>
        <w:szCs w:val="14"/>
      </w:rPr>
      <w:t xml:space="preserve">Visión: </w:t>
    </w:r>
    <w:r>
      <w:rPr>
        <w:rFonts w:ascii="Arial" w:eastAsia="Arial" w:hAnsi="Arial" w:cs="Arial"/>
        <w:sz w:val="14"/>
        <w:szCs w:val="14"/>
      </w:rPr>
      <w:t>Ser una institución reguladora y fiscalizadora de Referencia Nacional e Internacional reconocida por su capacidad técnica, credibilidad y compromiso con la protección de la salud de la población y el desarrollo nacional.</w:t>
    </w:r>
  </w:p>
  <w:p w:rsidR="00E66E69" w:rsidRDefault="00E66E69">
    <w:pPr>
      <w:jc w:val="both"/>
      <w:rPr>
        <w:rFonts w:ascii="Arial" w:eastAsia="Arial" w:hAnsi="Arial" w:cs="Arial"/>
        <w:sz w:val="14"/>
        <w:szCs w:val="14"/>
      </w:rPr>
    </w:pPr>
    <w:r>
      <w:rPr>
        <w:rFonts w:ascii="Arial" w:eastAsia="Arial" w:hAnsi="Arial" w:cs="Arial"/>
        <w:sz w:val="14"/>
        <w:szCs w:val="14"/>
      </w:rPr>
      <w:t xml:space="preserve"> </w:t>
    </w:r>
  </w:p>
  <w:p w:rsidR="00E66E69" w:rsidRDefault="00E66E69">
    <w:pPr>
      <w:jc w:val="center"/>
      <w:rPr>
        <w:rFonts w:ascii="Arial" w:eastAsia="Arial" w:hAnsi="Arial" w:cs="Arial"/>
        <w:b/>
        <w:sz w:val="14"/>
        <w:szCs w:val="14"/>
      </w:rPr>
    </w:pPr>
    <w:r>
      <w:rPr>
        <w:rFonts w:ascii="Arial" w:eastAsia="Arial" w:hAnsi="Arial" w:cs="Arial"/>
        <w:sz w:val="14"/>
        <w:szCs w:val="14"/>
      </w:rPr>
      <w:t xml:space="preserve"> </w:t>
    </w:r>
    <w:r>
      <w:rPr>
        <w:rFonts w:ascii="Arial" w:eastAsia="Arial" w:hAnsi="Arial" w:cs="Arial"/>
        <w:b/>
        <w:sz w:val="14"/>
        <w:szCs w:val="14"/>
      </w:rPr>
      <w:t xml:space="preserve">Iturbe </w:t>
    </w:r>
    <w:proofErr w:type="spellStart"/>
    <w:r>
      <w:rPr>
        <w:rFonts w:ascii="Arial" w:eastAsia="Arial" w:hAnsi="Arial" w:cs="Arial"/>
        <w:b/>
        <w:sz w:val="14"/>
        <w:szCs w:val="14"/>
      </w:rPr>
      <w:t>Nº</w:t>
    </w:r>
    <w:proofErr w:type="spellEnd"/>
    <w:r>
      <w:rPr>
        <w:rFonts w:ascii="Arial" w:eastAsia="Arial" w:hAnsi="Arial" w:cs="Arial"/>
        <w:b/>
        <w:sz w:val="14"/>
        <w:szCs w:val="14"/>
      </w:rPr>
      <w:t xml:space="preserve"> 883 e/ Manuel Domínguez y Fulgencio R. Moreno</w:t>
    </w:r>
  </w:p>
  <w:p w:rsidR="00E66E69" w:rsidRDefault="00E66E69">
    <w:pPr>
      <w:jc w:val="center"/>
      <w:rPr>
        <w:rFonts w:ascii="Arial" w:eastAsia="Arial" w:hAnsi="Arial" w:cs="Arial"/>
        <w:b/>
        <w:sz w:val="14"/>
        <w:szCs w:val="14"/>
      </w:rPr>
    </w:pPr>
    <w:r>
      <w:rPr>
        <w:rFonts w:ascii="Arial" w:eastAsia="Arial" w:hAnsi="Arial" w:cs="Arial"/>
        <w:b/>
        <w:sz w:val="14"/>
        <w:szCs w:val="14"/>
      </w:rPr>
      <w:t>Asunción, Paraguay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68A" w:rsidRDefault="00E3668A">
      <w:r>
        <w:separator/>
      </w:r>
    </w:p>
  </w:footnote>
  <w:footnote w:type="continuationSeparator" w:id="0">
    <w:p w:rsidR="00E3668A" w:rsidRDefault="00E36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E69" w:rsidRDefault="00E66E69">
    <w:pPr>
      <w:keepNext/>
      <w:tabs>
        <w:tab w:val="left" w:pos="900"/>
      </w:tabs>
      <w:jc w:val="center"/>
      <w:rPr>
        <w:rFonts w:ascii="Book Antiqua" w:eastAsia="Book Antiqua" w:hAnsi="Book Antiqua" w:cs="Book Antiqua"/>
        <w:b/>
        <w:i/>
        <w:color w:val="808080"/>
        <w:sz w:val="20"/>
        <w:szCs w:val="20"/>
      </w:rPr>
    </w:pPr>
  </w:p>
  <w:p w:rsidR="00E66E69" w:rsidRDefault="00E66E69">
    <w:pPr>
      <w:pBdr>
        <w:top w:val="nil"/>
        <w:left w:val="nil"/>
        <w:bottom w:val="nil"/>
        <w:right w:val="nil"/>
        <w:between w:val="nil"/>
      </w:pBdr>
      <w:tabs>
        <w:tab w:val="center" w:pos="4252"/>
        <w:tab w:val="right" w:pos="8504"/>
      </w:tabs>
      <w:jc w:val="center"/>
      <w:rPr>
        <w:rFonts w:ascii="Arial" w:eastAsia="Arial" w:hAnsi="Arial" w:cs="Arial"/>
        <w:i/>
        <w:color w:val="000000"/>
        <w:sz w:val="22"/>
        <w:szCs w:val="22"/>
      </w:rPr>
    </w:pPr>
    <w:r>
      <w:rPr>
        <w:rFonts w:ascii="Arial" w:eastAsia="Arial" w:hAnsi="Arial" w:cs="Arial"/>
        <w:i/>
        <w:color w:val="000000"/>
        <w:sz w:val="22"/>
        <w:szCs w:val="22"/>
      </w:rPr>
      <w:t>“Sesquicentenario de la Epopeya Nacional: 1864 – 1870”</w:t>
    </w:r>
  </w:p>
  <w:p w:rsidR="00E66E69" w:rsidRDefault="00E66E69">
    <w:pPr>
      <w:pBdr>
        <w:top w:val="nil"/>
        <w:left w:val="nil"/>
        <w:bottom w:val="nil"/>
        <w:right w:val="nil"/>
        <w:between w:val="nil"/>
      </w:pBdr>
      <w:jc w:val="center"/>
      <w:rPr>
        <w:rFonts w:ascii="Arial" w:eastAsia="Arial" w:hAnsi="Arial" w:cs="Arial"/>
        <w:i/>
        <w:color w:val="000000"/>
        <w:sz w:val="10"/>
        <w:szCs w:val="10"/>
      </w:rPr>
    </w:pPr>
  </w:p>
  <w:p w:rsidR="00E66E69" w:rsidRDefault="00E66E69">
    <w:pPr>
      <w:pBdr>
        <w:top w:val="nil"/>
        <w:left w:val="nil"/>
        <w:bottom w:val="nil"/>
        <w:right w:val="nil"/>
        <w:between w:val="nil"/>
      </w:pBdr>
      <w:jc w:val="center"/>
      <w:rPr>
        <w:rFonts w:ascii="Arial" w:eastAsia="Arial" w:hAnsi="Arial" w:cs="Arial"/>
        <w:i/>
        <w:color w:val="000000"/>
        <w:sz w:val="22"/>
        <w:szCs w:val="22"/>
      </w:rPr>
    </w:pPr>
    <w:r>
      <w:rPr>
        <w:rFonts w:ascii="Arial" w:eastAsia="Arial" w:hAnsi="Arial" w:cs="Arial"/>
        <w:noProof/>
        <w:sz w:val="22"/>
        <w:szCs w:val="22"/>
      </w:rPr>
      <w:drawing>
        <wp:inline distT="114300" distB="114300" distL="114300" distR="114300">
          <wp:extent cx="590550" cy="5619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0550" cy="561975"/>
                  </a:xfrm>
                  <a:prstGeom prst="rect">
                    <a:avLst/>
                  </a:prstGeom>
                  <a:ln/>
                </pic:spPr>
              </pic:pic>
            </a:graphicData>
          </a:graphic>
        </wp:inline>
      </w:drawing>
    </w:r>
  </w:p>
  <w:p w:rsidR="00E66E69" w:rsidRDefault="00E66E69">
    <w:pPr>
      <w:pBdr>
        <w:top w:val="nil"/>
        <w:left w:val="nil"/>
        <w:bottom w:val="nil"/>
        <w:right w:val="nil"/>
        <w:between w:val="nil"/>
      </w:pBdr>
      <w:jc w:val="center"/>
      <w:rPr>
        <w:rFonts w:ascii="Arial" w:eastAsia="Arial" w:hAnsi="Arial" w:cs="Arial"/>
        <w:b/>
        <w:i/>
        <w:color w:val="000000"/>
        <w:sz w:val="10"/>
        <w:szCs w:val="10"/>
      </w:rPr>
    </w:pPr>
  </w:p>
  <w:p w:rsidR="00E66E69" w:rsidRDefault="00E66E69">
    <w:pPr>
      <w:pBdr>
        <w:top w:val="nil"/>
        <w:left w:val="nil"/>
        <w:bottom w:val="nil"/>
        <w:right w:val="nil"/>
        <w:between w:val="nil"/>
      </w:pBdr>
      <w:jc w:val="center"/>
      <w:rPr>
        <w:rFonts w:ascii="Arial" w:eastAsia="Arial" w:hAnsi="Arial" w:cs="Arial"/>
        <w:b/>
        <w:i/>
        <w:color w:val="000000"/>
        <w:sz w:val="22"/>
        <w:szCs w:val="22"/>
      </w:rPr>
    </w:pPr>
    <w:r>
      <w:rPr>
        <w:rFonts w:ascii="Arial" w:eastAsia="Arial" w:hAnsi="Arial" w:cs="Arial"/>
        <w:b/>
        <w:i/>
        <w:color w:val="000000"/>
        <w:sz w:val="22"/>
        <w:szCs w:val="22"/>
      </w:rPr>
      <w:t>Poder Ejecutivo</w:t>
    </w:r>
  </w:p>
  <w:p w:rsidR="00E66E69" w:rsidRDefault="00E66E69">
    <w:pPr>
      <w:pBdr>
        <w:top w:val="nil"/>
        <w:left w:val="nil"/>
        <w:bottom w:val="nil"/>
        <w:right w:val="nil"/>
        <w:between w:val="nil"/>
      </w:pBdr>
      <w:jc w:val="center"/>
      <w:rPr>
        <w:rFonts w:ascii="Arial" w:eastAsia="Arial" w:hAnsi="Arial" w:cs="Arial"/>
        <w:b/>
        <w:i/>
        <w:color w:val="000000"/>
        <w:sz w:val="22"/>
        <w:szCs w:val="22"/>
      </w:rPr>
    </w:pPr>
    <w:r>
      <w:rPr>
        <w:rFonts w:ascii="Arial" w:eastAsia="Arial" w:hAnsi="Arial" w:cs="Arial"/>
        <w:b/>
        <w:i/>
        <w:color w:val="000000"/>
        <w:sz w:val="22"/>
        <w:szCs w:val="22"/>
      </w:rPr>
      <w:t>Dirección Nacional de Vigilancia Sanitaria</w:t>
    </w:r>
  </w:p>
  <w:p w:rsidR="00E66E69" w:rsidRDefault="00E66E69">
    <w:pPr>
      <w:pStyle w:val="Ttulo1"/>
      <w:keepNext w:val="0"/>
      <w:widowControl w:val="0"/>
      <w:tabs>
        <w:tab w:val="left" w:pos="1204"/>
        <w:tab w:val="left" w:pos="1205"/>
      </w:tabs>
      <w:spacing w:line="261" w:lineRule="auto"/>
      <w:jc w:val="center"/>
      <w:rPr>
        <w:b/>
        <w:i/>
      </w:rPr>
    </w:pPr>
    <w:r>
      <w:rPr>
        <w:b/>
        <w:i/>
      </w:rPr>
      <w:t xml:space="preserve">Resolución DINAVISA </w:t>
    </w:r>
    <w:proofErr w:type="spellStart"/>
    <w:r>
      <w:rPr>
        <w:b/>
        <w:i/>
      </w:rPr>
      <w:t>N°</w:t>
    </w:r>
    <w:proofErr w:type="spellEnd"/>
    <w:r>
      <w:rPr>
        <w:b/>
        <w:i/>
      </w:rPr>
      <w:t xml:space="preserve"> _______</w:t>
    </w:r>
  </w:p>
  <w:p w:rsidR="00E66E69" w:rsidRDefault="00E66E69">
    <w:pPr>
      <w:pStyle w:val="Ttulo1"/>
      <w:keepNext w:val="0"/>
      <w:widowControl w:val="0"/>
      <w:tabs>
        <w:tab w:val="left" w:pos="1204"/>
        <w:tab w:val="left" w:pos="1205"/>
      </w:tabs>
      <w:spacing w:line="261" w:lineRule="auto"/>
      <w:rPr>
        <w:b/>
        <w:i/>
      </w:rPr>
    </w:pPr>
  </w:p>
  <w:p w:rsidR="00E66E69" w:rsidRDefault="00E66E69">
    <w:pPr>
      <w:pStyle w:val="Ttulo1"/>
      <w:keepNext w:val="0"/>
      <w:widowControl w:val="0"/>
      <w:tabs>
        <w:tab w:val="left" w:pos="1204"/>
        <w:tab w:val="left" w:pos="1205"/>
      </w:tabs>
      <w:spacing w:line="261" w:lineRule="auto"/>
      <w:rPr>
        <w:b/>
        <w:sz w:val="22"/>
        <w:szCs w:val="22"/>
      </w:rPr>
    </w:pPr>
    <w:bookmarkStart w:id="1" w:name="_Hlk216342490"/>
    <w:r w:rsidRPr="00BE49D8">
      <w:rPr>
        <w:b/>
        <w:sz w:val="22"/>
        <w:szCs w:val="22"/>
      </w:rPr>
      <w:t xml:space="preserve">POR LA CUAL SE </w:t>
    </w:r>
    <w:r>
      <w:rPr>
        <w:b/>
        <w:sz w:val="22"/>
        <w:szCs w:val="22"/>
      </w:rPr>
      <w:t>APRUEBA</w:t>
    </w:r>
    <w:r w:rsidRPr="00BE49D8">
      <w:rPr>
        <w:b/>
        <w:sz w:val="22"/>
        <w:szCs w:val="22"/>
      </w:rPr>
      <w:t xml:space="preserve"> LA GUÍA TÉCNICA PARA MEDICAMENTOS DE TERAPIAS AVANZADAS</w:t>
    </w:r>
    <w:r>
      <w:rPr>
        <w:b/>
        <w:sz w:val="22"/>
        <w:szCs w:val="22"/>
      </w:rPr>
      <w:t>.</w:t>
    </w:r>
    <w:bookmarkEnd w:id="1"/>
  </w:p>
  <w:p w:rsidR="00E66E69" w:rsidRDefault="00E66E69">
    <w:pPr>
      <w:tabs>
        <w:tab w:val="left" w:pos="0"/>
      </w:tabs>
      <w:jc w:val="both"/>
      <w:rPr>
        <w:rFonts w:ascii="Arial" w:eastAsia="Arial" w:hAnsi="Arial" w:cs="Arial"/>
        <w:b/>
      </w:rPr>
    </w:pPr>
  </w:p>
  <w:p w:rsidR="00E66E69" w:rsidRDefault="00E66E69" w:rsidP="003F6153">
    <w:pPr>
      <w:jc w:val="right"/>
      <w:rPr>
        <w:rFonts w:ascii="Arial" w:eastAsia="Arial" w:hAnsi="Arial" w:cs="Arial"/>
        <w:sz w:val="22"/>
        <w:szCs w:val="22"/>
      </w:rPr>
    </w:pPr>
    <w:r>
      <w:rPr>
        <w:rFonts w:ascii="Arial" w:eastAsia="Arial" w:hAnsi="Arial" w:cs="Arial"/>
        <w:sz w:val="22"/>
        <w:szCs w:val="22"/>
      </w:rPr>
      <w:t>Asunción, XX de XXXXX</w:t>
    </w:r>
    <w:r w:rsidRPr="003F6153">
      <w:rPr>
        <w:rFonts w:ascii="Arial" w:eastAsia="Arial" w:hAnsi="Arial" w:cs="Arial"/>
        <w:sz w:val="22"/>
        <w:szCs w:val="22"/>
      </w:rPr>
      <w:t xml:space="preserve"> </w:t>
    </w:r>
    <w:r>
      <w:rPr>
        <w:rFonts w:ascii="Arial" w:eastAsia="Arial" w:hAnsi="Arial" w:cs="Arial"/>
        <w:sz w:val="22"/>
        <w:szCs w:val="22"/>
      </w:rPr>
      <w:t>de 2025.</w:t>
    </w:r>
  </w:p>
  <w:p w:rsidR="00E66E69" w:rsidRDefault="00E66E69" w:rsidP="003F6153">
    <w:pPr>
      <w:tabs>
        <w:tab w:val="left" w:pos="0"/>
      </w:tabs>
      <w:jc w:val="right"/>
      <w:rPr>
        <w:rFonts w:ascii="Arial" w:eastAsia="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6D1"/>
    <w:multiLevelType w:val="hybridMultilevel"/>
    <w:tmpl w:val="362CB54A"/>
    <w:lvl w:ilvl="0" w:tplc="3C0A0015">
      <w:start w:val="1"/>
      <w:numFmt w:val="upp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0AC43562"/>
    <w:multiLevelType w:val="hybridMultilevel"/>
    <w:tmpl w:val="3F1C692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 w15:restartNumberingAfterBreak="0">
    <w:nsid w:val="0ADB2008"/>
    <w:multiLevelType w:val="hybridMultilevel"/>
    <w:tmpl w:val="3476EA1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 w15:restartNumberingAfterBreak="0">
    <w:nsid w:val="12725A19"/>
    <w:multiLevelType w:val="hybridMultilevel"/>
    <w:tmpl w:val="84C62ED4"/>
    <w:lvl w:ilvl="0" w:tplc="9AC62D26">
      <w:start w:val="1"/>
      <w:numFmt w:val="upperRoman"/>
      <w:lvlText w:val="%1."/>
      <w:lvlJc w:val="left"/>
      <w:pPr>
        <w:ind w:left="1080" w:hanging="72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0">
    <w:nsid w:val="2B505917"/>
    <w:multiLevelType w:val="hybridMultilevel"/>
    <w:tmpl w:val="38C65A6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5" w15:restartNumberingAfterBreak="0">
    <w:nsid w:val="31972394"/>
    <w:multiLevelType w:val="hybridMultilevel"/>
    <w:tmpl w:val="308CF0D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6" w15:restartNumberingAfterBreak="0">
    <w:nsid w:val="41D26968"/>
    <w:multiLevelType w:val="hybridMultilevel"/>
    <w:tmpl w:val="F9223AB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7" w15:restartNumberingAfterBreak="0">
    <w:nsid w:val="421C77AE"/>
    <w:multiLevelType w:val="hybridMultilevel"/>
    <w:tmpl w:val="7B6439D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8" w15:restartNumberingAfterBreak="0">
    <w:nsid w:val="4A224FF0"/>
    <w:multiLevelType w:val="hybridMultilevel"/>
    <w:tmpl w:val="BAACDA7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9" w15:restartNumberingAfterBreak="0">
    <w:nsid w:val="4CC142B9"/>
    <w:multiLevelType w:val="multilevel"/>
    <w:tmpl w:val="EB84E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340D4B"/>
    <w:multiLevelType w:val="multilevel"/>
    <w:tmpl w:val="4986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52522"/>
    <w:multiLevelType w:val="hybridMultilevel"/>
    <w:tmpl w:val="8F34238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15:restartNumberingAfterBreak="0">
    <w:nsid w:val="501B56AD"/>
    <w:multiLevelType w:val="hybridMultilevel"/>
    <w:tmpl w:val="FBEE948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3" w15:restartNumberingAfterBreak="0">
    <w:nsid w:val="5CE7441A"/>
    <w:multiLevelType w:val="hybridMultilevel"/>
    <w:tmpl w:val="B298091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4" w15:restartNumberingAfterBreak="0">
    <w:nsid w:val="70C32A21"/>
    <w:multiLevelType w:val="multilevel"/>
    <w:tmpl w:val="D1F67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3E170F"/>
    <w:multiLevelType w:val="hybridMultilevel"/>
    <w:tmpl w:val="903A6B4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7"/>
  </w:num>
  <w:num w:numId="5">
    <w:abstractNumId w:val="10"/>
  </w:num>
  <w:num w:numId="6">
    <w:abstractNumId w:val="14"/>
  </w:num>
  <w:num w:numId="7">
    <w:abstractNumId w:val="15"/>
  </w:num>
  <w:num w:numId="8">
    <w:abstractNumId w:val="6"/>
  </w:num>
  <w:num w:numId="9">
    <w:abstractNumId w:val="12"/>
  </w:num>
  <w:num w:numId="10">
    <w:abstractNumId w:val="2"/>
  </w:num>
  <w:num w:numId="11">
    <w:abstractNumId w:val="4"/>
  </w:num>
  <w:num w:numId="12">
    <w:abstractNumId w:val="13"/>
  </w:num>
  <w:num w:numId="13">
    <w:abstractNumId w:val="5"/>
  </w:num>
  <w:num w:numId="14">
    <w:abstractNumId w:val="8"/>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7D"/>
    <w:rsid w:val="0001266B"/>
    <w:rsid w:val="00012FA2"/>
    <w:rsid w:val="000150DD"/>
    <w:rsid w:val="00023939"/>
    <w:rsid w:val="0002712C"/>
    <w:rsid w:val="000304CC"/>
    <w:rsid w:val="00034B25"/>
    <w:rsid w:val="000366DC"/>
    <w:rsid w:val="0004327E"/>
    <w:rsid w:val="00043997"/>
    <w:rsid w:val="0004442B"/>
    <w:rsid w:val="00046D87"/>
    <w:rsid w:val="000511DC"/>
    <w:rsid w:val="00053412"/>
    <w:rsid w:val="00056702"/>
    <w:rsid w:val="00061265"/>
    <w:rsid w:val="00065F06"/>
    <w:rsid w:val="00074BDD"/>
    <w:rsid w:val="00080004"/>
    <w:rsid w:val="0008031F"/>
    <w:rsid w:val="00084EB4"/>
    <w:rsid w:val="00085968"/>
    <w:rsid w:val="00087D81"/>
    <w:rsid w:val="000934E6"/>
    <w:rsid w:val="00093FBE"/>
    <w:rsid w:val="00094659"/>
    <w:rsid w:val="000950C9"/>
    <w:rsid w:val="00095730"/>
    <w:rsid w:val="000A2243"/>
    <w:rsid w:val="000A46D6"/>
    <w:rsid w:val="000A507F"/>
    <w:rsid w:val="000B5CD4"/>
    <w:rsid w:val="000B6472"/>
    <w:rsid w:val="000B6E49"/>
    <w:rsid w:val="000B7715"/>
    <w:rsid w:val="000B796B"/>
    <w:rsid w:val="000D1313"/>
    <w:rsid w:val="000D1B7C"/>
    <w:rsid w:val="000D6ECE"/>
    <w:rsid w:val="000D7F08"/>
    <w:rsid w:val="000E038E"/>
    <w:rsid w:val="000E55BE"/>
    <w:rsid w:val="000E6800"/>
    <w:rsid w:val="000E7736"/>
    <w:rsid w:val="000F1AB9"/>
    <w:rsid w:val="000F1E4E"/>
    <w:rsid w:val="000F7FBD"/>
    <w:rsid w:val="00102FC7"/>
    <w:rsid w:val="00107563"/>
    <w:rsid w:val="00110B8E"/>
    <w:rsid w:val="00116D2B"/>
    <w:rsid w:val="00122E7D"/>
    <w:rsid w:val="0013724D"/>
    <w:rsid w:val="00141381"/>
    <w:rsid w:val="00142903"/>
    <w:rsid w:val="001457F0"/>
    <w:rsid w:val="00154F5F"/>
    <w:rsid w:val="00155B1D"/>
    <w:rsid w:val="00155C92"/>
    <w:rsid w:val="00166E21"/>
    <w:rsid w:val="00170A27"/>
    <w:rsid w:val="00173390"/>
    <w:rsid w:val="001743AE"/>
    <w:rsid w:val="00176E33"/>
    <w:rsid w:val="001827F9"/>
    <w:rsid w:val="0018661F"/>
    <w:rsid w:val="00186941"/>
    <w:rsid w:val="00193482"/>
    <w:rsid w:val="001A1B9A"/>
    <w:rsid w:val="001A489F"/>
    <w:rsid w:val="001A4922"/>
    <w:rsid w:val="001C2AC9"/>
    <w:rsid w:val="001C3B18"/>
    <w:rsid w:val="001D4C77"/>
    <w:rsid w:val="001E00D5"/>
    <w:rsid w:val="001E09BA"/>
    <w:rsid w:val="001F61F4"/>
    <w:rsid w:val="00202571"/>
    <w:rsid w:val="00206A61"/>
    <w:rsid w:val="00214671"/>
    <w:rsid w:val="00214D6C"/>
    <w:rsid w:val="00220FF0"/>
    <w:rsid w:val="002258B2"/>
    <w:rsid w:val="00232CAD"/>
    <w:rsid w:val="00234A5D"/>
    <w:rsid w:val="00237928"/>
    <w:rsid w:val="00240A39"/>
    <w:rsid w:val="002410E4"/>
    <w:rsid w:val="00242A4D"/>
    <w:rsid w:val="00243576"/>
    <w:rsid w:val="00245F95"/>
    <w:rsid w:val="00250023"/>
    <w:rsid w:val="00253B8E"/>
    <w:rsid w:val="002574A3"/>
    <w:rsid w:val="00260329"/>
    <w:rsid w:val="00264B91"/>
    <w:rsid w:val="00266D64"/>
    <w:rsid w:val="002670B1"/>
    <w:rsid w:val="002673D3"/>
    <w:rsid w:val="00270D14"/>
    <w:rsid w:val="00274220"/>
    <w:rsid w:val="00280D21"/>
    <w:rsid w:val="00281246"/>
    <w:rsid w:val="00282899"/>
    <w:rsid w:val="00282BAA"/>
    <w:rsid w:val="00285A6C"/>
    <w:rsid w:val="00291336"/>
    <w:rsid w:val="002914B5"/>
    <w:rsid w:val="0029275D"/>
    <w:rsid w:val="00292AFA"/>
    <w:rsid w:val="002A13CB"/>
    <w:rsid w:val="002A2C88"/>
    <w:rsid w:val="002A3750"/>
    <w:rsid w:val="002A5FB4"/>
    <w:rsid w:val="002B273D"/>
    <w:rsid w:val="002B57F2"/>
    <w:rsid w:val="002B640B"/>
    <w:rsid w:val="002D642B"/>
    <w:rsid w:val="002D69AA"/>
    <w:rsid w:val="002E0623"/>
    <w:rsid w:val="002E35E1"/>
    <w:rsid w:val="002E3E61"/>
    <w:rsid w:val="002E6638"/>
    <w:rsid w:val="002F56C1"/>
    <w:rsid w:val="003154BE"/>
    <w:rsid w:val="00315924"/>
    <w:rsid w:val="00340516"/>
    <w:rsid w:val="00346E24"/>
    <w:rsid w:val="00353CFE"/>
    <w:rsid w:val="00354F2D"/>
    <w:rsid w:val="00355291"/>
    <w:rsid w:val="00363513"/>
    <w:rsid w:val="00363C9A"/>
    <w:rsid w:val="00365FC5"/>
    <w:rsid w:val="00371359"/>
    <w:rsid w:val="00371B5E"/>
    <w:rsid w:val="00371FE1"/>
    <w:rsid w:val="00372EFF"/>
    <w:rsid w:val="003858A8"/>
    <w:rsid w:val="003859BB"/>
    <w:rsid w:val="0038797B"/>
    <w:rsid w:val="003931AA"/>
    <w:rsid w:val="00395106"/>
    <w:rsid w:val="003A0E83"/>
    <w:rsid w:val="003A11CF"/>
    <w:rsid w:val="003B5D14"/>
    <w:rsid w:val="003B7105"/>
    <w:rsid w:val="003C3C54"/>
    <w:rsid w:val="003C620D"/>
    <w:rsid w:val="003D0288"/>
    <w:rsid w:val="003D30E9"/>
    <w:rsid w:val="003D5D44"/>
    <w:rsid w:val="003D6661"/>
    <w:rsid w:val="003E313C"/>
    <w:rsid w:val="003E559E"/>
    <w:rsid w:val="003F19B1"/>
    <w:rsid w:val="003F20E3"/>
    <w:rsid w:val="003F3D22"/>
    <w:rsid w:val="003F4F78"/>
    <w:rsid w:val="003F55F7"/>
    <w:rsid w:val="003F6153"/>
    <w:rsid w:val="00400E84"/>
    <w:rsid w:val="00401AD6"/>
    <w:rsid w:val="00406025"/>
    <w:rsid w:val="00407794"/>
    <w:rsid w:val="00407A34"/>
    <w:rsid w:val="0041405E"/>
    <w:rsid w:val="0042075E"/>
    <w:rsid w:val="00420F25"/>
    <w:rsid w:val="004241D8"/>
    <w:rsid w:val="004311DF"/>
    <w:rsid w:val="004344A3"/>
    <w:rsid w:val="004361B6"/>
    <w:rsid w:val="00440646"/>
    <w:rsid w:val="00442B32"/>
    <w:rsid w:val="004430A5"/>
    <w:rsid w:val="004443C2"/>
    <w:rsid w:val="00447B18"/>
    <w:rsid w:val="00447FD7"/>
    <w:rsid w:val="00453B00"/>
    <w:rsid w:val="00455F39"/>
    <w:rsid w:val="00461BAE"/>
    <w:rsid w:val="0046321F"/>
    <w:rsid w:val="004719BE"/>
    <w:rsid w:val="00474946"/>
    <w:rsid w:val="00483E31"/>
    <w:rsid w:val="0048684A"/>
    <w:rsid w:val="0049349C"/>
    <w:rsid w:val="0049414D"/>
    <w:rsid w:val="004A0D25"/>
    <w:rsid w:val="004A4848"/>
    <w:rsid w:val="004A735E"/>
    <w:rsid w:val="004C4A03"/>
    <w:rsid w:val="004D0FC6"/>
    <w:rsid w:val="004E2834"/>
    <w:rsid w:val="004E2C58"/>
    <w:rsid w:val="004E674C"/>
    <w:rsid w:val="004F0F91"/>
    <w:rsid w:val="004F14F2"/>
    <w:rsid w:val="004F1629"/>
    <w:rsid w:val="004F5119"/>
    <w:rsid w:val="004F6588"/>
    <w:rsid w:val="004F7D76"/>
    <w:rsid w:val="00501239"/>
    <w:rsid w:val="005157AE"/>
    <w:rsid w:val="00522D1A"/>
    <w:rsid w:val="005243BE"/>
    <w:rsid w:val="0052445C"/>
    <w:rsid w:val="00531A66"/>
    <w:rsid w:val="0053232B"/>
    <w:rsid w:val="00532B7F"/>
    <w:rsid w:val="0053340E"/>
    <w:rsid w:val="005371BF"/>
    <w:rsid w:val="00540C57"/>
    <w:rsid w:val="00540EAA"/>
    <w:rsid w:val="00542253"/>
    <w:rsid w:val="00544D2F"/>
    <w:rsid w:val="00545AE7"/>
    <w:rsid w:val="0054655E"/>
    <w:rsid w:val="00552CFC"/>
    <w:rsid w:val="005556F9"/>
    <w:rsid w:val="00557CB0"/>
    <w:rsid w:val="0056191A"/>
    <w:rsid w:val="005639C5"/>
    <w:rsid w:val="0056481A"/>
    <w:rsid w:val="005668FC"/>
    <w:rsid w:val="00574A18"/>
    <w:rsid w:val="00577068"/>
    <w:rsid w:val="00586854"/>
    <w:rsid w:val="00591775"/>
    <w:rsid w:val="005B3285"/>
    <w:rsid w:val="005C03B5"/>
    <w:rsid w:val="005C2102"/>
    <w:rsid w:val="005D1656"/>
    <w:rsid w:val="005D1EFF"/>
    <w:rsid w:val="005E4B0A"/>
    <w:rsid w:val="005E7C54"/>
    <w:rsid w:val="005F24D9"/>
    <w:rsid w:val="005F31B8"/>
    <w:rsid w:val="005F3612"/>
    <w:rsid w:val="006047DD"/>
    <w:rsid w:val="00610780"/>
    <w:rsid w:val="0061481D"/>
    <w:rsid w:val="006205F8"/>
    <w:rsid w:val="0062254F"/>
    <w:rsid w:val="0062698F"/>
    <w:rsid w:val="0063200E"/>
    <w:rsid w:val="006323E9"/>
    <w:rsid w:val="00636C87"/>
    <w:rsid w:val="006374A0"/>
    <w:rsid w:val="00645C91"/>
    <w:rsid w:val="00650479"/>
    <w:rsid w:val="00655031"/>
    <w:rsid w:val="00662E8F"/>
    <w:rsid w:val="00665C46"/>
    <w:rsid w:val="00670C5A"/>
    <w:rsid w:val="00672044"/>
    <w:rsid w:val="00674D0C"/>
    <w:rsid w:val="0067505B"/>
    <w:rsid w:val="00675A05"/>
    <w:rsid w:val="00676981"/>
    <w:rsid w:val="00680310"/>
    <w:rsid w:val="0068250F"/>
    <w:rsid w:val="00684D51"/>
    <w:rsid w:val="006A1B7C"/>
    <w:rsid w:val="006A3F32"/>
    <w:rsid w:val="006A77EF"/>
    <w:rsid w:val="006B6259"/>
    <w:rsid w:val="006C0C79"/>
    <w:rsid w:val="006C242D"/>
    <w:rsid w:val="006C37C6"/>
    <w:rsid w:val="006C58F0"/>
    <w:rsid w:val="006D450E"/>
    <w:rsid w:val="006D5166"/>
    <w:rsid w:val="006D633E"/>
    <w:rsid w:val="006E0579"/>
    <w:rsid w:val="006E11CE"/>
    <w:rsid w:val="006E1790"/>
    <w:rsid w:val="006F3A5A"/>
    <w:rsid w:val="007026CD"/>
    <w:rsid w:val="00703F86"/>
    <w:rsid w:val="007163C4"/>
    <w:rsid w:val="00717DDE"/>
    <w:rsid w:val="00723DF0"/>
    <w:rsid w:val="00725193"/>
    <w:rsid w:val="0072717B"/>
    <w:rsid w:val="00727FD4"/>
    <w:rsid w:val="0073701F"/>
    <w:rsid w:val="007415C9"/>
    <w:rsid w:val="00742DFA"/>
    <w:rsid w:val="0075075C"/>
    <w:rsid w:val="00756B23"/>
    <w:rsid w:val="00756B95"/>
    <w:rsid w:val="00764DE5"/>
    <w:rsid w:val="00780230"/>
    <w:rsid w:val="00784883"/>
    <w:rsid w:val="00791D6B"/>
    <w:rsid w:val="007934CD"/>
    <w:rsid w:val="007A07B0"/>
    <w:rsid w:val="007A1CA1"/>
    <w:rsid w:val="007A5BF3"/>
    <w:rsid w:val="007B4B47"/>
    <w:rsid w:val="007B7B1D"/>
    <w:rsid w:val="007B7E6B"/>
    <w:rsid w:val="007C0920"/>
    <w:rsid w:val="007C6204"/>
    <w:rsid w:val="007D1E72"/>
    <w:rsid w:val="007D453E"/>
    <w:rsid w:val="007D7FC8"/>
    <w:rsid w:val="007E249E"/>
    <w:rsid w:val="007E4FE8"/>
    <w:rsid w:val="007E4FFC"/>
    <w:rsid w:val="007F294D"/>
    <w:rsid w:val="00805D4B"/>
    <w:rsid w:val="008119C3"/>
    <w:rsid w:val="00813C1A"/>
    <w:rsid w:val="0082479A"/>
    <w:rsid w:val="008337D5"/>
    <w:rsid w:val="00833B26"/>
    <w:rsid w:val="00836B64"/>
    <w:rsid w:val="00844675"/>
    <w:rsid w:val="0084625E"/>
    <w:rsid w:val="00850F61"/>
    <w:rsid w:val="00852164"/>
    <w:rsid w:val="0085297C"/>
    <w:rsid w:val="008558CF"/>
    <w:rsid w:val="0086044E"/>
    <w:rsid w:val="00870355"/>
    <w:rsid w:val="008706FF"/>
    <w:rsid w:val="00871458"/>
    <w:rsid w:val="00875BD9"/>
    <w:rsid w:val="00885CF2"/>
    <w:rsid w:val="008902F9"/>
    <w:rsid w:val="008926DE"/>
    <w:rsid w:val="00892E4C"/>
    <w:rsid w:val="00893724"/>
    <w:rsid w:val="00894467"/>
    <w:rsid w:val="00894B2C"/>
    <w:rsid w:val="008A6075"/>
    <w:rsid w:val="008B0B71"/>
    <w:rsid w:val="008B5F7E"/>
    <w:rsid w:val="008C2910"/>
    <w:rsid w:val="008D604F"/>
    <w:rsid w:val="008E099A"/>
    <w:rsid w:val="008E30C6"/>
    <w:rsid w:val="008E3BE0"/>
    <w:rsid w:val="008E5F4D"/>
    <w:rsid w:val="008F340D"/>
    <w:rsid w:val="008F36CA"/>
    <w:rsid w:val="008F536A"/>
    <w:rsid w:val="008F6ACF"/>
    <w:rsid w:val="0090272F"/>
    <w:rsid w:val="00903186"/>
    <w:rsid w:val="00904165"/>
    <w:rsid w:val="00906862"/>
    <w:rsid w:val="00914347"/>
    <w:rsid w:val="0093002E"/>
    <w:rsid w:val="0094654C"/>
    <w:rsid w:val="0095036C"/>
    <w:rsid w:val="00952F80"/>
    <w:rsid w:val="00963BA6"/>
    <w:rsid w:val="009641F0"/>
    <w:rsid w:val="00966E0A"/>
    <w:rsid w:val="009749D8"/>
    <w:rsid w:val="00976914"/>
    <w:rsid w:val="00997ADE"/>
    <w:rsid w:val="00997C25"/>
    <w:rsid w:val="009A63BE"/>
    <w:rsid w:val="009A64E6"/>
    <w:rsid w:val="009A7659"/>
    <w:rsid w:val="009B53EB"/>
    <w:rsid w:val="009C48B8"/>
    <w:rsid w:val="009C499E"/>
    <w:rsid w:val="009C5113"/>
    <w:rsid w:val="009E35DB"/>
    <w:rsid w:val="009F1BDD"/>
    <w:rsid w:val="009F3F9F"/>
    <w:rsid w:val="009F71CA"/>
    <w:rsid w:val="00A02971"/>
    <w:rsid w:val="00A064C4"/>
    <w:rsid w:val="00A0685C"/>
    <w:rsid w:val="00A1436C"/>
    <w:rsid w:val="00A15750"/>
    <w:rsid w:val="00A161A3"/>
    <w:rsid w:val="00A175DC"/>
    <w:rsid w:val="00A225F8"/>
    <w:rsid w:val="00A22B21"/>
    <w:rsid w:val="00A25EE3"/>
    <w:rsid w:val="00A32AEB"/>
    <w:rsid w:val="00A32E8E"/>
    <w:rsid w:val="00A45E1B"/>
    <w:rsid w:val="00A5048D"/>
    <w:rsid w:val="00A5393F"/>
    <w:rsid w:val="00A56556"/>
    <w:rsid w:val="00A57CE8"/>
    <w:rsid w:val="00A635E1"/>
    <w:rsid w:val="00A676F6"/>
    <w:rsid w:val="00A741B5"/>
    <w:rsid w:val="00A8059F"/>
    <w:rsid w:val="00A83FF6"/>
    <w:rsid w:val="00A86D0F"/>
    <w:rsid w:val="00A86E34"/>
    <w:rsid w:val="00A90B57"/>
    <w:rsid w:val="00AA1267"/>
    <w:rsid w:val="00AA192C"/>
    <w:rsid w:val="00AA3772"/>
    <w:rsid w:val="00AB0114"/>
    <w:rsid w:val="00AB30BA"/>
    <w:rsid w:val="00AB54E8"/>
    <w:rsid w:val="00AB5E40"/>
    <w:rsid w:val="00AB7453"/>
    <w:rsid w:val="00AD020B"/>
    <w:rsid w:val="00AD2D27"/>
    <w:rsid w:val="00AD37C2"/>
    <w:rsid w:val="00AD5D44"/>
    <w:rsid w:val="00AE048A"/>
    <w:rsid w:val="00AE49D9"/>
    <w:rsid w:val="00AE4C56"/>
    <w:rsid w:val="00AF20DA"/>
    <w:rsid w:val="00AF2A9B"/>
    <w:rsid w:val="00B03235"/>
    <w:rsid w:val="00B03D22"/>
    <w:rsid w:val="00B13BE0"/>
    <w:rsid w:val="00B14BCC"/>
    <w:rsid w:val="00B176BF"/>
    <w:rsid w:val="00B26BFB"/>
    <w:rsid w:val="00B2735A"/>
    <w:rsid w:val="00B27F60"/>
    <w:rsid w:val="00B35FEE"/>
    <w:rsid w:val="00B37E89"/>
    <w:rsid w:val="00B41D85"/>
    <w:rsid w:val="00B437B3"/>
    <w:rsid w:val="00B43AA9"/>
    <w:rsid w:val="00B45730"/>
    <w:rsid w:val="00B51402"/>
    <w:rsid w:val="00B54EB6"/>
    <w:rsid w:val="00B63688"/>
    <w:rsid w:val="00B72290"/>
    <w:rsid w:val="00B74D74"/>
    <w:rsid w:val="00B75799"/>
    <w:rsid w:val="00B77381"/>
    <w:rsid w:val="00B80519"/>
    <w:rsid w:val="00B83307"/>
    <w:rsid w:val="00B8365D"/>
    <w:rsid w:val="00B8628D"/>
    <w:rsid w:val="00B866A8"/>
    <w:rsid w:val="00B9377E"/>
    <w:rsid w:val="00BA0AF2"/>
    <w:rsid w:val="00BB4C06"/>
    <w:rsid w:val="00BC39EC"/>
    <w:rsid w:val="00BC513D"/>
    <w:rsid w:val="00BD08A2"/>
    <w:rsid w:val="00BD0EE0"/>
    <w:rsid w:val="00BD273B"/>
    <w:rsid w:val="00BE040B"/>
    <w:rsid w:val="00BE49D8"/>
    <w:rsid w:val="00BF2B9C"/>
    <w:rsid w:val="00BF30B5"/>
    <w:rsid w:val="00BF4ED9"/>
    <w:rsid w:val="00BF5001"/>
    <w:rsid w:val="00BF5BA9"/>
    <w:rsid w:val="00C004AB"/>
    <w:rsid w:val="00C02DF5"/>
    <w:rsid w:val="00C02E17"/>
    <w:rsid w:val="00C04DA2"/>
    <w:rsid w:val="00C05451"/>
    <w:rsid w:val="00C05FA5"/>
    <w:rsid w:val="00C132A3"/>
    <w:rsid w:val="00C13B81"/>
    <w:rsid w:val="00C158D0"/>
    <w:rsid w:val="00C16C56"/>
    <w:rsid w:val="00C22B5B"/>
    <w:rsid w:val="00C22CF8"/>
    <w:rsid w:val="00C364A0"/>
    <w:rsid w:val="00C42CB5"/>
    <w:rsid w:val="00C43226"/>
    <w:rsid w:val="00C51345"/>
    <w:rsid w:val="00C52906"/>
    <w:rsid w:val="00C556CB"/>
    <w:rsid w:val="00C5592B"/>
    <w:rsid w:val="00C62410"/>
    <w:rsid w:val="00C641EF"/>
    <w:rsid w:val="00C76B3D"/>
    <w:rsid w:val="00C809AF"/>
    <w:rsid w:val="00C84A95"/>
    <w:rsid w:val="00C9495B"/>
    <w:rsid w:val="00CA0E41"/>
    <w:rsid w:val="00CA1D9F"/>
    <w:rsid w:val="00CA3CAC"/>
    <w:rsid w:val="00CA55B1"/>
    <w:rsid w:val="00CA6236"/>
    <w:rsid w:val="00CA7613"/>
    <w:rsid w:val="00CB4F29"/>
    <w:rsid w:val="00CC05E3"/>
    <w:rsid w:val="00CC1080"/>
    <w:rsid w:val="00CC2995"/>
    <w:rsid w:val="00CC3DE5"/>
    <w:rsid w:val="00CC5418"/>
    <w:rsid w:val="00CD05F4"/>
    <w:rsid w:val="00CE093C"/>
    <w:rsid w:val="00CE5878"/>
    <w:rsid w:val="00CE77FD"/>
    <w:rsid w:val="00CF0AE0"/>
    <w:rsid w:val="00D112EB"/>
    <w:rsid w:val="00D1254A"/>
    <w:rsid w:val="00D12F22"/>
    <w:rsid w:val="00D13516"/>
    <w:rsid w:val="00D14BE8"/>
    <w:rsid w:val="00D253EA"/>
    <w:rsid w:val="00D3331F"/>
    <w:rsid w:val="00D3347D"/>
    <w:rsid w:val="00D3426A"/>
    <w:rsid w:val="00D422F1"/>
    <w:rsid w:val="00D518B9"/>
    <w:rsid w:val="00D55935"/>
    <w:rsid w:val="00D56FC4"/>
    <w:rsid w:val="00D65C53"/>
    <w:rsid w:val="00D66568"/>
    <w:rsid w:val="00D72B3A"/>
    <w:rsid w:val="00D768EF"/>
    <w:rsid w:val="00D84644"/>
    <w:rsid w:val="00D84924"/>
    <w:rsid w:val="00D919D6"/>
    <w:rsid w:val="00D93091"/>
    <w:rsid w:val="00DA1D2E"/>
    <w:rsid w:val="00DA2FDF"/>
    <w:rsid w:val="00DA5843"/>
    <w:rsid w:val="00DA7E5B"/>
    <w:rsid w:val="00DB1C65"/>
    <w:rsid w:val="00DB33F2"/>
    <w:rsid w:val="00DB5D3A"/>
    <w:rsid w:val="00DC192B"/>
    <w:rsid w:val="00DC2A6E"/>
    <w:rsid w:val="00DC4599"/>
    <w:rsid w:val="00DD034F"/>
    <w:rsid w:val="00DE57CF"/>
    <w:rsid w:val="00DF3761"/>
    <w:rsid w:val="00DF4826"/>
    <w:rsid w:val="00E00AE7"/>
    <w:rsid w:val="00E042BD"/>
    <w:rsid w:val="00E11B49"/>
    <w:rsid w:val="00E15B1E"/>
    <w:rsid w:val="00E30510"/>
    <w:rsid w:val="00E3668A"/>
    <w:rsid w:val="00E45689"/>
    <w:rsid w:val="00E51BD1"/>
    <w:rsid w:val="00E54991"/>
    <w:rsid w:val="00E559EA"/>
    <w:rsid w:val="00E55C56"/>
    <w:rsid w:val="00E61543"/>
    <w:rsid w:val="00E66E69"/>
    <w:rsid w:val="00E776F7"/>
    <w:rsid w:val="00E81733"/>
    <w:rsid w:val="00E84F1A"/>
    <w:rsid w:val="00E9184A"/>
    <w:rsid w:val="00E91C1E"/>
    <w:rsid w:val="00EA29EA"/>
    <w:rsid w:val="00EA4C11"/>
    <w:rsid w:val="00EB175E"/>
    <w:rsid w:val="00EB3942"/>
    <w:rsid w:val="00EB595C"/>
    <w:rsid w:val="00EB6039"/>
    <w:rsid w:val="00EB6090"/>
    <w:rsid w:val="00EC2D71"/>
    <w:rsid w:val="00EC49BF"/>
    <w:rsid w:val="00EC61F5"/>
    <w:rsid w:val="00EC6A2E"/>
    <w:rsid w:val="00ED3CD0"/>
    <w:rsid w:val="00EE54AF"/>
    <w:rsid w:val="00EE79F3"/>
    <w:rsid w:val="00EF1037"/>
    <w:rsid w:val="00EF1309"/>
    <w:rsid w:val="00EF6B28"/>
    <w:rsid w:val="00F05936"/>
    <w:rsid w:val="00F16F89"/>
    <w:rsid w:val="00F270EA"/>
    <w:rsid w:val="00F305AF"/>
    <w:rsid w:val="00F30A8D"/>
    <w:rsid w:val="00F3152E"/>
    <w:rsid w:val="00F337A2"/>
    <w:rsid w:val="00F379F5"/>
    <w:rsid w:val="00F403D6"/>
    <w:rsid w:val="00F52E14"/>
    <w:rsid w:val="00F61772"/>
    <w:rsid w:val="00F7277D"/>
    <w:rsid w:val="00F73A53"/>
    <w:rsid w:val="00F7565B"/>
    <w:rsid w:val="00F80272"/>
    <w:rsid w:val="00F919E5"/>
    <w:rsid w:val="00F96457"/>
    <w:rsid w:val="00FA23A4"/>
    <w:rsid w:val="00FB6FD5"/>
    <w:rsid w:val="00FB7C71"/>
    <w:rsid w:val="00FC326C"/>
    <w:rsid w:val="00FC34F4"/>
    <w:rsid w:val="00FC5D6B"/>
    <w:rsid w:val="00FC6560"/>
    <w:rsid w:val="00FD131F"/>
    <w:rsid w:val="00FD204C"/>
    <w:rsid w:val="00FF20B6"/>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A6E6"/>
  <w15:docId w15:val="{78789108-2CCE-466C-B90D-01CFC9FE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P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96A"/>
    <w:rPr>
      <w:lang w:eastAsia="es-ES"/>
    </w:rPr>
  </w:style>
  <w:style w:type="paragraph" w:styleId="Ttulo1">
    <w:name w:val="heading 1"/>
    <w:basedOn w:val="Normal"/>
    <w:next w:val="Normal"/>
    <w:link w:val="Ttulo1Car"/>
    <w:uiPriority w:val="9"/>
    <w:qFormat/>
    <w:rsid w:val="000C796A"/>
    <w:pPr>
      <w:keepNext/>
      <w:jc w:val="both"/>
      <w:outlineLvl w:val="0"/>
    </w:pPr>
    <w:rPr>
      <w:rFonts w:ascii="Arial" w:hAnsi="Arial"/>
      <w:szCs w:val="20"/>
    </w:rPr>
  </w:style>
  <w:style w:type="paragraph" w:styleId="Ttulo2">
    <w:name w:val="heading 2"/>
    <w:basedOn w:val="Normal"/>
    <w:next w:val="Normal"/>
    <w:link w:val="Ttulo2Car"/>
    <w:uiPriority w:val="9"/>
    <w:semiHidden/>
    <w:unhideWhenUsed/>
    <w:qFormat/>
    <w:rsid w:val="007664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766401"/>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rsid w:val="000C796A"/>
    <w:pPr>
      <w:tabs>
        <w:tab w:val="center" w:pos="4252"/>
        <w:tab w:val="right" w:pos="8504"/>
      </w:tabs>
      <w:overflowPunct w:val="0"/>
      <w:autoSpaceDE w:val="0"/>
      <w:autoSpaceDN w:val="0"/>
      <w:adjustRightInd w:val="0"/>
      <w:jc w:val="both"/>
      <w:textAlignment w:val="baseline"/>
    </w:pPr>
    <w:rPr>
      <w:rFonts w:ascii="Arial Rounded MT Bold" w:hAnsi="Arial Rounded MT Bold"/>
      <w:szCs w:val="20"/>
      <w:lang w:val="es-ES_tradnl"/>
    </w:rPr>
  </w:style>
  <w:style w:type="paragraph" w:styleId="Descripcin">
    <w:name w:val="caption"/>
    <w:basedOn w:val="Normal"/>
    <w:next w:val="Normal"/>
    <w:qFormat/>
    <w:rsid w:val="000C796A"/>
    <w:pPr>
      <w:ind w:right="4160"/>
      <w:jc w:val="center"/>
    </w:pPr>
    <w:rPr>
      <w:rFonts w:ascii="Courier New" w:hAnsi="Courier New"/>
      <w:b/>
      <w:i/>
      <w:sz w:val="20"/>
      <w:szCs w:val="20"/>
      <w:lang w:val="es-ES_tradnl"/>
    </w:rPr>
  </w:style>
  <w:style w:type="paragraph" w:styleId="Piedepgina">
    <w:name w:val="footer"/>
    <w:basedOn w:val="Normal"/>
    <w:link w:val="PiedepginaCar"/>
    <w:uiPriority w:val="99"/>
    <w:rsid w:val="00305733"/>
    <w:pPr>
      <w:tabs>
        <w:tab w:val="center" w:pos="4419"/>
        <w:tab w:val="right" w:pos="8838"/>
      </w:tabs>
    </w:pPr>
  </w:style>
  <w:style w:type="character" w:customStyle="1" w:styleId="PiedepginaCar">
    <w:name w:val="Pie de página Car"/>
    <w:link w:val="Piedepgina"/>
    <w:uiPriority w:val="99"/>
    <w:rsid w:val="00305733"/>
    <w:rPr>
      <w:sz w:val="24"/>
      <w:szCs w:val="24"/>
      <w:lang w:val="es-ES" w:eastAsia="es-ES"/>
    </w:rPr>
  </w:style>
  <w:style w:type="paragraph" w:styleId="Textoindependiente2">
    <w:name w:val="Body Text 2"/>
    <w:basedOn w:val="Normal"/>
    <w:link w:val="Textoindependiente2Car"/>
    <w:rsid w:val="001B374E"/>
    <w:pPr>
      <w:spacing w:after="120" w:line="480" w:lineRule="auto"/>
    </w:pPr>
    <w:rPr>
      <w:lang w:val="es-PY" w:eastAsia="es-PY"/>
    </w:rPr>
  </w:style>
  <w:style w:type="character" w:customStyle="1" w:styleId="Textoindependiente2Car">
    <w:name w:val="Texto independiente 2 Car"/>
    <w:link w:val="Textoindependiente2"/>
    <w:rsid w:val="001B374E"/>
    <w:rPr>
      <w:sz w:val="24"/>
      <w:szCs w:val="24"/>
      <w:lang w:val="es-PY" w:eastAsia="es-PY"/>
    </w:rPr>
  </w:style>
  <w:style w:type="character" w:styleId="Refdecomentario">
    <w:name w:val="annotation reference"/>
    <w:uiPriority w:val="99"/>
    <w:rsid w:val="00916FD6"/>
    <w:rPr>
      <w:sz w:val="16"/>
      <w:szCs w:val="16"/>
    </w:rPr>
  </w:style>
  <w:style w:type="paragraph" w:styleId="Textocomentario">
    <w:name w:val="annotation text"/>
    <w:basedOn w:val="Normal"/>
    <w:link w:val="TextocomentarioCar"/>
    <w:uiPriority w:val="99"/>
    <w:rsid w:val="00916FD6"/>
    <w:rPr>
      <w:sz w:val="20"/>
      <w:szCs w:val="20"/>
    </w:rPr>
  </w:style>
  <w:style w:type="character" w:customStyle="1" w:styleId="TextocomentarioCar">
    <w:name w:val="Texto comentario Car"/>
    <w:basedOn w:val="Fuentedeprrafopredeter"/>
    <w:link w:val="Textocomentario"/>
    <w:uiPriority w:val="99"/>
    <w:rsid w:val="00916FD6"/>
  </w:style>
  <w:style w:type="paragraph" w:styleId="Asuntodelcomentario">
    <w:name w:val="annotation subject"/>
    <w:basedOn w:val="Textocomentario"/>
    <w:next w:val="Textocomentario"/>
    <w:link w:val="AsuntodelcomentarioCar"/>
    <w:uiPriority w:val="99"/>
    <w:rsid w:val="00916FD6"/>
    <w:rPr>
      <w:b/>
      <w:bCs/>
    </w:rPr>
  </w:style>
  <w:style w:type="character" w:customStyle="1" w:styleId="AsuntodelcomentarioCar">
    <w:name w:val="Asunto del comentario Car"/>
    <w:link w:val="Asuntodelcomentario"/>
    <w:uiPriority w:val="99"/>
    <w:rsid w:val="00916FD6"/>
    <w:rPr>
      <w:b/>
      <w:bCs/>
    </w:rPr>
  </w:style>
  <w:style w:type="paragraph" w:styleId="Textodeglobo">
    <w:name w:val="Balloon Text"/>
    <w:basedOn w:val="Normal"/>
    <w:link w:val="TextodegloboCar"/>
    <w:uiPriority w:val="99"/>
    <w:rsid w:val="00916FD6"/>
    <w:rPr>
      <w:rFonts w:ascii="Tahoma" w:hAnsi="Tahoma"/>
      <w:sz w:val="16"/>
      <w:szCs w:val="16"/>
    </w:rPr>
  </w:style>
  <w:style w:type="character" w:customStyle="1" w:styleId="TextodegloboCar">
    <w:name w:val="Texto de globo Car"/>
    <w:link w:val="Textodeglobo"/>
    <w:uiPriority w:val="99"/>
    <w:rsid w:val="00916FD6"/>
    <w:rPr>
      <w:rFonts w:ascii="Tahoma" w:hAnsi="Tahoma" w:cs="Tahoma"/>
      <w:sz w:val="16"/>
      <w:szCs w:val="16"/>
    </w:rPr>
  </w:style>
  <w:style w:type="paragraph" w:styleId="Prrafodelista">
    <w:name w:val="List Paragraph"/>
    <w:basedOn w:val="Normal"/>
    <w:uiPriority w:val="34"/>
    <w:qFormat/>
    <w:rsid w:val="00BD6D3B"/>
    <w:pPr>
      <w:ind w:left="708"/>
    </w:pPr>
  </w:style>
  <w:style w:type="paragraph" w:styleId="Revisin">
    <w:name w:val="Revision"/>
    <w:hidden/>
    <w:uiPriority w:val="99"/>
    <w:semiHidden/>
    <w:rsid w:val="00BD6D3B"/>
    <w:rPr>
      <w:lang w:eastAsia="es-ES"/>
    </w:rPr>
  </w:style>
  <w:style w:type="character" w:customStyle="1" w:styleId="EncabezadoCar">
    <w:name w:val="Encabezado Car"/>
    <w:link w:val="Encabezado"/>
    <w:uiPriority w:val="99"/>
    <w:rsid w:val="00C97FA5"/>
    <w:rPr>
      <w:rFonts w:ascii="Arial Rounded MT Bold" w:hAnsi="Arial Rounded MT Bold"/>
      <w:sz w:val="24"/>
      <w:lang w:val="es-ES_tradnl"/>
    </w:rPr>
  </w:style>
  <w:style w:type="paragraph" w:styleId="NormalWeb">
    <w:name w:val="Normal (Web)"/>
    <w:basedOn w:val="Normal"/>
    <w:uiPriority w:val="99"/>
    <w:rsid w:val="003400CF"/>
    <w:pPr>
      <w:spacing w:before="100" w:beforeAutospacing="1" w:after="100" w:afterAutospacing="1"/>
    </w:pPr>
    <w:rPr>
      <w:rFonts w:eastAsia="SimSun"/>
      <w:lang w:val="es-PY" w:eastAsia="zh-CN"/>
    </w:rPr>
  </w:style>
  <w:style w:type="paragraph" w:customStyle="1" w:styleId="Default">
    <w:name w:val="Default"/>
    <w:rsid w:val="00F65B15"/>
    <w:pPr>
      <w:autoSpaceDE w:val="0"/>
      <w:autoSpaceDN w:val="0"/>
      <w:adjustRightInd w:val="0"/>
    </w:pPr>
    <w:rPr>
      <w:color w:val="000000"/>
      <w:lang w:eastAsia="es-ES"/>
    </w:rPr>
  </w:style>
  <w:style w:type="paragraph" w:styleId="Mapadeldocumento">
    <w:name w:val="Document Map"/>
    <w:basedOn w:val="Normal"/>
    <w:link w:val="MapadeldocumentoCar"/>
    <w:rsid w:val="004A3EC2"/>
    <w:pPr>
      <w:shd w:val="clear" w:color="auto" w:fill="000080"/>
    </w:pPr>
    <w:rPr>
      <w:rFonts w:ascii="Tahoma" w:hAnsi="Tahoma"/>
      <w:sz w:val="20"/>
      <w:szCs w:val="20"/>
    </w:rPr>
  </w:style>
  <w:style w:type="character" w:customStyle="1" w:styleId="MapadeldocumentoCar">
    <w:name w:val="Mapa del documento Car"/>
    <w:link w:val="Mapadeldocumento"/>
    <w:rsid w:val="004A3EC2"/>
    <w:rPr>
      <w:rFonts w:ascii="Tahoma" w:hAnsi="Tahoma" w:cs="Tahoma"/>
      <w:shd w:val="clear" w:color="auto" w:fill="000080"/>
      <w:lang w:val="es-ES" w:eastAsia="es-ES"/>
    </w:rPr>
  </w:style>
  <w:style w:type="character" w:styleId="Nmerodepgina">
    <w:name w:val="page number"/>
    <w:rsid w:val="004A3EC2"/>
  </w:style>
  <w:style w:type="paragraph" w:styleId="Textoindependiente">
    <w:name w:val="Body Text"/>
    <w:basedOn w:val="Normal"/>
    <w:link w:val="TextoindependienteCar"/>
    <w:rsid w:val="004A3EC2"/>
    <w:pPr>
      <w:widowControl w:val="0"/>
      <w:tabs>
        <w:tab w:val="left" w:pos="3240"/>
      </w:tabs>
      <w:autoSpaceDE w:val="0"/>
      <w:autoSpaceDN w:val="0"/>
      <w:jc w:val="both"/>
    </w:pPr>
    <w:rPr>
      <w:rFonts w:ascii="Arial" w:hAnsi="Arial"/>
      <w:sz w:val="20"/>
      <w:szCs w:val="20"/>
      <w:lang w:val="pt-BR" w:eastAsia="pt-BR"/>
    </w:rPr>
  </w:style>
  <w:style w:type="character" w:customStyle="1" w:styleId="TextoindependienteCar">
    <w:name w:val="Texto independiente Car"/>
    <w:link w:val="Textoindependiente"/>
    <w:rsid w:val="004A3EC2"/>
    <w:rPr>
      <w:rFonts w:ascii="Arial" w:hAnsi="Arial" w:cs="Arial"/>
      <w:lang w:val="pt-BR" w:eastAsia="pt-BR"/>
    </w:rPr>
  </w:style>
  <w:style w:type="character" w:customStyle="1" w:styleId="Ttulo1Car">
    <w:name w:val="Título 1 Car"/>
    <w:basedOn w:val="Fuentedeprrafopredeter"/>
    <w:link w:val="Ttulo1"/>
    <w:uiPriority w:val="9"/>
    <w:rsid w:val="003A2346"/>
    <w:rPr>
      <w:rFonts w:ascii="Arial" w:hAnsi="Arial"/>
      <w:sz w:val="24"/>
      <w:lang w:val="es-ES" w:eastAsia="es-ES"/>
    </w:rPr>
  </w:style>
  <w:style w:type="paragraph" w:styleId="Sinespaciado">
    <w:name w:val="No Spacing"/>
    <w:uiPriority w:val="1"/>
    <w:qFormat/>
    <w:rsid w:val="003A2346"/>
    <w:rPr>
      <w:rFonts w:ascii="Calibri" w:eastAsia="Calibri" w:hAnsi="Calibri"/>
      <w:sz w:val="22"/>
      <w:szCs w:val="22"/>
      <w:lang w:val="es-PY" w:eastAsia="en-US"/>
    </w:rPr>
  </w:style>
  <w:style w:type="table" w:styleId="Tablaconcuadrcula">
    <w:name w:val="Table Grid"/>
    <w:basedOn w:val="Tablanormal"/>
    <w:rsid w:val="004B0E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bsica1">
    <w:name w:val="Table Simple 1"/>
    <w:basedOn w:val="Tablanormal"/>
    <w:rsid w:val="00B3400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B3400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B3400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rsid w:val="00B3400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B3400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B3400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5">
    <w:name w:val="Table Columns 5"/>
    <w:basedOn w:val="Tablanormal"/>
    <w:rsid w:val="00B3400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efectos3D3">
    <w:name w:val="Table 3D effects 3"/>
    <w:basedOn w:val="Tablanormal"/>
    <w:rsid w:val="00B3400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rsid w:val="00B3400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rsid w:val="007854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7854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ndard">
    <w:name w:val="Standard"/>
    <w:rsid w:val="003B6AA2"/>
    <w:pPr>
      <w:suppressAutoHyphens/>
      <w:autoSpaceDN w:val="0"/>
      <w:textAlignment w:val="baseline"/>
    </w:pPr>
    <w:rPr>
      <w:kern w:val="3"/>
      <w:sz w:val="22"/>
      <w:szCs w:val="22"/>
      <w:lang w:eastAsia="es-ES" w:bidi="es-ES"/>
    </w:rPr>
  </w:style>
  <w:style w:type="table" w:customStyle="1" w:styleId="Tablanormal31">
    <w:name w:val="Tabla normal 31"/>
    <w:basedOn w:val="Tablanormal"/>
    <w:uiPriority w:val="43"/>
    <w:rsid w:val="004677F9"/>
    <w:rPr>
      <w:rFonts w:asciiTheme="minorHAnsi" w:eastAsiaTheme="minorHAnsi" w:hAnsiTheme="minorHAnsi" w:cstheme="minorBidi"/>
      <w:sz w:val="22"/>
      <w:szCs w:val="22"/>
      <w:lang w:val="es-PY"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2Car">
    <w:name w:val="Título 2 Car"/>
    <w:basedOn w:val="Fuentedeprrafopredeter"/>
    <w:link w:val="Ttulo2"/>
    <w:semiHidden/>
    <w:rsid w:val="00766401"/>
    <w:rPr>
      <w:rFonts w:asciiTheme="majorHAnsi" w:eastAsiaTheme="majorEastAsia" w:hAnsiTheme="majorHAnsi" w:cstheme="majorBidi"/>
      <w:b/>
      <w:bCs/>
      <w:color w:val="4472C4" w:themeColor="accent1"/>
      <w:sz w:val="26"/>
      <w:szCs w:val="26"/>
      <w:lang w:val="es-ES" w:eastAsia="es-ES"/>
    </w:rPr>
  </w:style>
  <w:style w:type="character" w:customStyle="1" w:styleId="Ttulo5Car">
    <w:name w:val="Título 5 Car"/>
    <w:basedOn w:val="Fuentedeprrafopredeter"/>
    <w:link w:val="Ttulo5"/>
    <w:semiHidden/>
    <w:rsid w:val="00766401"/>
    <w:rPr>
      <w:rFonts w:asciiTheme="majorHAnsi" w:eastAsiaTheme="majorEastAsia" w:hAnsiTheme="majorHAnsi" w:cstheme="majorBidi"/>
      <w:color w:val="1F3763" w:themeColor="accent1" w:themeShade="7F"/>
      <w:sz w:val="24"/>
      <w:szCs w:val="24"/>
      <w:lang w:val="es-ES" w:eastAsia="es-ES"/>
    </w:rPr>
  </w:style>
  <w:style w:type="character" w:styleId="Hipervnculo">
    <w:name w:val="Hyperlink"/>
    <w:basedOn w:val="Fuentedeprrafopredeter"/>
    <w:uiPriority w:val="99"/>
    <w:unhideWhenUsed/>
    <w:rsid w:val="00A876C5"/>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C51FB4"/>
    <w:rPr>
      <w:color w:val="605E5C"/>
      <w:shd w:val="clear" w:color="auto" w:fill="E1DFDD"/>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character" w:styleId="Textoennegrita">
    <w:name w:val="Strong"/>
    <w:basedOn w:val="Fuentedeprrafopredeter"/>
    <w:uiPriority w:val="22"/>
    <w:qFormat/>
    <w:rsid w:val="00EA2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0183">
      <w:bodyDiv w:val="1"/>
      <w:marLeft w:val="0"/>
      <w:marRight w:val="0"/>
      <w:marTop w:val="0"/>
      <w:marBottom w:val="0"/>
      <w:divBdr>
        <w:top w:val="none" w:sz="0" w:space="0" w:color="auto"/>
        <w:left w:val="none" w:sz="0" w:space="0" w:color="auto"/>
        <w:bottom w:val="none" w:sz="0" w:space="0" w:color="auto"/>
        <w:right w:val="none" w:sz="0" w:space="0" w:color="auto"/>
      </w:divBdr>
    </w:div>
    <w:div w:id="1074283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f6oZNRUI7QjcrgqURfY+GyyhbQ==">CgMxLjAyDmguaDVnazI2dnc4Nm9mMg5oLjNhNHQ3cXgzczkzMDgAaj0KNXN1Z2dlc3RJZEltcG9ydDk5ZmQ2NjA3LTA3YjItNGUyZS1iZWI3LTg1MTZhYzExZTllN18xEgRERUxMciExZ2RtQW5NOHVITFhpVWtOSlRPNFUyWm8zazNzRUhvb3g=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98</Pages>
  <Words>35133</Words>
  <Characters>193233</Characters>
  <Application>Microsoft Office Word</Application>
  <DocSecurity>0</DocSecurity>
  <Lines>1610</Lines>
  <Paragraphs>455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lzelada</dc:creator>
  <cp:lastModifiedBy>DELL</cp:lastModifiedBy>
  <cp:revision>4</cp:revision>
  <dcterms:created xsi:type="dcterms:W3CDTF">2026-05-20T16:58:00Z</dcterms:created>
  <dcterms:modified xsi:type="dcterms:W3CDTF">2026-05-20T17:35:00Z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2024-03-11T17:08:50Z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f273e378-8695-42d6-9323-eb23cd59e31d</vt:lpwstr>
  </property>
  <property fmtid="{D5CDD505-2E9C-101B-9397-08002B2CF9AE}" pid="8" name="MSIP_Label_d9088468-0951-4aef-9cc3-0a346e475ddc_ContentBits">
    <vt:lpwstr>0</vt:lpwstr>
  </property>
  <property fmtid="{D5CDD505-2E9C-101B-9397-08002B2CF9AE}" pid="9" name="MSIP_Label_7f850223-87a8-40c3-9eb2-432606efca2a_Enabled">
    <vt:lpwstr>true</vt:lpwstr>
  </property>
  <property fmtid="{D5CDD505-2E9C-101B-9397-08002B2CF9AE}" pid="10" name="MSIP_Label_7f850223-87a8-40c3-9eb2-432606efca2a_SetDate">
    <vt:lpwstr>2024-03-21T18:07:00Z</vt:lpwstr>
  </property>
  <property fmtid="{D5CDD505-2E9C-101B-9397-08002B2CF9AE}" pid="11" name="MSIP_Label_7f850223-87a8-40c3-9eb2-432606efca2a_Method">
    <vt:lpwstr>Standard</vt:lpwstr>
  </property>
  <property fmtid="{D5CDD505-2E9C-101B-9397-08002B2CF9AE}" pid="12" name="MSIP_Label_7f850223-87a8-40c3-9eb2-432606efca2a_Name">
    <vt:lpwstr>7f850223-87a8-40c3-9eb2-432606efca2a</vt:lpwstr>
  </property>
  <property fmtid="{D5CDD505-2E9C-101B-9397-08002B2CF9AE}" pid="13" name="MSIP_Label_7f850223-87a8-40c3-9eb2-432606efca2a_SiteId">
    <vt:lpwstr>fcb2b37b-5da0-466b-9b83-0014b67a7c78</vt:lpwstr>
  </property>
  <property fmtid="{D5CDD505-2E9C-101B-9397-08002B2CF9AE}" pid="14" name="MSIP_Label_7f850223-87a8-40c3-9eb2-432606efca2a_ActionId">
    <vt:lpwstr>6fc6eb84-34f1-46b5-ba50-1e8a35024199</vt:lpwstr>
  </property>
  <property fmtid="{D5CDD505-2E9C-101B-9397-08002B2CF9AE}" pid="15" name="MSIP_Label_7f850223-87a8-40c3-9eb2-432606efca2a_ContentBits">
    <vt:lpwstr>0</vt:lpwstr>
  </property>
</Properties>
</file>