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3E3" w:rsidRDefault="00D763E3">
      <w:pPr>
        <w:spacing w:after="0" w:line="240" w:lineRule="auto"/>
        <w:jc w:val="both"/>
        <w:rPr>
          <w:rFonts w:ascii="Arial" w:eastAsia="Arial" w:hAnsi="Arial" w:cs="Arial"/>
        </w:rPr>
      </w:pPr>
      <w:bookmarkStart w:id="0" w:name="_GoBack"/>
      <w:bookmarkEnd w:id="0"/>
    </w:p>
    <w:p w:rsidR="00D763E3" w:rsidRDefault="00CF0991">
      <w:pPr>
        <w:spacing w:after="0" w:line="240" w:lineRule="auto"/>
        <w:jc w:val="both"/>
        <w:rPr>
          <w:rFonts w:ascii="Arial" w:eastAsia="Arial" w:hAnsi="Arial" w:cs="Arial"/>
        </w:rPr>
      </w:pPr>
      <w:r>
        <w:rPr>
          <w:rFonts w:ascii="Arial" w:eastAsia="Arial" w:hAnsi="Arial" w:cs="Arial"/>
        </w:rPr>
        <w:t>VISTO:</w:t>
      </w:r>
    </w:p>
    <w:p w:rsidR="00D763E3" w:rsidRDefault="00CF0991">
      <w:pPr>
        <w:spacing w:after="0" w:line="240" w:lineRule="auto"/>
        <w:ind w:firstLine="708"/>
        <w:jc w:val="both"/>
        <w:rPr>
          <w:rFonts w:ascii="Arial" w:eastAsia="Arial" w:hAnsi="Arial" w:cs="Arial"/>
        </w:rPr>
      </w:pPr>
      <w:r>
        <w:rPr>
          <w:rFonts w:ascii="Arial" w:eastAsia="Arial" w:hAnsi="Arial" w:cs="Arial"/>
        </w:rPr>
        <w:t xml:space="preserve">El Memorando </w:t>
      </w:r>
      <w:r w:rsidR="00B503CC">
        <w:rPr>
          <w:rFonts w:ascii="Arial" w:eastAsia="Arial" w:hAnsi="Arial" w:cs="Arial"/>
        </w:rPr>
        <w:t xml:space="preserve">DGV </w:t>
      </w:r>
      <w:proofErr w:type="spellStart"/>
      <w:r>
        <w:rPr>
          <w:rFonts w:ascii="Arial" w:eastAsia="Arial" w:hAnsi="Arial" w:cs="Arial"/>
        </w:rPr>
        <w:t>Nº</w:t>
      </w:r>
      <w:proofErr w:type="spellEnd"/>
      <w:r>
        <w:rPr>
          <w:rFonts w:ascii="Arial" w:eastAsia="Arial" w:hAnsi="Arial" w:cs="Arial"/>
        </w:rPr>
        <w:t xml:space="preserve"> </w:t>
      </w:r>
      <w:proofErr w:type="spellStart"/>
      <w:r>
        <w:rPr>
          <w:rFonts w:ascii="Arial" w:eastAsia="Arial" w:hAnsi="Arial" w:cs="Arial"/>
        </w:rPr>
        <w:t>xxxx</w:t>
      </w:r>
      <w:proofErr w:type="spellEnd"/>
      <w:r>
        <w:rPr>
          <w:rFonts w:ascii="Arial" w:eastAsia="Arial" w:hAnsi="Arial" w:cs="Arial"/>
        </w:rPr>
        <w:t xml:space="preserve">, mediante el cual la Dirección General de </w:t>
      </w:r>
      <w:r w:rsidR="00B503CC">
        <w:rPr>
          <w:rFonts w:ascii="Arial" w:eastAsia="Arial" w:hAnsi="Arial" w:cs="Arial"/>
        </w:rPr>
        <w:t>Vigilancia</w:t>
      </w:r>
      <w:r>
        <w:rPr>
          <w:rFonts w:ascii="Arial" w:eastAsia="Arial" w:hAnsi="Arial" w:cs="Arial"/>
        </w:rPr>
        <w:t xml:space="preserve"> </w:t>
      </w:r>
      <w:proofErr w:type="spellStart"/>
      <w:r>
        <w:rPr>
          <w:rFonts w:ascii="Arial" w:eastAsia="Arial" w:hAnsi="Arial" w:cs="Arial"/>
        </w:rPr>
        <w:t>xxxxxxx</w:t>
      </w:r>
      <w:proofErr w:type="spellEnd"/>
      <w:r>
        <w:rPr>
          <w:rFonts w:ascii="Arial" w:eastAsia="Arial" w:hAnsi="Arial" w:cs="Arial"/>
        </w:rPr>
        <w:t>; y,</w:t>
      </w:r>
    </w:p>
    <w:p w:rsidR="00D763E3" w:rsidRDefault="00D763E3">
      <w:pPr>
        <w:spacing w:after="0" w:line="240" w:lineRule="auto"/>
        <w:jc w:val="both"/>
        <w:rPr>
          <w:rFonts w:ascii="Arial" w:eastAsia="Arial" w:hAnsi="Arial" w:cs="Arial"/>
        </w:rPr>
      </w:pPr>
    </w:p>
    <w:p w:rsidR="00D763E3" w:rsidRDefault="00CF0991">
      <w:pPr>
        <w:spacing w:after="0" w:line="240" w:lineRule="auto"/>
        <w:jc w:val="both"/>
        <w:rPr>
          <w:rFonts w:ascii="Arial" w:eastAsia="Arial" w:hAnsi="Arial" w:cs="Arial"/>
        </w:rPr>
      </w:pPr>
      <w:r>
        <w:rPr>
          <w:rFonts w:ascii="Arial" w:eastAsia="Arial" w:hAnsi="Arial" w:cs="Arial"/>
        </w:rPr>
        <w:t>CONSIDERANDO:</w:t>
      </w:r>
    </w:p>
    <w:p w:rsidR="00D763E3" w:rsidRDefault="00D763E3">
      <w:pPr>
        <w:spacing w:after="0" w:line="240" w:lineRule="auto"/>
        <w:jc w:val="both"/>
        <w:rPr>
          <w:rFonts w:ascii="Arial" w:eastAsia="Arial" w:hAnsi="Arial" w:cs="Arial"/>
        </w:rPr>
      </w:pPr>
    </w:p>
    <w:p w:rsidR="00D763E3" w:rsidRDefault="00CF0991">
      <w:pPr>
        <w:spacing w:after="0" w:line="240" w:lineRule="auto"/>
        <w:ind w:firstLine="720"/>
        <w:jc w:val="both"/>
        <w:rPr>
          <w:rFonts w:ascii="Arial" w:eastAsia="Arial" w:hAnsi="Arial" w:cs="Arial"/>
        </w:rPr>
      </w:pPr>
      <w:r>
        <w:rPr>
          <w:rFonts w:ascii="Arial" w:eastAsia="Arial" w:hAnsi="Arial" w:cs="Arial"/>
        </w:rPr>
        <w:t>Que la Constitución Nacional, en su Artículo 68, establece que el Estado protegerá y promoverá la salud como derecho fundamental de la persona, y su Artículo 27 dispone que la ley regulará la publicidad para la mejor protección de los derechos del consumidor.</w:t>
      </w:r>
    </w:p>
    <w:p w:rsidR="00D763E3" w:rsidRDefault="00D763E3">
      <w:pPr>
        <w:spacing w:after="0" w:line="240" w:lineRule="auto"/>
        <w:jc w:val="both"/>
        <w:rPr>
          <w:rFonts w:ascii="Arial" w:eastAsia="Arial" w:hAnsi="Arial" w:cs="Arial"/>
        </w:rPr>
      </w:pPr>
    </w:p>
    <w:p w:rsidR="00D763E3" w:rsidRDefault="00CF0991">
      <w:pPr>
        <w:spacing w:after="0" w:line="240" w:lineRule="auto"/>
        <w:ind w:firstLine="720"/>
        <w:jc w:val="both"/>
        <w:rPr>
          <w:rFonts w:ascii="Arial" w:eastAsia="Arial" w:hAnsi="Arial" w:cs="Arial"/>
        </w:rPr>
      </w:pPr>
      <w:r>
        <w:rPr>
          <w:rFonts w:ascii="Arial" w:eastAsia="Arial" w:hAnsi="Arial" w:cs="Arial"/>
        </w:rPr>
        <w:t xml:space="preserve">Que la Ley </w:t>
      </w:r>
      <w:proofErr w:type="spellStart"/>
      <w:r>
        <w:rPr>
          <w:rFonts w:ascii="Arial" w:eastAsia="Arial" w:hAnsi="Arial" w:cs="Arial"/>
        </w:rPr>
        <w:t>N°</w:t>
      </w:r>
      <w:proofErr w:type="spellEnd"/>
      <w:r>
        <w:rPr>
          <w:rFonts w:ascii="Arial" w:eastAsia="Arial" w:hAnsi="Arial" w:cs="Arial"/>
        </w:rPr>
        <w:t xml:space="preserve"> 1.119/1997 “DE PRODUCTOS PARA LA SALUD Y OTROS”, en su Artículo 25, numeral 1, faculta a la autoridad sanitaria nacional a determinar los criterios sobre promoción y publicidad, y en su numeral 9, le permite limitar, condicionar o prohibir la publicidad por razones de salud pública.</w:t>
      </w:r>
    </w:p>
    <w:p w:rsidR="00D763E3" w:rsidRDefault="00D763E3">
      <w:pPr>
        <w:spacing w:after="0" w:line="240" w:lineRule="auto"/>
        <w:ind w:firstLine="720"/>
        <w:jc w:val="both"/>
        <w:rPr>
          <w:rFonts w:ascii="Arial" w:eastAsia="Arial" w:hAnsi="Arial" w:cs="Arial"/>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t xml:space="preserve">Que, la Ley </w:t>
      </w:r>
      <w:proofErr w:type="spellStart"/>
      <w:r>
        <w:rPr>
          <w:rFonts w:ascii="Arial" w:eastAsia="Arial" w:hAnsi="Arial" w:cs="Arial"/>
          <w:color w:val="0F1115"/>
        </w:rPr>
        <w:t>N°</w:t>
      </w:r>
      <w:proofErr w:type="spellEnd"/>
      <w:r>
        <w:rPr>
          <w:rFonts w:ascii="Arial" w:eastAsia="Arial" w:hAnsi="Arial" w:cs="Arial"/>
          <w:color w:val="0F1115"/>
        </w:rPr>
        <w:t xml:space="preserve"> 7.361/2024, que modifica la Ley </w:t>
      </w:r>
      <w:proofErr w:type="spellStart"/>
      <w:r>
        <w:rPr>
          <w:rFonts w:ascii="Arial" w:eastAsia="Arial" w:hAnsi="Arial" w:cs="Arial"/>
          <w:color w:val="0F1115"/>
        </w:rPr>
        <w:t>N°</w:t>
      </w:r>
      <w:proofErr w:type="spellEnd"/>
      <w:r>
        <w:rPr>
          <w:rFonts w:ascii="Arial" w:eastAsia="Arial" w:hAnsi="Arial" w:cs="Arial"/>
          <w:color w:val="0F1115"/>
        </w:rPr>
        <w:t xml:space="preserve"> 6.788/2021, establece en su Artículo 5° "De las Funciones" que la Dirección Nacional de Vigilancia Sanitaria (DINAVISA) tiene por finalidad velar por la protección de la salud humana, y le asigna, entre otras, las siguientes funciones: Regular y fiscalizar las actividades realizadas por las personas físicas o jurídicas que intervienen durante las etapas de la fabricación, elaboración, fraccionamiento, control de calidad, distribución, prescripción, dispensación, comercialización, representación, importación, exportación, almacenamiento, uso racional, fijación de precios, información y publicidad de los productos para la salud...; establecer y aplicar el régimen de infracciones y sanciones a personas físicas o jurídicas que contravengan los lineamientos y normativas del ámbito de su competencia y aplicar medidas preventivas y correctivas; establecer las reglamentaciones técnicas para la ejecución de cualquier actividad de su competencia en todo el territorio nacional, de acuerdo a las legislaciones pertinentes, siendo las mismas de acatamiento obligatorio por parte de toda persona física, jurídica u organismos públicos o privados sin excepción.</w:t>
      </w:r>
    </w:p>
    <w:p w:rsidR="00D763E3" w:rsidRDefault="00D763E3">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t xml:space="preserve">Que, el Artículo 28, inciso d) de la Ley </w:t>
      </w:r>
      <w:proofErr w:type="spellStart"/>
      <w:r>
        <w:rPr>
          <w:rFonts w:ascii="Arial" w:eastAsia="Arial" w:hAnsi="Arial" w:cs="Arial"/>
          <w:color w:val="0F1115"/>
        </w:rPr>
        <w:t>N°</w:t>
      </w:r>
      <w:proofErr w:type="spellEnd"/>
      <w:r>
        <w:rPr>
          <w:rFonts w:ascii="Arial" w:eastAsia="Arial" w:hAnsi="Arial" w:cs="Arial"/>
          <w:color w:val="0F1115"/>
        </w:rPr>
        <w:t xml:space="preserve"> 6.788/2021, modificada por la Ley </w:t>
      </w:r>
      <w:proofErr w:type="spellStart"/>
      <w:r>
        <w:rPr>
          <w:rFonts w:ascii="Arial" w:eastAsia="Arial" w:hAnsi="Arial" w:cs="Arial"/>
          <w:color w:val="0F1115"/>
        </w:rPr>
        <w:t>N°</w:t>
      </w:r>
      <w:proofErr w:type="spellEnd"/>
      <w:r>
        <w:rPr>
          <w:rFonts w:ascii="Arial" w:eastAsia="Arial" w:hAnsi="Arial" w:cs="Arial"/>
          <w:color w:val="0F1115"/>
        </w:rPr>
        <w:t xml:space="preserve"> 7.361/2024, prevé como sanción aplicable la "suspensión de una autorización, licencia, registro o permiso", lo que habilita expresamente a la DINAVISA a imponer la suspensión del registro sanitario o la suspensión de actividades como sanción por infracciones a la normativa sanitaria.</w:t>
      </w: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lastRenderedPageBreak/>
        <w:t xml:space="preserve">Que, el Artículo 29 de la Ley </w:t>
      </w:r>
      <w:proofErr w:type="spellStart"/>
      <w:r>
        <w:rPr>
          <w:rFonts w:ascii="Arial" w:eastAsia="Arial" w:hAnsi="Arial" w:cs="Arial"/>
          <w:color w:val="0F1115"/>
        </w:rPr>
        <w:t>N°</w:t>
      </w:r>
      <w:proofErr w:type="spellEnd"/>
      <w:r>
        <w:rPr>
          <w:rFonts w:ascii="Arial" w:eastAsia="Arial" w:hAnsi="Arial" w:cs="Arial"/>
          <w:color w:val="0F1115"/>
        </w:rPr>
        <w:t xml:space="preserve"> 6.788/2021 establece que las sanciones serán aplicadas previo sumario, atendiendo a las circunstancias especiales de cada caso, debiendo imponerse de forma acumulativa cuando procediera.</w:t>
      </w:r>
    </w:p>
    <w:p w:rsidR="00D763E3" w:rsidRDefault="00D763E3">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rPr>
      </w:pPr>
      <w:r>
        <w:rPr>
          <w:rFonts w:ascii="Arial" w:eastAsia="Arial" w:hAnsi="Arial" w:cs="Arial"/>
          <w:color w:val="0F1115"/>
        </w:rPr>
        <w:t xml:space="preserve">Que, el Decreto </w:t>
      </w:r>
      <w:proofErr w:type="spellStart"/>
      <w:r>
        <w:rPr>
          <w:rFonts w:ascii="Arial" w:eastAsia="Arial" w:hAnsi="Arial" w:cs="Arial"/>
          <w:color w:val="0F1115"/>
        </w:rPr>
        <w:t>N°</w:t>
      </w:r>
      <w:proofErr w:type="spellEnd"/>
      <w:r>
        <w:rPr>
          <w:rFonts w:ascii="Arial" w:eastAsia="Arial" w:hAnsi="Arial" w:cs="Arial"/>
          <w:color w:val="0F1115"/>
        </w:rPr>
        <w:t xml:space="preserve"> 9.485/2023, que reglamenta el Capítulo VII de la Ley </w:t>
      </w:r>
      <w:proofErr w:type="spellStart"/>
      <w:r>
        <w:rPr>
          <w:rFonts w:ascii="Arial" w:eastAsia="Arial" w:hAnsi="Arial" w:cs="Arial"/>
          <w:color w:val="0F1115"/>
        </w:rPr>
        <w:t>N°</w:t>
      </w:r>
      <w:proofErr w:type="spellEnd"/>
      <w:r>
        <w:rPr>
          <w:rFonts w:ascii="Arial" w:eastAsia="Arial" w:hAnsi="Arial" w:cs="Arial"/>
          <w:color w:val="0F1115"/>
        </w:rPr>
        <w:t xml:space="preserve"> 6.788/2021, establece en su Artículo 5°, inciso b), la definición de reincidencia como </w:t>
      </w:r>
      <w:r>
        <w:rPr>
          <w:rFonts w:ascii="Arial" w:eastAsia="Arial" w:hAnsi="Arial" w:cs="Arial"/>
          <w:i/>
          <w:iCs/>
          <w:color w:val="0F1115"/>
        </w:rPr>
        <w:t>"haber sido sancionado por la misma falta antes de transcurrido dos años"</w:t>
      </w:r>
      <w:r>
        <w:rPr>
          <w:rFonts w:ascii="Arial" w:eastAsia="Arial" w:hAnsi="Arial" w:cs="Arial"/>
          <w:color w:val="0F1115"/>
        </w:rPr>
        <w:t>.</w:t>
      </w:r>
    </w:p>
    <w:p w:rsidR="00D763E3" w:rsidRDefault="00D763E3">
      <w:pPr>
        <w:spacing w:after="0" w:line="240" w:lineRule="auto"/>
        <w:jc w:val="both"/>
        <w:rPr>
          <w:rFonts w:ascii="Arial" w:eastAsia="Arial" w:hAnsi="Arial" w:cs="Arial"/>
        </w:rPr>
      </w:pPr>
    </w:p>
    <w:p w:rsidR="00D763E3" w:rsidRDefault="00CF0991">
      <w:pPr>
        <w:spacing w:after="0" w:line="240" w:lineRule="auto"/>
        <w:ind w:firstLine="720"/>
        <w:jc w:val="both"/>
        <w:rPr>
          <w:rFonts w:ascii="Arial" w:eastAsia="Arial" w:hAnsi="Arial" w:cs="Arial"/>
        </w:rPr>
      </w:pPr>
      <w:r>
        <w:rPr>
          <w:rFonts w:ascii="Arial" w:eastAsia="Arial" w:hAnsi="Arial" w:cs="Arial"/>
        </w:rPr>
        <w:t xml:space="preserve">Que la Resolución DINAVISA </w:t>
      </w:r>
      <w:proofErr w:type="spellStart"/>
      <w:r>
        <w:rPr>
          <w:rFonts w:ascii="Arial" w:eastAsia="Arial" w:hAnsi="Arial" w:cs="Arial"/>
        </w:rPr>
        <w:t>N°</w:t>
      </w:r>
      <w:proofErr w:type="spellEnd"/>
      <w:r>
        <w:rPr>
          <w:rFonts w:ascii="Arial" w:eastAsia="Arial" w:hAnsi="Arial" w:cs="Arial"/>
        </w:rPr>
        <w:t xml:space="preserve"> 286/2023, “Por la cual se establecen criterios para la concesión de la autorización automática y fiscalización de publicidad de especialidades farmacéuticas, medicamentos fitoterápicos, homeopáticos y suplementos dietarios, de libre venta o libre venta en farmacias”, constituye el marco regulatorio específico para la publicidad de especialidades farmacéuticas, medicamentos fitoterápicos, homeopáticos y suplementos dietarios de venta libre, estableciendo en sus Artículos 23, 24 y 25 el régimen sancionatorio aplicable a las infracciones publicitarias.</w:t>
      </w:r>
    </w:p>
    <w:p w:rsidR="00D763E3" w:rsidRDefault="00D763E3">
      <w:pPr>
        <w:spacing w:after="0" w:line="240" w:lineRule="auto"/>
        <w:ind w:firstLine="720"/>
        <w:jc w:val="both"/>
        <w:rPr>
          <w:rFonts w:ascii="Arial" w:eastAsia="Arial" w:hAnsi="Arial" w:cs="Arial"/>
        </w:rPr>
      </w:pPr>
    </w:p>
    <w:p w:rsidR="00D763E3" w:rsidRDefault="00CF0991">
      <w:pPr>
        <w:spacing w:after="0" w:line="240" w:lineRule="auto"/>
        <w:ind w:firstLine="720"/>
        <w:jc w:val="both"/>
        <w:rPr>
          <w:rFonts w:ascii="Arial" w:eastAsia="Arial" w:hAnsi="Arial" w:cs="Arial"/>
        </w:rPr>
      </w:pPr>
      <w:r>
        <w:rPr>
          <w:rFonts w:ascii="Arial" w:eastAsia="Arial" w:hAnsi="Arial" w:cs="Arial"/>
          <w:color w:val="0F1115"/>
        </w:rPr>
        <w:t xml:space="preserve">Que, el Artículo 24 de la mencionada Resolución establece actualmente que las infracciones serán sancionadas previo sumario administrativo, aplicándose amonestación, multa o suspensión de la presentación de publicidades del producto en cuestión, por un término de seis (6) meses, y el </w:t>
      </w:r>
      <w:r>
        <w:rPr>
          <w:rFonts w:ascii="Arial" w:eastAsia="Arial" w:hAnsi="Arial" w:cs="Arial"/>
        </w:rPr>
        <w:t>artículo 25 establece el monto de las multas a ser aplicadas a los responsables que incumplan las disposiciones de la misma, fijando en la suma equivalente a 200 jornales mínimos y en 400 jornales mínimos en caso de reincidencia.</w:t>
      </w:r>
    </w:p>
    <w:p w:rsidR="00D763E3" w:rsidRDefault="00D763E3">
      <w:pPr>
        <w:spacing w:after="0" w:line="240" w:lineRule="auto"/>
        <w:ind w:firstLine="720"/>
        <w:jc w:val="both"/>
        <w:rPr>
          <w:rFonts w:ascii="Arial" w:eastAsia="Arial" w:hAnsi="Arial" w:cs="Arial"/>
        </w:rPr>
      </w:pPr>
    </w:p>
    <w:p w:rsidR="00D763E3" w:rsidRDefault="00CF0991">
      <w:pPr>
        <w:spacing w:after="0" w:line="240" w:lineRule="auto"/>
        <w:ind w:firstLine="720"/>
        <w:jc w:val="both"/>
        <w:rPr>
          <w:rFonts w:ascii="Arial" w:eastAsia="Arial" w:hAnsi="Arial" w:cs="Arial"/>
        </w:rPr>
      </w:pPr>
      <w:r>
        <w:rPr>
          <w:rFonts w:ascii="Arial" w:eastAsia="Arial" w:hAnsi="Arial" w:cs="Arial"/>
        </w:rPr>
        <w:t>Que la técnica publicitaria moderna y el uso de múltiples plataformas de difusión (medios digitales, redes sociales, televisión, radio, vía pública) requieren de pautas objetivas que permitan evaluar el impacto sanitario de los mensajes publicitarios.</w:t>
      </w:r>
    </w:p>
    <w:p w:rsidR="00D763E3" w:rsidRDefault="00D763E3">
      <w:pPr>
        <w:spacing w:after="0" w:line="240" w:lineRule="auto"/>
        <w:ind w:firstLine="720"/>
        <w:jc w:val="both"/>
        <w:rPr>
          <w:rFonts w:ascii="Arial" w:eastAsia="Arial" w:hAnsi="Arial" w:cs="Arial"/>
        </w:rPr>
      </w:pPr>
    </w:p>
    <w:p w:rsidR="00B503CC" w:rsidRDefault="00CF0991">
      <w:pPr>
        <w:spacing w:after="0" w:line="240" w:lineRule="auto"/>
        <w:ind w:firstLine="720"/>
        <w:jc w:val="both"/>
        <w:rPr>
          <w:rFonts w:ascii="Arial" w:eastAsia="Arial" w:hAnsi="Arial" w:cs="Arial"/>
        </w:rPr>
      </w:pPr>
      <w:r>
        <w:rPr>
          <w:rFonts w:ascii="Arial" w:eastAsia="Arial" w:hAnsi="Arial" w:cs="Arial"/>
        </w:rPr>
        <w:t>Que, la publicidad de productos para la salud constituye una herramienta de información dirigida al público, cuyo contenido incide directamente en las decisiones de consumo y, por tanto, en la salud de la población. La publicidad engañosa, falsa o que induzca a error sobre las propiedades, indicaciones o seguridad de un producto puede generar riesgos sanitarios concretos, especialmente cuando se trata de medicamentos de venta libre o suplementos dietarios.</w:t>
      </w:r>
    </w:p>
    <w:p w:rsidR="00B503CC" w:rsidRDefault="00B503CC">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lastRenderedPageBreak/>
        <w:t>Que, la experiencia en la fiscalización publicitaria ha demostrado la necesidad de fortalecer el régimen sancionatorio en casos de reincidencia, a fin de asegurar el efecto disuasivo de la norma y la protección efectiva de la salud pública.</w:t>
      </w:r>
    </w:p>
    <w:p w:rsidR="00D763E3" w:rsidRDefault="00D763E3">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t>Que, la reincidencia constituye una circunstancia agravante de especial relevancia, pues revela una conducta persistente y deliberada de incumplimiento de la normativa sanitaria, y demuestra que el infractor no ha internalizado las consecuencias de su conducta ni ha adoptado las medidas correctivas necesarias para ajustarse a derecho, por lo tanto la respuesta sancionatoria debe ser más intensa que en la primera infracción, a fin de cumplir con la finalidad preventiva especial de la sanción y evitar que el infractor vuelva a cometer la misma falta.</w:t>
      </w:r>
    </w:p>
    <w:p w:rsidR="00D763E3" w:rsidRDefault="00D763E3">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t>Que, la suspensión de la publicidad del producto en la primera infracción es una medida idónea y necesaria para cesar inmediatamente la difusión del mensaje no autorizado, mientras se sustancia el procedimiento o se obtiene la autorización correspondiente.</w:t>
      </w:r>
    </w:p>
    <w:p w:rsidR="00D763E3" w:rsidRDefault="00CF0991">
      <w:pPr>
        <w:shd w:val="clear" w:color="auto" w:fill="FFFFFF"/>
        <w:spacing w:before="240" w:after="0" w:line="240" w:lineRule="auto"/>
        <w:ind w:firstLine="720"/>
        <w:jc w:val="both"/>
        <w:rPr>
          <w:rFonts w:ascii="Arial" w:eastAsia="Arial" w:hAnsi="Arial" w:cs="Arial"/>
          <w:color w:val="0F1115"/>
        </w:rPr>
      </w:pPr>
      <w:r>
        <w:rPr>
          <w:rFonts w:ascii="Arial" w:eastAsia="Arial" w:hAnsi="Arial" w:cs="Arial"/>
          <w:color w:val="0F1115"/>
        </w:rPr>
        <w:t>Que, para el titular del producto, resulta proporcional, para la primera infracción, imponer una multa más la suspensión de la publicidad del producto; para la reincidencia una multa más la prohibición de comercialización del producto publicitado bajo su titularidad por tres (3) meses.</w:t>
      </w:r>
    </w:p>
    <w:p w:rsidR="00D763E3" w:rsidRDefault="00D763E3">
      <w:pPr>
        <w:shd w:val="clear" w:color="auto" w:fill="FFFFFF"/>
        <w:spacing w:after="0" w:line="240" w:lineRule="auto"/>
        <w:ind w:left="720"/>
        <w:rPr>
          <w:rFonts w:ascii="Arial" w:eastAsia="Arial" w:hAnsi="Arial" w:cs="Arial"/>
          <w:color w:val="0F1115"/>
        </w:rPr>
      </w:pPr>
    </w:p>
    <w:p w:rsidR="00D763E3" w:rsidRDefault="00CF0991">
      <w:pPr>
        <w:shd w:val="clear" w:color="auto" w:fill="FFFFFF"/>
        <w:spacing w:after="0" w:line="240" w:lineRule="auto"/>
        <w:ind w:firstLine="720"/>
        <w:jc w:val="both"/>
        <w:rPr>
          <w:rFonts w:ascii="Arial" w:eastAsia="Arial" w:hAnsi="Arial" w:cs="Arial"/>
          <w:color w:val="0F1115"/>
        </w:rPr>
      </w:pPr>
      <w:r>
        <w:rPr>
          <w:rFonts w:ascii="Arial" w:eastAsia="Arial" w:hAnsi="Arial" w:cs="Arial"/>
          <w:color w:val="0F1115"/>
        </w:rPr>
        <w:t xml:space="preserve">Que, la prohibición de comercialización del producto publicitado bajo su titularidad por tres (3) meses es una sanción jurídicamente viable, que se funda en el Artículo 28, inciso d) de la Ley </w:t>
      </w:r>
      <w:proofErr w:type="spellStart"/>
      <w:r>
        <w:rPr>
          <w:rFonts w:ascii="Arial" w:eastAsia="Arial" w:hAnsi="Arial" w:cs="Arial"/>
          <w:color w:val="0F1115"/>
        </w:rPr>
        <w:t>N°</w:t>
      </w:r>
      <w:proofErr w:type="spellEnd"/>
      <w:r>
        <w:rPr>
          <w:rFonts w:ascii="Arial" w:eastAsia="Arial" w:hAnsi="Arial" w:cs="Arial"/>
          <w:color w:val="0F1115"/>
        </w:rPr>
        <w:t xml:space="preserve"> 6.788/2021 y en el Artículo 5° de la Ley </w:t>
      </w:r>
      <w:proofErr w:type="spellStart"/>
      <w:r>
        <w:rPr>
          <w:rFonts w:ascii="Arial" w:eastAsia="Arial" w:hAnsi="Arial" w:cs="Arial"/>
          <w:color w:val="0F1115"/>
        </w:rPr>
        <w:t>N°</w:t>
      </w:r>
      <w:proofErr w:type="spellEnd"/>
      <w:r>
        <w:rPr>
          <w:rFonts w:ascii="Arial" w:eastAsia="Arial" w:hAnsi="Arial" w:cs="Arial"/>
          <w:color w:val="0F1115"/>
        </w:rPr>
        <w:t xml:space="preserve"> 7.361/2024, y que refuerza el efecto disuasivo de la normativa, al afectar la actividad publicitaria global del titular reincidente.</w:t>
      </w:r>
    </w:p>
    <w:p w:rsidR="00D763E3" w:rsidRDefault="00D763E3">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t xml:space="preserve">Que, la Resolución DINAVISA </w:t>
      </w:r>
      <w:proofErr w:type="spellStart"/>
      <w:r>
        <w:rPr>
          <w:rFonts w:ascii="Arial" w:eastAsia="Arial" w:hAnsi="Arial" w:cs="Arial"/>
          <w:color w:val="0F1115"/>
        </w:rPr>
        <w:t>N°</w:t>
      </w:r>
      <w:proofErr w:type="spellEnd"/>
      <w:r>
        <w:rPr>
          <w:rFonts w:ascii="Arial" w:eastAsia="Arial" w:hAnsi="Arial" w:cs="Arial"/>
          <w:color w:val="0F1115"/>
        </w:rPr>
        <w:t xml:space="preserve"> 286/2023 regula la publicidad de productos para la salud, pero no identifica expresamente a los sujetos responsables de las infracciones publicitarias, lo que genera dificultades prácticas al momento de determinar a quién debe dirigirse el sumario administrativo y a quién corresponde aplicar las sanciones.</w:t>
      </w:r>
    </w:p>
    <w:p w:rsidR="00D763E3" w:rsidRDefault="00D763E3">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t xml:space="preserve">Que, la experiencia recogida en los procedimientos de fiscalización publicitaria ha evidenciado que las infracciones no son cometidas únicamente por el titular del producto, sino que en la cadena de publicidad intervienen múltiples sujetos, entre ellos las farmacias </w:t>
      </w:r>
      <w:r>
        <w:rPr>
          <w:rFonts w:ascii="Arial" w:eastAsia="Arial" w:hAnsi="Arial" w:cs="Arial"/>
          <w:color w:val="0F1115"/>
        </w:rPr>
        <w:lastRenderedPageBreak/>
        <w:t xml:space="preserve">externas, que difunden publicidad en sus instalaciones o canales digitales; las distribuidoras, que comercializan y promocionan los productos; los establecimientos de salud, que difunden publicidad de productos regulados; y las personas físicas o jurídicas que realicen publicidad, incluyendo agencias publicitarias, medios de comunicación, plataformas digitales, redes sociales, locutores, </w:t>
      </w:r>
      <w:proofErr w:type="spellStart"/>
      <w:r>
        <w:rPr>
          <w:rFonts w:ascii="Arial" w:eastAsia="Arial" w:hAnsi="Arial" w:cs="Arial"/>
          <w:color w:val="0F1115"/>
        </w:rPr>
        <w:t>influencers</w:t>
      </w:r>
      <w:proofErr w:type="spellEnd"/>
      <w:r>
        <w:rPr>
          <w:rFonts w:ascii="Arial" w:eastAsia="Arial" w:hAnsi="Arial" w:cs="Arial"/>
          <w:color w:val="0F1115"/>
        </w:rPr>
        <w:t xml:space="preserve"> y cualquier otro sujeto que preste un espacio publicitario.</w:t>
      </w:r>
    </w:p>
    <w:p w:rsidR="00D763E3" w:rsidRDefault="00D763E3">
      <w:pPr>
        <w:spacing w:after="0" w:line="240" w:lineRule="auto"/>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rPr>
      </w:pPr>
      <w:r>
        <w:rPr>
          <w:rFonts w:ascii="Arial" w:eastAsia="Arial" w:hAnsi="Arial" w:cs="Arial"/>
        </w:rPr>
        <w:t xml:space="preserve">Que, en consecuencia, se estima oportuno modificar los artículos 24 y 25 de la Resolución DINAVISA </w:t>
      </w:r>
      <w:proofErr w:type="spellStart"/>
      <w:r>
        <w:rPr>
          <w:rFonts w:ascii="Arial" w:eastAsia="Arial" w:hAnsi="Arial" w:cs="Arial"/>
        </w:rPr>
        <w:t>N°</w:t>
      </w:r>
      <w:proofErr w:type="spellEnd"/>
      <w:r>
        <w:rPr>
          <w:rFonts w:ascii="Arial" w:eastAsia="Arial" w:hAnsi="Arial" w:cs="Arial"/>
        </w:rPr>
        <w:t xml:space="preserve"> 286/2023, contemplando la suspensión del registro sanitario o de actividades como sanción por reincidencia en infracciones publicitarias.</w:t>
      </w:r>
    </w:p>
    <w:p w:rsidR="00D763E3" w:rsidRDefault="00D763E3">
      <w:pPr>
        <w:spacing w:after="0" w:line="240" w:lineRule="auto"/>
        <w:ind w:firstLine="720"/>
        <w:jc w:val="both"/>
        <w:rPr>
          <w:rFonts w:ascii="Arial" w:eastAsia="Arial" w:hAnsi="Arial" w:cs="Arial"/>
        </w:rPr>
      </w:pPr>
    </w:p>
    <w:p w:rsidR="00D763E3" w:rsidRDefault="00CF0991">
      <w:pPr>
        <w:spacing w:after="0" w:line="240" w:lineRule="auto"/>
        <w:ind w:firstLine="720"/>
        <w:jc w:val="both"/>
        <w:rPr>
          <w:rFonts w:ascii="Arial" w:eastAsia="Arial" w:hAnsi="Arial" w:cs="Arial"/>
          <w:color w:val="0F1115"/>
        </w:rPr>
      </w:pPr>
      <w:r>
        <w:rPr>
          <w:rFonts w:ascii="Arial" w:eastAsia="Arial" w:hAnsi="Arial" w:cs="Arial"/>
          <w:color w:val="0F1115"/>
        </w:rPr>
        <w:t>Que, asimismo es necesaria la incorporación del Artículo 25 bis para identificar expresamente a los sujetos responsables de las infracciones publicitarias.</w:t>
      </w:r>
    </w:p>
    <w:p w:rsidR="00D763E3" w:rsidRDefault="00D763E3">
      <w:pPr>
        <w:spacing w:after="0" w:line="240" w:lineRule="auto"/>
        <w:ind w:firstLine="720"/>
        <w:jc w:val="both"/>
        <w:rPr>
          <w:rFonts w:ascii="Arial" w:eastAsia="Arial" w:hAnsi="Arial" w:cs="Arial"/>
          <w:color w:val="0F1115"/>
        </w:rPr>
      </w:pPr>
    </w:p>
    <w:p w:rsidR="00D763E3" w:rsidRDefault="00CF0991">
      <w:pPr>
        <w:spacing w:after="0" w:line="240" w:lineRule="auto"/>
        <w:ind w:firstLine="720"/>
        <w:jc w:val="both"/>
        <w:rPr>
          <w:rFonts w:ascii="Arial" w:eastAsia="Arial" w:hAnsi="Arial" w:cs="Arial"/>
        </w:rPr>
      </w:pPr>
      <w:r>
        <w:rPr>
          <w:rFonts w:ascii="Arial" w:eastAsia="Arial" w:hAnsi="Arial" w:cs="Arial"/>
        </w:rPr>
        <w:t xml:space="preserve">Que la Dirección General de Asuntos Legales se ha expedido favorablemente a la firma de la presente resolución según Dictamen DINAVISA DGAL </w:t>
      </w:r>
      <w:proofErr w:type="spellStart"/>
      <w:r>
        <w:rPr>
          <w:rFonts w:ascii="Arial" w:eastAsia="Arial" w:hAnsi="Arial" w:cs="Arial"/>
        </w:rPr>
        <w:t>N°</w:t>
      </w:r>
      <w:proofErr w:type="spellEnd"/>
      <w:r>
        <w:rPr>
          <w:rFonts w:ascii="Arial" w:eastAsia="Arial" w:hAnsi="Arial" w:cs="Arial"/>
        </w:rPr>
        <w:t xml:space="preserve"> </w:t>
      </w:r>
      <w:proofErr w:type="spellStart"/>
      <w:r>
        <w:rPr>
          <w:rFonts w:ascii="Arial" w:eastAsia="Arial" w:hAnsi="Arial" w:cs="Arial"/>
        </w:rPr>
        <w:t>xxxx</w:t>
      </w:r>
      <w:proofErr w:type="spellEnd"/>
      <w:r>
        <w:rPr>
          <w:rFonts w:ascii="Arial" w:eastAsia="Arial" w:hAnsi="Arial" w:cs="Arial"/>
        </w:rPr>
        <w:t xml:space="preserve">, de fecha </w:t>
      </w:r>
      <w:proofErr w:type="spellStart"/>
      <w:r>
        <w:rPr>
          <w:rFonts w:ascii="Arial" w:eastAsia="Arial" w:hAnsi="Arial" w:cs="Arial"/>
        </w:rPr>
        <w:t>xx</w:t>
      </w:r>
      <w:proofErr w:type="spellEnd"/>
      <w:r>
        <w:rPr>
          <w:rFonts w:ascii="Arial" w:eastAsia="Arial" w:hAnsi="Arial" w:cs="Arial"/>
        </w:rPr>
        <w:t xml:space="preserve"> de </w:t>
      </w:r>
      <w:proofErr w:type="spellStart"/>
      <w:r>
        <w:rPr>
          <w:rFonts w:ascii="Arial" w:eastAsia="Arial" w:hAnsi="Arial" w:cs="Arial"/>
        </w:rPr>
        <w:t>xxxxxxx</w:t>
      </w:r>
      <w:proofErr w:type="spellEnd"/>
      <w:r>
        <w:rPr>
          <w:rFonts w:ascii="Arial" w:eastAsia="Arial" w:hAnsi="Arial" w:cs="Arial"/>
        </w:rPr>
        <w:t xml:space="preserve"> de 2026.</w:t>
      </w:r>
    </w:p>
    <w:p w:rsidR="00D763E3" w:rsidRDefault="00D763E3">
      <w:pPr>
        <w:spacing w:after="0" w:line="240" w:lineRule="auto"/>
        <w:jc w:val="both"/>
        <w:rPr>
          <w:rFonts w:ascii="Arial" w:eastAsia="Arial" w:hAnsi="Arial" w:cs="Arial"/>
        </w:rPr>
      </w:pPr>
    </w:p>
    <w:p w:rsidR="00D763E3" w:rsidRDefault="00CF0991">
      <w:pPr>
        <w:spacing w:after="0" w:line="240" w:lineRule="auto"/>
        <w:jc w:val="both"/>
        <w:rPr>
          <w:rFonts w:ascii="Arial" w:eastAsia="Arial" w:hAnsi="Arial" w:cs="Arial"/>
        </w:rPr>
      </w:pPr>
      <w:r>
        <w:rPr>
          <w:rFonts w:ascii="Arial" w:eastAsia="Arial" w:hAnsi="Arial" w:cs="Arial"/>
          <w:b/>
          <w:bCs/>
        </w:rPr>
        <w:t xml:space="preserve">POR TANTO; </w:t>
      </w:r>
      <w:r>
        <w:rPr>
          <w:rFonts w:ascii="Arial" w:eastAsia="Arial" w:hAnsi="Arial" w:cs="Arial"/>
        </w:rPr>
        <w:t>en ejercicio de sus atribuciones legales,</w:t>
      </w:r>
    </w:p>
    <w:p w:rsidR="00D763E3" w:rsidRDefault="00D763E3">
      <w:pPr>
        <w:spacing w:after="0" w:line="240" w:lineRule="auto"/>
        <w:jc w:val="both"/>
        <w:rPr>
          <w:rFonts w:ascii="Arial" w:eastAsia="Arial" w:hAnsi="Arial" w:cs="Arial"/>
        </w:rPr>
      </w:pPr>
    </w:p>
    <w:p w:rsidR="00D763E3" w:rsidRDefault="00CF0991">
      <w:pPr>
        <w:spacing w:after="0" w:line="240" w:lineRule="auto"/>
        <w:jc w:val="center"/>
        <w:rPr>
          <w:rFonts w:ascii="Arial" w:eastAsia="Arial" w:hAnsi="Arial" w:cs="Arial"/>
          <w:b/>
          <w:bCs/>
        </w:rPr>
      </w:pPr>
      <w:r>
        <w:rPr>
          <w:rFonts w:ascii="Arial" w:eastAsia="Arial" w:hAnsi="Arial" w:cs="Arial"/>
          <w:b/>
          <w:bCs/>
        </w:rPr>
        <w:t>EL DIRECTOR NACIONAL INTERINO DE LA DIRECCIÓN NACIONAL DE VIGILANCIA SANITARIA</w:t>
      </w:r>
    </w:p>
    <w:p w:rsidR="00D763E3" w:rsidRDefault="00D763E3">
      <w:pPr>
        <w:spacing w:after="0" w:line="240" w:lineRule="auto"/>
        <w:jc w:val="center"/>
        <w:rPr>
          <w:rFonts w:ascii="Arial" w:eastAsia="Arial" w:hAnsi="Arial" w:cs="Arial"/>
          <w:b/>
          <w:bCs/>
          <w:sz w:val="10"/>
          <w:szCs w:val="10"/>
        </w:rPr>
      </w:pPr>
    </w:p>
    <w:p w:rsidR="00D763E3" w:rsidRDefault="00CF0991">
      <w:pPr>
        <w:spacing w:after="0" w:line="240" w:lineRule="auto"/>
        <w:jc w:val="center"/>
        <w:rPr>
          <w:rFonts w:ascii="Arial" w:eastAsia="Arial" w:hAnsi="Arial" w:cs="Arial"/>
          <w:b/>
          <w:bCs/>
        </w:rPr>
      </w:pPr>
      <w:r>
        <w:rPr>
          <w:rFonts w:ascii="Arial" w:eastAsia="Arial" w:hAnsi="Arial" w:cs="Arial"/>
          <w:b/>
          <w:bCs/>
        </w:rPr>
        <w:t>RESUELVE:</w:t>
      </w:r>
    </w:p>
    <w:p w:rsidR="00D763E3" w:rsidRDefault="00D763E3">
      <w:pPr>
        <w:spacing w:after="0" w:line="240" w:lineRule="auto"/>
        <w:jc w:val="both"/>
        <w:rPr>
          <w:rFonts w:ascii="Arial" w:eastAsia="Arial" w:hAnsi="Arial" w:cs="Arial"/>
        </w:rPr>
      </w:pPr>
    </w:p>
    <w:p w:rsidR="00D763E3" w:rsidRDefault="00CF0991">
      <w:pPr>
        <w:shd w:val="clear" w:color="auto" w:fill="FFFFFF"/>
        <w:spacing w:after="0" w:line="240" w:lineRule="auto"/>
        <w:ind w:left="1417" w:hanging="1417"/>
        <w:jc w:val="both"/>
        <w:rPr>
          <w:rFonts w:ascii="Arial" w:eastAsia="Arial" w:hAnsi="Arial" w:cs="Arial"/>
          <w:color w:val="0F1115"/>
        </w:rPr>
      </w:pPr>
      <w:r>
        <w:rPr>
          <w:rFonts w:ascii="Arial" w:eastAsia="Arial" w:hAnsi="Arial" w:cs="Arial"/>
          <w:b/>
          <w:bCs/>
        </w:rPr>
        <w:t>Artículo 1</w:t>
      </w:r>
      <w:proofErr w:type="gramStart"/>
      <w:r>
        <w:rPr>
          <w:rFonts w:ascii="Arial" w:eastAsia="Arial" w:hAnsi="Arial" w:cs="Arial"/>
          <w:b/>
          <w:bCs/>
        </w:rPr>
        <w:t>°.-</w:t>
      </w:r>
      <w:proofErr w:type="gramEnd"/>
      <w:r>
        <w:rPr>
          <w:rFonts w:ascii="Arial" w:eastAsia="Arial" w:hAnsi="Arial" w:cs="Arial"/>
          <w:b/>
          <w:bCs/>
        </w:rPr>
        <w:tab/>
      </w:r>
      <w:r>
        <w:rPr>
          <w:rFonts w:ascii="Arial" w:eastAsia="Arial" w:hAnsi="Arial" w:cs="Arial"/>
          <w:color w:val="0F1115"/>
        </w:rPr>
        <w:t xml:space="preserve">Modificar el Artículo 24 de la Resolución DINAVISA </w:t>
      </w:r>
      <w:proofErr w:type="spellStart"/>
      <w:r>
        <w:rPr>
          <w:rFonts w:ascii="Arial" w:eastAsia="Arial" w:hAnsi="Arial" w:cs="Arial"/>
          <w:color w:val="0F1115"/>
        </w:rPr>
        <w:t>N°</w:t>
      </w:r>
      <w:proofErr w:type="spellEnd"/>
      <w:r>
        <w:rPr>
          <w:rFonts w:ascii="Arial" w:eastAsia="Arial" w:hAnsi="Arial" w:cs="Arial"/>
          <w:color w:val="0F1115"/>
        </w:rPr>
        <w:t xml:space="preserve"> 286/2023, el cual queda redactado de la siguiente manera:</w:t>
      </w:r>
    </w:p>
    <w:p w:rsidR="00D763E3" w:rsidRDefault="00D763E3">
      <w:pPr>
        <w:shd w:val="clear" w:color="auto" w:fill="FFFFFF"/>
        <w:spacing w:after="0" w:line="240" w:lineRule="auto"/>
        <w:ind w:left="1417" w:hanging="1417"/>
        <w:jc w:val="both"/>
        <w:rPr>
          <w:rFonts w:ascii="Arial" w:eastAsia="Arial" w:hAnsi="Arial" w:cs="Arial"/>
          <w:color w:val="0F1115"/>
          <w:sz w:val="10"/>
          <w:szCs w:val="10"/>
        </w:rPr>
      </w:pPr>
    </w:p>
    <w:p w:rsidR="00D763E3" w:rsidRDefault="00CF0991">
      <w:pPr>
        <w:spacing w:after="0" w:line="240" w:lineRule="auto"/>
        <w:ind w:left="3543" w:hanging="1417"/>
        <w:jc w:val="both"/>
        <w:rPr>
          <w:rFonts w:ascii="Arial" w:eastAsia="Arial" w:hAnsi="Arial" w:cs="Arial"/>
          <w:color w:val="0F1115"/>
        </w:rPr>
      </w:pPr>
      <w:r>
        <w:rPr>
          <w:rFonts w:ascii="Arial" w:eastAsia="Arial" w:hAnsi="Arial" w:cs="Arial"/>
          <w:color w:val="0F1115"/>
        </w:rPr>
        <w:t xml:space="preserve">“Artículo 24°. </w:t>
      </w:r>
      <w:r>
        <w:rPr>
          <w:rFonts w:ascii="Arial" w:eastAsia="Arial" w:hAnsi="Arial" w:cs="Arial"/>
          <w:color w:val="0F1115"/>
        </w:rPr>
        <w:tab/>
        <w:t xml:space="preserve">Las infracciones por difundir u otorgar publicidad sin autorización otorgada por la DINAVISA serán sancionadas previo sumario administrativo, aplicándose las sanciones establecidas en el Artículo 25 de la presente Resolución, según el sujeto responsable y la categoría de la infracción (primera infracción o reincidencia). </w:t>
      </w:r>
    </w:p>
    <w:p w:rsidR="00D763E3" w:rsidRDefault="00D763E3">
      <w:pPr>
        <w:spacing w:after="0" w:line="240" w:lineRule="auto"/>
        <w:ind w:left="3543"/>
        <w:jc w:val="both"/>
        <w:rPr>
          <w:rFonts w:ascii="Arial" w:eastAsia="Arial" w:hAnsi="Arial" w:cs="Arial"/>
          <w:color w:val="0F1115"/>
          <w:sz w:val="10"/>
          <w:szCs w:val="10"/>
        </w:rPr>
      </w:pPr>
    </w:p>
    <w:p w:rsidR="00D763E3" w:rsidRDefault="00CF0991">
      <w:pPr>
        <w:spacing w:after="0" w:line="240" w:lineRule="auto"/>
        <w:ind w:left="3543"/>
        <w:jc w:val="both"/>
        <w:rPr>
          <w:rFonts w:ascii="Arial" w:eastAsia="Arial" w:hAnsi="Arial" w:cs="Arial"/>
          <w:color w:val="0F1115"/>
        </w:rPr>
      </w:pPr>
      <w:r>
        <w:rPr>
          <w:rFonts w:ascii="Arial" w:eastAsia="Arial" w:hAnsi="Arial" w:cs="Arial"/>
          <w:color w:val="0F1115"/>
        </w:rPr>
        <w:lastRenderedPageBreak/>
        <w:t xml:space="preserve">Las sanciones podrán ser acumulativas cuando las circunstancias del caso así lo ameriten, conforme a lo dispuesto en el Artículo 29 de la Ley </w:t>
      </w:r>
      <w:proofErr w:type="spellStart"/>
      <w:r>
        <w:rPr>
          <w:rFonts w:ascii="Arial" w:eastAsia="Arial" w:hAnsi="Arial" w:cs="Arial"/>
          <w:color w:val="0F1115"/>
        </w:rPr>
        <w:t>N°</w:t>
      </w:r>
      <w:proofErr w:type="spellEnd"/>
      <w:r>
        <w:rPr>
          <w:rFonts w:ascii="Arial" w:eastAsia="Arial" w:hAnsi="Arial" w:cs="Arial"/>
          <w:color w:val="0F1115"/>
        </w:rPr>
        <w:t xml:space="preserve"> 6.788/2021.</w:t>
      </w:r>
    </w:p>
    <w:p w:rsidR="00D763E3" w:rsidRDefault="00D763E3">
      <w:pPr>
        <w:spacing w:after="0" w:line="240" w:lineRule="auto"/>
        <w:ind w:left="3543"/>
        <w:jc w:val="both"/>
        <w:rPr>
          <w:rFonts w:ascii="Arial" w:eastAsia="Arial" w:hAnsi="Arial" w:cs="Arial"/>
          <w:color w:val="0F1115"/>
          <w:sz w:val="10"/>
          <w:szCs w:val="10"/>
        </w:rPr>
      </w:pPr>
    </w:p>
    <w:p w:rsidR="00D763E3" w:rsidRDefault="00CF0991">
      <w:pPr>
        <w:spacing w:after="0" w:line="240" w:lineRule="auto"/>
        <w:ind w:left="3543"/>
        <w:jc w:val="both"/>
        <w:rPr>
          <w:rFonts w:ascii="Arial" w:eastAsia="Arial" w:hAnsi="Arial" w:cs="Arial"/>
          <w:b/>
          <w:bCs/>
        </w:rPr>
      </w:pPr>
      <w:r>
        <w:rPr>
          <w:rFonts w:ascii="Arial" w:eastAsia="Arial" w:hAnsi="Arial" w:cs="Arial"/>
          <w:color w:val="0F1115"/>
        </w:rPr>
        <w:t xml:space="preserve">La autoridad sanitaria podrá aplicar, además, las medidas cautelares previstas en el Artículo 27 de la Ley </w:t>
      </w:r>
      <w:proofErr w:type="spellStart"/>
      <w:r>
        <w:rPr>
          <w:rFonts w:ascii="Arial" w:eastAsia="Arial" w:hAnsi="Arial" w:cs="Arial"/>
          <w:color w:val="0F1115"/>
        </w:rPr>
        <w:t>Nº</w:t>
      </w:r>
      <w:proofErr w:type="spellEnd"/>
      <w:r>
        <w:rPr>
          <w:rFonts w:ascii="Arial" w:eastAsia="Arial" w:hAnsi="Arial" w:cs="Arial"/>
          <w:color w:val="0F1115"/>
        </w:rPr>
        <w:t xml:space="preserve"> 7361/2024 que modifica la Ley </w:t>
      </w:r>
      <w:proofErr w:type="spellStart"/>
      <w:r>
        <w:rPr>
          <w:rFonts w:ascii="Arial" w:eastAsia="Arial" w:hAnsi="Arial" w:cs="Arial"/>
          <w:color w:val="0F1115"/>
        </w:rPr>
        <w:t>N°</w:t>
      </w:r>
      <w:proofErr w:type="spellEnd"/>
      <w:r>
        <w:rPr>
          <w:rFonts w:ascii="Arial" w:eastAsia="Arial" w:hAnsi="Arial" w:cs="Arial"/>
          <w:color w:val="0F1115"/>
        </w:rPr>
        <w:t xml:space="preserve"> 6.788/2021, cuando exista peligro inminente para la salud pública.”</w:t>
      </w:r>
    </w:p>
    <w:p w:rsidR="00D763E3" w:rsidRDefault="00D763E3">
      <w:pPr>
        <w:spacing w:after="0" w:line="240" w:lineRule="auto"/>
        <w:ind w:left="1416" w:hanging="1416"/>
        <w:jc w:val="both"/>
        <w:rPr>
          <w:rFonts w:ascii="Arial" w:eastAsia="Arial" w:hAnsi="Arial" w:cs="Arial"/>
          <w:b/>
          <w:bCs/>
        </w:rPr>
      </w:pPr>
    </w:p>
    <w:p w:rsidR="00D763E3" w:rsidRDefault="00CF0991">
      <w:pPr>
        <w:spacing w:after="0" w:line="240" w:lineRule="auto"/>
        <w:ind w:left="1416" w:hanging="1416"/>
        <w:jc w:val="both"/>
        <w:rPr>
          <w:rFonts w:ascii="Arial" w:eastAsia="Arial" w:hAnsi="Arial" w:cs="Arial"/>
        </w:rPr>
      </w:pPr>
      <w:r>
        <w:rPr>
          <w:rFonts w:ascii="Arial" w:eastAsia="Arial" w:hAnsi="Arial" w:cs="Arial"/>
          <w:b/>
          <w:bCs/>
        </w:rPr>
        <w:t>Artículo 2</w:t>
      </w:r>
      <w:proofErr w:type="gramStart"/>
      <w:r>
        <w:rPr>
          <w:rFonts w:ascii="Arial" w:eastAsia="Arial" w:hAnsi="Arial" w:cs="Arial"/>
          <w:b/>
          <w:bCs/>
        </w:rPr>
        <w:t>°.-</w:t>
      </w:r>
      <w:proofErr w:type="gramEnd"/>
      <w:r>
        <w:rPr>
          <w:rFonts w:ascii="Arial" w:eastAsia="Arial" w:hAnsi="Arial" w:cs="Arial"/>
          <w:b/>
          <w:bCs/>
        </w:rPr>
        <w:tab/>
      </w:r>
      <w:r>
        <w:rPr>
          <w:rFonts w:ascii="Arial" w:eastAsia="Arial" w:hAnsi="Arial" w:cs="Arial"/>
        </w:rPr>
        <w:t xml:space="preserve">Modificar del artículo 25 de la Resolución DINAVISA </w:t>
      </w:r>
      <w:proofErr w:type="spellStart"/>
      <w:r>
        <w:rPr>
          <w:rFonts w:ascii="Arial" w:eastAsia="Arial" w:hAnsi="Arial" w:cs="Arial"/>
        </w:rPr>
        <w:t>N°</w:t>
      </w:r>
      <w:proofErr w:type="spellEnd"/>
      <w:r>
        <w:rPr>
          <w:rFonts w:ascii="Arial" w:eastAsia="Arial" w:hAnsi="Arial" w:cs="Arial"/>
        </w:rPr>
        <w:t xml:space="preserve"> 286/2023, el cual queda redactado de la siguiente manera:</w:t>
      </w:r>
    </w:p>
    <w:p w:rsidR="00D763E3" w:rsidRDefault="00D763E3">
      <w:pPr>
        <w:spacing w:after="0" w:line="240" w:lineRule="auto"/>
        <w:ind w:left="1416" w:hanging="1416"/>
        <w:jc w:val="both"/>
        <w:rPr>
          <w:rFonts w:ascii="Arial" w:eastAsia="Arial" w:hAnsi="Arial" w:cs="Arial"/>
          <w:sz w:val="10"/>
          <w:szCs w:val="10"/>
        </w:rPr>
      </w:pPr>
    </w:p>
    <w:p w:rsidR="00D763E3" w:rsidRDefault="00CF0991">
      <w:pPr>
        <w:spacing w:after="0" w:line="240" w:lineRule="auto"/>
        <w:ind w:left="3576" w:hanging="1416"/>
        <w:jc w:val="both"/>
        <w:rPr>
          <w:rFonts w:ascii="Arial" w:eastAsia="Arial" w:hAnsi="Arial" w:cs="Arial"/>
          <w:color w:val="0F1115"/>
        </w:rPr>
      </w:pPr>
      <w:r>
        <w:rPr>
          <w:rFonts w:ascii="Arial" w:eastAsia="Arial" w:hAnsi="Arial" w:cs="Arial"/>
        </w:rPr>
        <w:t xml:space="preserve">“Artículo 25°. </w:t>
      </w:r>
      <w:r>
        <w:rPr>
          <w:rFonts w:ascii="Arial" w:eastAsia="Arial" w:hAnsi="Arial" w:cs="Arial"/>
        </w:rPr>
        <w:tab/>
      </w:r>
      <w:r>
        <w:rPr>
          <w:rFonts w:ascii="Arial" w:eastAsia="Arial" w:hAnsi="Arial" w:cs="Arial"/>
          <w:color w:val="0F1115"/>
        </w:rPr>
        <w:t>El monto de las multas se aplicará en sumas equivalentes a doscientos (200) jornales mínimos diarios para actividades diversas no especificadas. Además, se dispondrá la suspensión de la publicidad del producto en cuestión hasta que se obtenga la autorización otorgada por la DINAVISA.</w:t>
      </w:r>
    </w:p>
    <w:p w:rsidR="00D763E3" w:rsidRDefault="00D763E3">
      <w:pPr>
        <w:spacing w:after="0" w:line="240" w:lineRule="auto"/>
        <w:ind w:left="3576" w:hanging="1416"/>
        <w:jc w:val="both"/>
        <w:rPr>
          <w:rFonts w:ascii="Arial" w:eastAsia="Arial" w:hAnsi="Arial" w:cs="Arial"/>
          <w:color w:val="0F1115"/>
          <w:sz w:val="10"/>
          <w:szCs w:val="10"/>
        </w:rPr>
      </w:pPr>
    </w:p>
    <w:p w:rsidR="00D763E3" w:rsidRDefault="00CF0991">
      <w:pPr>
        <w:shd w:val="clear" w:color="auto" w:fill="FFFFFF"/>
        <w:spacing w:after="0" w:line="240" w:lineRule="auto"/>
        <w:ind w:left="3543"/>
        <w:jc w:val="both"/>
        <w:rPr>
          <w:rFonts w:ascii="Arial" w:eastAsia="Arial" w:hAnsi="Arial" w:cs="Arial"/>
          <w:color w:val="0F1115"/>
        </w:rPr>
      </w:pPr>
      <w:r>
        <w:rPr>
          <w:rFonts w:ascii="Arial" w:eastAsia="Arial" w:hAnsi="Arial" w:cs="Arial"/>
          <w:color w:val="0F1115"/>
        </w:rPr>
        <w:t>En caso de reincidencia, se aplicará las siguientes sanciones a cada sujeto responsable, según el sujeto de que se trate:</w:t>
      </w:r>
    </w:p>
    <w:p w:rsidR="00D763E3" w:rsidRDefault="00D763E3">
      <w:pPr>
        <w:shd w:val="clear" w:color="auto" w:fill="FFFFFF"/>
        <w:spacing w:after="0" w:line="240" w:lineRule="auto"/>
        <w:ind w:left="3543"/>
        <w:jc w:val="both"/>
        <w:rPr>
          <w:rFonts w:ascii="Arial" w:eastAsia="Arial" w:hAnsi="Arial" w:cs="Arial"/>
          <w:color w:val="0F1115"/>
          <w:sz w:val="10"/>
          <w:szCs w:val="10"/>
        </w:rPr>
      </w:pPr>
    </w:p>
    <w:p w:rsidR="00D763E3" w:rsidRDefault="00CF0991">
      <w:pPr>
        <w:shd w:val="clear" w:color="auto" w:fill="FFFFFF"/>
        <w:spacing w:after="0" w:line="240" w:lineRule="auto"/>
        <w:ind w:left="3543"/>
        <w:jc w:val="both"/>
        <w:rPr>
          <w:rFonts w:ascii="Arial" w:eastAsia="Arial" w:hAnsi="Arial" w:cs="Arial"/>
          <w:color w:val="0F1115"/>
        </w:rPr>
      </w:pPr>
      <w:r>
        <w:rPr>
          <w:rFonts w:ascii="Arial" w:eastAsia="Arial" w:hAnsi="Arial" w:cs="Arial"/>
          <w:b/>
          <w:bCs/>
          <w:color w:val="0F1115"/>
        </w:rPr>
        <w:t xml:space="preserve">a) Titular del producto: </w:t>
      </w:r>
      <w:r>
        <w:rPr>
          <w:rFonts w:ascii="Arial" w:eastAsia="Arial" w:hAnsi="Arial" w:cs="Arial"/>
          <w:color w:val="0F1115"/>
        </w:rPr>
        <w:t>multa de cuatrocientos (400) jornales mínimos diarios para actividades diversas no especificadas, la prohibición de comercialización del producto publicitado por término de tres (3) meses, contados a partir de la fecha de notificación de la resolución sancionatoria.</w:t>
      </w:r>
    </w:p>
    <w:p w:rsidR="00D763E3" w:rsidRDefault="00D763E3">
      <w:pPr>
        <w:shd w:val="clear" w:color="auto" w:fill="FFFFFF"/>
        <w:spacing w:after="0" w:line="240" w:lineRule="auto"/>
        <w:ind w:left="720"/>
        <w:jc w:val="both"/>
        <w:rPr>
          <w:rFonts w:ascii="Arial" w:eastAsia="Arial" w:hAnsi="Arial" w:cs="Arial"/>
          <w:color w:val="0F1115"/>
        </w:rPr>
      </w:pPr>
    </w:p>
    <w:p w:rsidR="00D763E3" w:rsidRDefault="00CF0991">
      <w:pPr>
        <w:shd w:val="clear" w:color="auto" w:fill="FFFFFF"/>
        <w:spacing w:after="0" w:line="240" w:lineRule="auto"/>
        <w:ind w:left="3543"/>
        <w:jc w:val="both"/>
        <w:rPr>
          <w:rFonts w:ascii="Arial" w:eastAsia="Arial" w:hAnsi="Arial" w:cs="Arial"/>
          <w:color w:val="0F1115"/>
        </w:rPr>
      </w:pPr>
      <w:r>
        <w:rPr>
          <w:rFonts w:ascii="Arial" w:eastAsia="Arial" w:hAnsi="Arial" w:cs="Arial"/>
          <w:b/>
          <w:bCs/>
          <w:color w:val="0F1115"/>
        </w:rPr>
        <w:t>b) Farmacias externas y distribuidoras:</w:t>
      </w:r>
      <w:r>
        <w:rPr>
          <w:rFonts w:ascii="Arial" w:eastAsia="Arial" w:hAnsi="Arial" w:cs="Arial"/>
          <w:color w:val="0F1115"/>
        </w:rPr>
        <w:t xml:space="preserve"> multa de cuatrocientos (400) jornales mínimos diarios para actividades diversas no especificadas, suspensión de comercialización del producto publicitado por un término de tres (3) meses, contados a partir de la fecha de notificación de la resolución sancionatoria.</w:t>
      </w:r>
    </w:p>
    <w:p w:rsidR="00D763E3" w:rsidRDefault="00D763E3">
      <w:pPr>
        <w:shd w:val="clear" w:color="auto" w:fill="FFFFFF"/>
        <w:spacing w:after="0" w:line="240" w:lineRule="auto"/>
        <w:ind w:left="3543"/>
        <w:jc w:val="both"/>
        <w:rPr>
          <w:rFonts w:ascii="Arial" w:eastAsia="Arial" w:hAnsi="Arial" w:cs="Arial"/>
          <w:color w:val="0F1115"/>
          <w:sz w:val="10"/>
          <w:szCs w:val="10"/>
        </w:rPr>
      </w:pPr>
    </w:p>
    <w:p w:rsidR="00D763E3" w:rsidRDefault="00CF0991">
      <w:pPr>
        <w:shd w:val="clear" w:color="auto" w:fill="FFFFFF"/>
        <w:spacing w:after="0" w:line="240" w:lineRule="auto"/>
        <w:ind w:left="3543"/>
        <w:jc w:val="both"/>
        <w:rPr>
          <w:rFonts w:ascii="Arial" w:eastAsia="Arial" w:hAnsi="Arial" w:cs="Arial"/>
          <w:color w:val="0F1115"/>
        </w:rPr>
      </w:pPr>
      <w:r>
        <w:rPr>
          <w:rFonts w:ascii="Arial" w:eastAsia="Arial" w:hAnsi="Arial" w:cs="Arial"/>
          <w:b/>
          <w:bCs/>
          <w:color w:val="0F1115"/>
        </w:rPr>
        <w:t xml:space="preserve">c) Establecimientos de salud y personas físicas o jurídicas que realicen publicidad de productos </w:t>
      </w:r>
      <w:r>
        <w:rPr>
          <w:rFonts w:ascii="Arial" w:eastAsia="Arial" w:hAnsi="Arial" w:cs="Arial"/>
          <w:b/>
          <w:bCs/>
          <w:color w:val="0F1115"/>
        </w:rPr>
        <w:lastRenderedPageBreak/>
        <w:t>regulados por la DINAVISA:</w:t>
      </w:r>
      <w:r>
        <w:rPr>
          <w:rFonts w:ascii="Arial" w:eastAsia="Arial" w:hAnsi="Arial" w:cs="Arial"/>
          <w:color w:val="0F1115"/>
        </w:rPr>
        <w:t xml:space="preserve"> multa de cuatrocientos (400) jornales mínimos diarios.</w:t>
      </w:r>
    </w:p>
    <w:p w:rsidR="00D763E3" w:rsidRDefault="00D763E3">
      <w:pPr>
        <w:shd w:val="clear" w:color="auto" w:fill="FFFFFF"/>
        <w:spacing w:after="0" w:line="240" w:lineRule="auto"/>
        <w:ind w:left="3543"/>
        <w:jc w:val="both"/>
        <w:rPr>
          <w:rFonts w:ascii="Arial" w:eastAsia="Arial" w:hAnsi="Arial" w:cs="Arial"/>
          <w:color w:val="0F1115"/>
          <w:sz w:val="10"/>
          <w:szCs w:val="10"/>
        </w:rPr>
      </w:pPr>
    </w:p>
    <w:p w:rsidR="00D763E3" w:rsidRDefault="00CF0991">
      <w:pPr>
        <w:shd w:val="clear" w:color="auto" w:fill="FFFFFF"/>
        <w:spacing w:after="0" w:line="240" w:lineRule="auto"/>
        <w:ind w:left="3543"/>
        <w:jc w:val="both"/>
        <w:rPr>
          <w:rFonts w:ascii="Arial" w:eastAsia="Arial" w:hAnsi="Arial" w:cs="Arial"/>
          <w:color w:val="0F1115"/>
        </w:rPr>
      </w:pPr>
      <w:r>
        <w:rPr>
          <w:rFonts w:ascii="Arial" w:eastAsia="Arial" w:hAnsi="Arial" w:cs="Arial"/>
          <w:color w:val="0F1115"/>
        </w:rPr>
        <w:t xml:space="preserve">A los efectos de la presente Resolución, se entenderá por reincidencia la definición establecida en el Artículo 5°, inciso b) del Decreto </w:t>
      </w:r>
      <w:proofErr w:type="spellStart"/>
      <w:r>
        <w:rPr>
          <w:rFonts w:ascii="Arial" w:eastAsia="Arial" w:hAnsi="Arial" w:cs="Arial"/>
          <w:color w:val="0F1115"/>
        </w:rPr>
        <w:t>N°</w:t>
      </w:r>
      <w:proofErr w:type="spellEnd"/>
      <w:r>
        <w:rPr>
          <w:rFonts w:ascii="Arial" w:eastAsia="Arial" w:hAnsi="Arial" w:cs="Arial"/>
          <w:color w:val="0F1115"/>
        </w:rPr>
        <w:t xml:space="preserve"> 9485/2023: haber sido sancionado por la misma falta antes de transcurridos dos (2) años desde la fecha de la resolución firme que impuso la sanción anterior.”</w:t>
      </w:r>
    </w:p>
    <w:p w:rsidR="00D763E3" w:rsidRDefault="00D763E3">
      <w:pPr>
        <w:spacing w:after="0" w:line="240" w:lineRule="auto"/>
        <w:ind w:left="3540"/>
        <w:jc w:val="both"/>
        <w:rPr>
          <w:rFonts w:ascii="Arial" w:eastAsia="Arial" w:hAnsi="Arial" w:cs="Arial"/>
        </w:rPr>
      </w:pPr>
    </w:p>
    <w:p w:rsidR="00D763E3" w:rsidRDefault="00CF0991">
      <w:pPr>
        <w:shd w:val="clear" w:color="auto" w:fill="FFFFFF"/>
        <w:spacing w:after="0" w:line="240" w:lineRule="auto"/>
        <w:ind w:left="1417" w:hanging="1417"/>
        <w:jc w:val="both"/>
        <w:rPr>
          <w:rFonts w:ascii="Arial" w:eastAsia="Arial" w:hAnsi="Arial" w:cs="Arial"/>
          <w:color w:val="0F1115"/>
        </w:rPr>
      </w:pPr>
      <w:r>
        <w:rPr>
          <w:rFonts w:ascii="Arial" w:eastAsia="Arial" w:hAnsi="Arial" w:cs="Arial"/>
          <w:b/>
          <w:bCs/>
          <w:color w:val="0F1115"/>
        </w:rPr>
        <w:t>Artículo 3º.-</w:t>
      </w:r>
      <w:r>
        <w:rPr>
          <w:rFonts w:ascii="Arial" w:eastAsia="Arial" w:hAnsi="Arial" w:cs="Arial"/>
          <w:b/>
          <w:bCs/>
          <w:color w:val="0F1115"/>
        </w:rPr>
        <w:tab/>
      </w:r>
      <w:r>
        <w:rPr>
          <w:rFonts w:ascii="Arial" w:eastAsia="Arial" w:hAnsi="Arial" w:cs="Arial"/>
          <w:color w:val="0F1115"/>
        </w:rPr>
        <w:t xml:space="preserve">Incorporar el Artículo 25 bis a la Resolución DINAVISA </w:t>
      </w:r>
      <w:proofErr w:type="spellStart"/>
      <w:r>
        <w:rPr>
          <w:rFonts w:ascii="Arial" w:eastAsia="Arial" w:hAnsi="Arial" w:cs="Arial"/>
          <w:color w:val="0F1115"/>
        </w:rPr>
        <w:t>N°</w:t>
      </w:r>
      <w:proofErr w:type="spellEnd"/>
      <w:r>
        <w:rPr>
          <w:rFonts w:ascii="Arial" w:eastAsia="Arial" w:hAnsi="Arial" w:cs="Arial"/>
          <w:color w:val="0F1115"/>
        </w:rPr>
        <w:t xml:space="preserve"> 286/2023, con el siguiente texto:</w:t>
      </w:r>
    </w:p>
    <w:p w:rsidR="00D763E3" w:rsidRDefault="00D763E3">
      <w:pPr>
        <w:shd w:val="clear" w:color="auto" w:fill="FFFFFF"/>
        <w:spacing w:after="0" w:line="240" w:lineRule="auto"/>
        <w:ind w:left="1417" w:hanging="1417"/>
        <w:jc w:val="both"/>
        <w:rPr>
          <w:rFonts w:ascii="Arial" w:eastAsia="Arial" w:hAnsi="Arial" w:cs="Arial"/>
          <w:color w:val="0F1115"/>
          <w:sz w:val="10"/>
          <w:szCs w:val="10"/>
        </w:rPr>
      </w:pPr>
    </w:p>
    <w:p w:rsidR="00D763E3" w:rsidRDefault="00CF0991">
      <w:pPr>
        <w:spacing w:after="0" w:line="240" w:lineRule="auto"/>
        <w:ind w:left="3685" w:hanging="1842"/>
        <w:jc w:val="both"/>
        <w:rPr>
          <w:rFonts w:ascii="Arial" w:eastAsia="Arial" w:hAnsi="Arial" w:cs="Arial"/>
          <w:color w:val="0F1115"/>
        </w:rPr>
      </w:pPr>
      <w:r>
        <w:rPr>
          <w:rFonts w:ascii="Arial" w:eastAsia="Arial" w:hAnsi="Arial" w:cs="Arial"/>
          <w:color w:val="0F1115"/>
        </w:rPr>
        <w:t>“Artículo 25 bis: Serán pasibles de las sanciones previstas en la presente Resolución, según su participación en la infracción publicitaria:</w:t>
      </w:r>
    </w:p>
    <w:p w:rsidR="00D763E3" w:rsidRDefault="00D763E3">
      <w:pPr>
        <w:spacing w:after="0" w:line="240" w:lineRule="auto"/>
        <w:ind w:left="3685" w:hanging="1842"/>
        <w:jc w:val="both"/>
        <w:rPr>
          <w:rFonts w:ascii="Arial" w:eastAsia="Arial" w:hAnsi="Arial" w:cs="Arial"/>
          <w:color w:val="0F1115"/>
        </w:rPr>
      </w:pPr>
    </w:p>
    <w:p w:rsidR="00D763E3" w:rsidRDefault="00CF0991">
      <w:pPr>
        <w:spacing w:after="0" w:line="240" w:lineRule="auto"/>
        <w:ind w:left="3968"/>
        <w:jc w:val="both"/>
        <w:rPr>
          <w:rFonts w:ascii="Arial" w:eastAsia="Arial" w:hAnsi="Arial" w:cs="Arial"/>
          <w:color w:val="0F1115"/>
        </w:rPr>
      </w:pPr>
      <w:r>
        <w:rPr>
          <w:rFonts w:ascii="Arial" w:eastAsia="Arial" w:hAnsi="Arial" w:cs="Arial"/>
          <w:color w:val="0F1115"/>
        </w:rPr>
        <w:t>a) El titular del producto, entendido como el titular del registro sanitario, por encargar, autorizar o difundir publicidad sin la autorización otorgada por la DINAVISA, o en infracción a la presente Resolución.</w:t>
      </w:r>
    </w:p>
    <w:p w:rsidR="00D763E3" w:rsidRDefault="00D763E3">
      <w:pPr>
        <w:spacing w:after="0" w:line="276" w:lineRule="auto"/>
        <w:jc w:val="both"/>
        <w:rPr>
          <w:rFonts w:ascii="Arial" w:eastAsia="Arial" w:hAnsi="Arial" w:cs="Arial"/>
          <w:color w:val="0F1115"/>
          <w:sz w:val="10"/>
          <w:szCs w:val="10"/>
        </w:rPr>
      </w:pPr>
    </w:p>
    <w:p w:rsidR="00D763E3" w:rsidRDefault="00CF0991">
      <w:pPr>
        <w:spacing w:after="0" w:line="276" w:lineRule="auto"/>
        <w:ind w:left="3968"/>
        <w:jc w:val="both"/>
        <w:rPr>
          <w:rFonts w:ascii="Arial" w:eastAsia="Arial" w:hAnsi="Arial" w:cs="Arial"/>
          <w:color w:val="0F1115"/>
        </w:rPr>
      </w:pPr>
      <w:r>
        <w:rPr>
          <w:rFonts w:ascii="Arial" w:eastAsia="Arial" w:hAnsi="Arial" w:cs="Arial"/>
          <w:color w:val="0F1115"/>
        </w:rPr>
        <w:t>b) Las farmacias externas, las distribuidoras y los establecimientos de salud, por difundir publicidad de productos regulados por la DINAVISA sin contar con:</w:t>
      </w:r>
    </w:p>
    <w:p w:rsidR="00D763E3" w:rsidRDefault="00D763E3">
      <w:pPr>
        <w:spacing w:after="0" w:line="276" w:lineRule="auto"/>
        <w:ind w:left="3968"/>
        <w:jc w:val="both"/>
        <w:rPr>
          <w:rFonts w:ascii="Arial" w:eastAsia="Arial" w:hAnsi="Arial" w:cs="Arial"/>
          <w:color w:val="0F1115"/>
          <w:sz w:val="10"/>
          <w:szCs w:val="10"/>
        </w:rPr>
      </w:pPr>
    </w:p>
    <w:p w:rsidR="00D763E3" w:rsidRDefault="00CF0991">
      <w:pPr>
        <w:numPr>
          <w:ilvl w:val="0"/>
          <w:numId w:val="1"/>
        </w:numPr>
        <w:spacing w:after="0" w:line="276" w:lineRule="auto"/>
        <w:jc w:val="both"/>
        <w:rPr>
          <w:rFonts w:ascii="Arial" w:eastAsia="Arial" w:hAnsi="Arial" w:cs="Arial"/>
          <w:color w:val="0F1115"/>
        </w:rPr>
      </w:pPr>
      <w:r>
        <w:rPr>
          <w:rFonts w:ascii="Arial" w:eastAsia="Arial" w:hAnsi="Arial" w:cs="Arial"/>
          <w:color w:val="0F1115"/>
        </w:rPr>
        <w:t>La autorización otorgada por la DINAVISA al titular del registro sanitario; y</w:t>
      </w:r>
    </w:p>
    <w:p w:rsidR="00D763E3" w:rsidRDefault="00D763E3">
      <w:pPr>
        <w:spacing w:after="0" w:line="276" w:lineRule="auto"/>
        <w:ind w:left="3968"/>
        <w:jc w:val="both"/>
        <w:rPr>
          <w:rFonts w:ascii="Arial" w:eastAsia="Arial" w:hAnsi="Arial" w:cs="Arial"/>
          <w:color w:val="0F1115"/>
          <w:sz w:val="10"/>
          <w:szCs w:val="10"/>
        </w:rPr>
      </w:pPr>
    </w:p>
    <w:p w:rsidR="00D763E3" w:rsidRDefault="00CF0991">
      <w:pPr>
        <w:numPr>
          <w:ilvl w:val="0"/>
          <w:numId w:val="1"/>
        </w:numPr>
        <w:spacing w:after="0" w:line="276" w:lineRule="auto"/>
        <w:jc w:val="both"/>
        <w:rPr>
          <w:rFonts w:ascii="Arial" w:eastAsia="Arial" w:hAnsi="Arial" w:cs="Arial"/>
          <w:color w:val="0F1115"/>
        </w:rPr>
      </w:pPr>
      <w:r>
        <w:rPr>
          <w:rFonts w:ascii="Arial" w:eastAsia="Arial" w:hAnsi="Arial" w:cs="Arial"/>
          <w:color w:val="0F1115"/>
        </w:rPr>
        <w:t>La autorización documentada del titular del registro sanitario para la publicación del producto en su establecimiento.</w:t>
      </w:r>
    </w:p>
    <w:p w:rsidR="00D763E3" w:rsidRDefault="00D763E3">
      <w:pPr>
        <w:spacing w:after="0" w:line="276" w:lineRule="auto"/>
        <w:jc w:val="both"/>
        <w:rPr>
          <w:rFonts w:ascii="Arial" w:eastAsia="Arial" w:hAnsi="Arial" w:cs="Arial"/>
          <w:color w:val="0F1115"/>
          <w:sz w:val="10"/>
          <w:szCs w:val="10"/>
        </w:rPr>
      </w:pPr>
    </w:p>
    <w:p w:rsidR="00D763E3" w:rsidRDefault="00CF0991">
      <w:pPr>
        <w:spacing w:after="0" w:line="276" w:lineRule="auto"/>
        <w:ind w:left="3968"/>
        <w:jc w:val="both"/>
        <w:rPr>
          <w:rFonts w:ascii="Arial" w:eastAsia="Arial" w:hAnsi="Arial" w:cs="Arial"/>
          <w:color w:val="0F1115"/>
        </w:rPr>
      </w:pPr>
      <w:r>
        <w:rPr>
          <w:rFonts w:ascii="Arial" w:eastAsia="Arial" w:hAnsi="Arial" w:cs="Arial"/>
          <w:color w:val="0F1115"/>
        </w:rPr>
        <w:t xml:space="preserve">c) Las personas físicas o jurídicas que realicen publicidad de productos regulados por la DINAVISA, incluyendo, de manera enunciativa y </w:t>
      </w:r>
      <w:r>
        <w:rPr>
          <w:rFonts w:ascii="Arial" w:eastAsia="Arial" w:hAnsi="Arial" w:cs="Arial"/>
          <w:color w:val="0F1115"/>
        </w:rPr>
        <w:lastRenderedPageBreak/>
        <w:t xml:space="preserve">no limitativa, a las agencias publicitarias, medios de comunicación, plataformas digitales, redes sociales, locutores, </w:t>
      </w:r>
      <w:proofErr w:type="spellStart"/>
      <w:r>
        <w:rPr>
          <w:rFonts w:ascii="Arial" w:eastAsia="Arial" w:hAnsi="Arial" w:cs="Arial"/>
          <w:color w:val="0F1115"/>
        </w:rPr>
        <w:t>influencers</w:t>
      </w:r>
      <w:proofErr w:type="spellEnd"/>
      <w:r>
        <w:rPr>
          <w:rFonts w:ascii="Arial" w:eastAsia="Arial" w:hAnsi="Arial" w:cs="Arial"/>
          <w:color w:val="0F1115"/>
        </w:rPr>
        <w:t>, y cualquier persona física o jurídica que preste un espacio publicitario, por difundir el mensaje sin contar con:</w:t>
      </w:r>
    </w:p>
    <w:p w:rsidR="00D763E3" w:rsidRDefault="00D763E3">
      <w:pPr>
        <w:spacing w:after="0" w:line="276" w:lineRule="auto"/>
        <w:jc w:val="both"/>
        <w:rPr>
          <w:rFonts w:ascii="Arial" w:eastAsia="Arial" w:hAnsi="Arial" w:cs="Arial"/>
          <w:color w:val="0F1115"/>
          <w:sz w:val="10"/>
          <w:szCs w:val="10"/>
        </w:rPr>
      </w:pPr>
    </w:p>
    <w:p w:rsidR="00D763E3" w:rsidRDefault="00CF0991">
      <w:pPr>
        <w:numPr>
          <w:ilvl w:val="0"/>
          <w:numId w:val="2"/>
        </w:numPr>
        <w:spacing w:after="0" w:line="276" w:lineRule="auto"/>
        <w:ind w:left="4393"/>
        <w:jc w:val="both"/>
        <w:rPr>
          <w:rFonts w:ascii="Arial" w:eastAsia="Arial" w:hAnsi="Arial" w:cs="Arial"/>
          <w:color w:val="0F1115"/>
        </w:rPr>
      </w:pPr>
      <w:r>
        <w:rPr>
          <w:rFonts w:ascii="Arial" w:eastAsia="Arial" w:hAnsi="Arial" w:cs="Arial"/>
          <w:color w:val="0F1115"/>
        </w:rPr>
        <w:t>La autorización otorgada por la DINAVISA al titular del registro sanitario; y</w:t>
      </w:r>
    </w:p>
    <w:p w:rsidR="00D763E3" w:rsidRDefault="00CF0991">
      <w:pPr>
        <w:numPr>
          <w:ilvl w:val="0"/>
          <w:numId w:val="2"/>
        </w:numPr>
        <w:spacing w:after="0" w:line="276" w:lineRule="auto"/>
        <w:ind w:left="4393"/>
        <w:jc w:val="both"/>
        <w:rPr>
          <w:rFonts w:ascii="Arial" w:eastAsia="Arial" w:hAnsi="Arial" w:cs="Arial"/>
          <w:color w:val="0F1115"/>
        </w:rPr>
      </w:pPr>
      <w:r>
        <w:rPr>
          <w:rFonts w:ascii="Arial" w:eastAsia="Arial" w:hAnsi="Arial" w:cs="Arial"/>
          <w:color w:val="0F1115"/>
        </w:rPr>
        <w:t>La autorización documentada del titular del registro sanitario para la publicación correspondiente, conforme al Artículo 21 de la presente Resolución.”</w:t>
      </w:r>
    </w:p>
    <w:p w:rsidR="00D763E3" w:rsidRDefault="00D763E3">
      <w:pPr>
        <w:spacing w:after="0" w:line="240" w:lineRule="auto"/>
        <w:ind w:left="720"/>
        <w:jc w:val="both"/>
        <w:rPr>
          <w:rFonts w:ascii="Arial" w:eastAsia="Arial" w:hAnsi="Arial" w:cs="Arial"/>
          <w:color w:val="0F1115"/>
        </w:rPr>
      </w:pPr>
    </w:p>
    <w:p w:rsidR="00D763E3" w:rsidRDefault="00CF0991">
      <w:pPr>
        <w:spacing w:after="0" w:line="240" w:lineRule="auto"/>
        <w:ind w:left="1416"/>
        <w:jc w:val="both"/>
        <w:rPr>
          <w:rFonts w:ascii="Arial" w:eastAsia="Arial" w:hAnsi="Arial" w:cs="Arial"/>
        </w:rPr>
      </w:pPr>
      <w:bookmarkStart w:id="1" w:name="_heading=h.fv32tkscs92o" w:colFirst="0" w:colLast="0"/>
      <w:bookmarkEnd w:id="1"/>
      <w:r>
        <w:rPr>
          <w:rFonts w:ascii="Arial" w:eastAsia="Arial" w:hAnsi="Arial" w:cs="Arial"/>
          <w:b/>
          <w:bCs/>
        </w:rPr>
        <w:t>Artículo 4º.-</w:t>
      </w:r>
      <w:r>
        <w:rPr>
          <w:rFonts w:ascii="Arial" w:eastAsia="Arial" w:hAnsi="Arial" w:cs="Arial"/>
        </w:rPr>
        <w:tab/>
        <w:t xml:space="preserve">Anexar la presente Resolución a la Resolución DINAVISA </w:t>
      </w:r>
      <w:proofErr w:type="spellStart"/>
      <w:r>
        <w:rPr>
          <w:rFonts w:ascii="Arial" w:eastAsia="Arial" w:hAnsi="Arial" w:cs="Arial"/>
        </w:rPr>
        <w:t>Nº</w:t>
      </w:r>
      <w:proofErr w:type="spellEnd"/>
      <w:r>
        <w:rPr>
          <w:rFonts w:ascii="Arial" w:eastAsia="Arial" w:hAnsi="Arial" w:cs="Arial"/>
        </w:rPr>
        <w:t xml:space="preserve"> 286 de fecha 19 de mayo de 2023.</w:t>
      </w:r>
    </w:p>
    <w:p w:rsidR="00D763E3" w:rsidRDefault="00D763E3">
      <w:pPr>
        <w:spacing w:after="0" w:line="240" w:lineRule="auto"/>
        <w:jc w:val="both"/>
        <w:rPr>
          <w:rFonts w:ascii="Arial" w:eastAsia="Arial" w:hAnsi="Arial" w:cs="Arial"/>
        </w:rPr>
      </w:pPr>
    </w:p>
    <w:p w:rsidR="00D763E3" w:rsidRDefault="00CF0991">
      <w:pPr>
        <w:spacing w:after="0" w:line="240" w:lineRule="auto"/>
        <w:ind w:left="1416" w:hanging="1416"/>
        <w:jc w:val="both"/>
        <w:rPr>
          <w:rFonts w:ascii="Arial" w:eastAsia="Arial" w:hAnsi="Arial" w:cs="Arial"/>
        </w:rPr>
      </w:pPr>
      <w:r>
        <w:rPr>
          <w:rFonts w:ascii="Arial" w:eastAsia="Arial" w:hAnsi="Arial" w:cs="Arial"/>
          <w:b/>
          <w:bCs/>
        </w:rPr>
        <w:t>Artículo 5º.-</w:t>
      </w:r>
      <w:r>
        <w:rPr>
          <w:rFonts w:ascii="Arial" w:eastAsia="Arial" w:hAnsi="Arial" w:cs="Arial"/>
        </w:rPr>
        <w:tab/>
        <w:t>La presente Resolución entrará en vigencia a partir de la fecha de su firma, y su aplicación será inmediata a todas las infracciones publicitarias que se detecten a partir de dicha fecha.</w:t>
      </w:r>
    </w:p>
    <w:p w:rsidR="00D763E3" w:rsidRDefault="00D763E3">
      <w:pPr>
        <w:spacing w:after="0" w:line="240" w:lineRule="auto"/>
        <w:jc w:val="both"/>
        <w:rPr>
          <w:rFonts w:ascii="Arial" w:eastAsia="Arial" w:hAnsi="Arial" w:cs="Arial"/>
        </w:rPr>
      </w:pPr>
    </w:p>
    <w:p w:rsidR="00D763E3" w:rsidRDefault="00CF0991">
      <w:pPr>
        <w:spacing w:after="0" w:line="240" w:lineRule="auto"/>
        <w:jc w:val="both"/>
        <w:rPr>
          <w:rFonts w:ascii="Arial" w:eastAsia="Arial" w:hAnsi="Arial" w:cs="Arial"/>
        </w:rPr>
      </w:pPr>
      <w:r>
        <w:rPr>
          <w:rFonts w:ascii="Arial" w:eastAsia="Arial" w:hAnsi="Arial" w:cs="Arial"/>
          <w:b/>
          <w:bCs/>
        </w:rPr>
        <w:t>Artículo 6º.-</w:t>
      </w:r>
      <w:r>
        <w:rPr>
          <w:rFonts w:ascii="Arial" w:eastAsia="Arial" w:hAnsi="Arial" w:cs="Arial"/>
        </w:rPr>
        <w:tab/>
        <w:t>Comunicar a quienes corresponda y cumplido, archivar.</w:t>
      </w:r>
    </w:p>
    <w:p w:rsidR="00D763E3" w:rsidRDefault="00D763E3">
      <w:pPr>
        <w:spacing w:after="0" w:line="240" w:lineRule="auto"/>
        <w:jc w:val="both"/>
        <w:rPr>
          <w:rFonts w:ascii="Arial" w:eastAsia="Arial" w:hAnsi="Arial" w:cs="Arial"/>
        </w:rPr>
      </w:pPr>
    </w:p>
    <w:p w:rsidR="00D763E3" w:rsidRDefault="00D763E3">
      <w:pPr>
        <w:spacing w:after="0" w:line="240" w:lineRule="auto"/>
        <w:jc w:val="both"/>
        <w:rPr>
          <w:rFonts w:ascii="Arial" w:eastAsia="Arial" w:hAnsi="Arial" w:cs="Arial"/>
          <w:highlight w:val="yellow"/>
        </w:rPr>
      </w:pPr>
    </w:p>
    <w:sectPr w:rsidR="00D763E3">
      <w:headerReference w:type="default" r:id="rId8"/>
      <w:footerReference w:type="default" r:id="rId9"/>
      <w:pgSz w:w="12240" w:h="1872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0403" w:rsidRDefault="00930403">
      <w:pPr>
        <w:spacing w:after="0" w:line="240" w:lineRule="auto"/>
      </w:pPr>
      <w:r>
        <w:separator/>
      </w:r>
    </w:p>
  </w:endnote>
  <w:endnote w:type="continuationSeparator" w:id="0">
    <w:p w:rsidR="00930403" w:rsidRDefault="00930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8E18EE4-0E8B-46E0-9D60-4E8ED6B1C57D}"/>
    <w:embedBold r:id="rId2" w:fontKey="{BC6690A4-8B44-4F6D-95A7-F9D44E9316F6}"/>
  </w:font>
  <w:font w:name="Georgia">
    <w:panose1 w:val="02040502050405020303"/>
    <w:charset w:val="00"/>
    <w:family w:val="roman"/>
    <w:pitch w:val="variable"/>
    <w:sig w:usb0="00000287" w:usb1="00000000" w:usb2="00000000" w:usb3="00000000" w:csb0="0000009F" w:csb1="00000000"/>
    <w:embedItalic r:id="rId3" w:fontKey="{91D7D56A-6099-44BE-BCEF-0A35BE6DA275}"/>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0C653DD9-8BC8-478B-B377-553127E6BC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3CC" w:rsidRP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b/>
        <w:color w:val="000000"/>
        <w:sz w:val="16"/>
        <w:szCs w:val="16"/>
      </w:rPr>
    </w:pPr>
    <w:bookmarkStart w:id="2" w:name="_Hlk230105320"/>
  </w:p>
  <w:p w:rsidR="00B503CC" w:rsidRP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b/>
        <w:color w:val="000000"/>
        <w:sz w:val="16"/>
        <w:szCs w:val="16"/>
      </w:rPr>
    </w:pPr>
  </w:p>
  <w:p w:rsidR="00B503CC" w:rsidRP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b/>
        <w:color w:val="000000"/>
        <w:sz w:val="16"/>
        <w:szCs w:val="16"/>
      </w:rPr>
    </w:pPr>
  </w:p>
  <w:p w:rsidR="00B503CC" w:rsidRP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b/>
        <w:color w:val="000000"/>
        <w:sz w:val="16"/>
        <w:szCs w:val="16"/>
      </w:rPr>
    </w:pPr>
  </w:p>
  <w:p w:rsidR="00B503CC" w:rsidRP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b/>
        <w:color w:val="000000"/>
        <w:sz w:val="16"/>
        <w:szCs w:val="16"/>
      </w:rPr>
    </w:pPr>
  </w:p>
  <w:p w:rsid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color w:val="000000"/>
        <w:sz w:val="14"/>
        <w:szCs w:val="14"/>
      </w:rPr>
    </w:pPr>
    <w:r>
      <w:rPr>
        <w:rFonts w:ascii="Arial" w:eastAsia="Arial" w:hAnsi="Arial" w:cs="Arial"/>
        <w:b/>
        <w:color w:val="000000"/>
        <w:sz w:val="14"/>
        <w:szCs w:val="14"/>
      </w:rPr>
      <w:t>Misión</w:t>
    </w:r>
    <w:r>
      <w:rPr>
        <w:rFonts w:ascii="Arial" w:eastAsia="Arial" w:hAnsi="Arial" w:cs="Arial"/>
        <w:color w:val="000000"/>
        <w:sz w:val="14"/>
        <w:szCs w:val="14"/>
      </w:rPr>
      <w:t>: Regular, vigilar y fiscalizar productos de aplicación en medicina y otros asignados por ley, para garantizar la calidad, seguridad y eficacia de los mismos en beneficio de las personas, respondiendo a los desafíos de la innovación y promoviendo el desarrollo, a través de acciones coordinadas e integradas, sostenidas en normas técnicas.</w:t>
    </w:r>
  </w:p>
  <w:p w:rsid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color w:val="000000"/>
        <w:sz w:val="14"/>
        <w:szCs w:val="14"/>
      </w:rPr>
    </w:pPr>
    <w:r>
      <w:rPr>
        <w:rFonts w:ascii="Arial" w:eastAsia="Arial" w:hAnsi="Arial" w:cs="Arial"/>
        <w:b/>
        <w:color w:val="000000"/>
        <w:sz w:val="14"/>
        <w:szCs w:val="14"/>
      </w:rPr>
      <w:t xml:space="preserve">Visión: </w:t>
    </w:r>
    <w:r>
      <w:rPr>
        <w:rFonts w:ascii="Arial" w:eastAsia="Arial" w:hAnsi="Arial" w:cs="Arial"/>
        <w:color w:val="000000"/>
        <w:sz w:val="14"/>
        <w:szCs w:val="14"/>
      </w:rPr>
      <w:t>Ser una institución reguladora y fiscalizadora de Referencia Nacional e Internacional reconocida por su capacidad técnica, credibilidad y compromiso con la protección de la salud de la población y el desarrollo nacional.</w:t>
    </w:r>
  </w:p>
  <w:p w:rsidR="00B503CC" w:rsidRDefault="00B503CC" w:rsidP="00B503CC">
    <w:pPr>
      <w:pBdr>
        <w:top w:val="nil"/>
        <w:left w:val="nil"/>
        <w:bottom w:val="nil"/>
        <w:right w:val="nil"/>
        <w:between w:val="nil"/>
      </w:pBdr>
      <w:tabs>
        <w:tab w:val="center" w:pos="4252"/>
        <w:tab w:val="right" w:pos="8504"/>
      </w:tabs>
      <w:spacing w:after="0"/>
      <w:jc w:val="both"/>
      <w:rPr>
        <w:rFonts w:ascii="Arial" w:eastAsia="Arial" w:hAnsi="Arial" w:cs="Arial"/>
        <w:color w:val="000000"/>
        <w:sz w:val="14"/>
        <w:szCs w:val="14"/>
      </w:rPr>
    </w:pPr>
  </w:p>
  <w:p w:rsidR="00B503CC" w:rsidRDefault="00B503CC" w:rsidP="00B503CC">
    <w:pPr>
      <w:pBdr>
        <w:top w:val="nil"/>
        <w:left w:val="nil"/>
        <w:bottom w:val="nil"/>
        <w:right w:val="nil"/>
        <w:between w:val="nil"/>
      </w:pBdr>
      <w:tabs>
        <w:tab w:val="center" w:pos="4252"/>
        <w:tab w:val="right" w:pos="8504"/>
      </w:tabs>
      <w:spacing w:after="0"/>
      <w:jc w:val="center"/>
      <w:rPr>
        <w:rFonts w:ascii="Arial" w:eastAsia="Arial" w:hAnsi="Arial" w:cs="Arial"/>
        <w:color w:val="000000"/>
        <w:sz w:val="14"/>
        <w:szCs w:val="14"/>
      </w:rPr>
    </w:pPr>
    <w:r>
      <w:rPr>
        <w:rFonts w:ascii="Arial" w:eastAsia="Arial" w:hAnsi="Arial" w:cs="Arial"/>
        <w:b/>
        <w:color w:val="000000"/>
        <w:sz w:val="14"/>
        <w:szCs w:val="14"/>
      </w:rPr>
      <w:t xml:space="preserve">Iturbe </w:t>
    </w:r>
    <w:proofErr w:type="spellStart"/>
    <w:r>
      <w:rPr>
        <w:rFonts w:ascii="Arial" w:eastAsia="Arial" w:hAnsi="Arial" w:cs="Arial"/>
        <w:b/>
        <w:color w:val="000000"/>
        <w:sz w:val="14"/>
        <w:szCs w:val="14"/>
      </w:rPr>
      <w:t>Nº</w:t>
    </w:r>
    <w:proofErr w:type="spellEnd"/>
    <w:r>
      <w:rPr>
        <w:rFonts w:ascii="Arial" w:eastAsia="Arial" w:hAnsi="Arial" w:cs="Arial"/>
        <w:b/>
        <w:color w:val="000000"/>
        <w:sz w:val="14"/>
        <w:szCs w:val="14"/>
      </w:rPr>
      <w:t xml:space="preserve"> 883 e/ Manuel Domínguez y Fulgencio R. Moreno</w:t>
    </w:r>
  </w:p>
  <w:p w:rsidR="00B503CC" w:rsidRDefault="00B503CC" w:rsidP="00B503CC">
    <w:pPr>
      <w:pBdr>
        <w:top w:val="nil"/>
        <w:left w:val="nil"/>
        <w:bottom w:val="nil"/>
        <w:right w:val="nil"/>
        <w:between w:val="nil"/>
      </w:pBdr>
      <w:tabs>
        <w:tab w:val="center" w:pos="4252"/>
        <w:tab w:val="right" w:pos="8504"/>
      </w:tabs>
      <w:spacing w:after="0"/>
      <w:jc w:val="center"/>
      <w:rPr>
        <w:rFonts w:ascii="Arial" w:eastAsia="Arial" w:hAnsi="Arial" w:cs="Arial"/>
        <w:color w:val="000000"/>
        <w:sz w:val="14"/>
        <w:szCs w:val="14"/>
      </w:rPr>
    </w:pPr>
    <w:r>
      <w:rPr>
        <w:rFonts w:ascii="Arial" w:eastAsia="Arial" w:hAnsi="Arial" w:cs="Arial"/>
        <w:b/>
        <w:color w:val="000000"/>
        <w:sz w:val="14"/>
        <w:szCs w:val="14"/>
      </w:rPr>
      <w:t>Asunción, Paraguay</w:t>
    </w:r>
    <w:bookmarkEnd w:id="2"/>
  </w:p>
  <w:p w:rsidR="00B503CC" w:rsidRDefault="00B503CC" w:rsidP="00B503CC">
    <w:pPr>
      <w:pBdr>
        <w:top w:val="nil"/>
        <w:left w:val="nil"/>
        <w:bottom w:val="nil"/>
        <w:right w:val="nil"/>
        <w:between w:val="nil"/>
      </w:pBdr>
      <w:tabs>
        <w:tab w:val="center" w:pos="4252"/>
        <w:tab w:val="right" w:pos="8504"/>
      </w:tabs>
      <w:spacing w:after="0" w:line="240" w:lineRule="auto"/>
      <w:ind w:hanging="2"/>
      <w:jc w:val="right"/>
      <w:rPr>
        <w:color w:val="000000"/>
      </w:rPr>
    </w:pPr>
    <w:r>
      <w:rPr>
        <w:color w:val="000000"/>
        <w:sz w:val="16"/>
        <w:szCs w:val="16"/>
      </w:rPr>
      <w:t xml:space="preserve">Página </w:t>
    </w:r>
    <w:r>
      <w:rPr>
        <w:b/>
        <w:color w:val="000000"/>
        <w:sz w:val="16"/>
        <w:szCs w:val="16"/>
      </w:rPr>
      <w:fldChar w:fldCharType="begin"/>
    </w:r>
    <w:r>
      <w:rPr>
        <w:b/>
        <w:color w:val="000000"/>
        <w:sz w:val="16"/>
        <w:szCs w:val="16"/>
      </w:rPr>
      <w:instrText>PAGE</w:instrText>
    </w:r>
    <w:r>
      <w:rPr>
        <w:b/>
        <w:color w:val="000000"/>
        <w:sz w:val="16"/>
        <w:szCs w:val="16"/>
      </w:rPr>
      <w:fldChar w:fldCharType="separate"/>
    </w:r>
    <w:r>
      <w:rPr>
        <w:b/>
        <w:color w:val="000000"/>
        <w:sz w:val="16"/>
        <w:szCs w:val="16"/>
      </w:rPr>
      <w:t>2</w:t>
    </w:r>
    <w:r>
      <w:rPr>
        <w:b/>
        <w:color w:val="000000"/>
        <w:sz w:val="16"/>
        <w:szCs w:val="16"/>
      </w:rPr>
      <w:fldChar w:fldCharType="end"/>
    </w:r>
    <w:r>
      <w:rPr>
        <w:color w:val="000000"/>
        <w:sz w:val="16"/>
        <w:szCs w:val="16"/>
      </w:rPr>
      <w:t xml:space="preserve"> de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Pr>
        <w:b/>
        <w:color w:val="000000"/>
        <w:sz w:val="16"/>
        <w:szCs w:val="16"/>
      </w:rPr>
      <w:t>3</w:t>
    </w:r>
    <w:r>
      <w:rPr>
        <w:b/>
        <w:color w:val="000000"/>
        <w:sz w:val="16"/>
        <w:szCs w:val="16"/>
      </w:rPr>
      <w:fldChar w:fldCharType="end"/>
    </w:r>
  </w:p>
  <w:p w:rsidR="00B503CC" w:rsidRDefault="00B503C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0403" w:rsidRDefault="00930403">
      <w:pPr>
        <w:spacing w:after="0" w:line="240" w:lineRule="auto"/>
      </w:pPr>
      <w:r>
        <w:separator/>
      </w:r>
    </w:p>
  </w:footnote>
  <w:footnote w:type="continuationSeparator" w:id="0">
    <w:p w:rsidR="00930403" w:rsidRDefault="00930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3E3" w:rsidRDefault="00CF0991">
    <w:pPr>
      <w:tabs>
        <w:tab w:val="center" w:pos="4252"/>
        <w:tab w:val="right" w:pos="8504"/>
      </w:tabs>
      <w:spacing w:after="0" w:line="240" w:lineRule="auto"/>
      <w:jc w:val="center"/>
      <w:rPr>
        <w:rFonts w:ascii="Arial" w:eastAsia="Arial" w:hAnsi="Arial" w:cs="Arial"/>
        <w:i/>
        <w:iCs/>
      </w:rPr>
    </w:pPr>
    <w:r>
      <w:rPr>
        <w:rFonts w:ascii="Arial" w:eastAsia="Arial" w:hAnsi="Arial" w:cs="Arial"/>
        <w:i/>
        <w:iCs/>
      </w:rPr>
      <w:t>“Sesquicentenario de la Epopeya Nacional: 1864 – 1870”</w:t>
    </w:r>
  </w:p>
  <w:p w:rsidR="00D763E3" w:rsidRDefault="00D763E3">
    <w:pPr>
      <w:tabs>
        <w:tab w:val="center" w:pos="4252"/>
        <w:tab w:val="right" w:pos="8504"/>
      </w:tabs>
      <w:spacing w:after="0" w:line="240" w:lineRule="auto"/>
      <w:jc w:val="center"/>
      <w:rPr>
        <w:rFonts w:ascii="Arial" w:eastAsia="Arial" w:hAnsi="Arial" w:cs="Arial"/>
        <w:i/>
        <w:iCs/>
        <w:sz w:val="10"/>
        <w:szCs w:val="10"/>
      </w:rPr>
    </w:pPr>
  </w:p>
  <w:p w:rsidR="00D763E3" w:rsidRDefault="00CF0991">
    <w:pPr>
      <w:tabs>
        <w:tab w:val="center" w:pos="4748"/>
        <w:tab w:val="left" w:pos="6714"/>
      </w:tabs>
      <w:spacing w:after="0" w:line="240" w:lineRule="auto"/>
      <w:jc w:val="center"/>
      <w:rPr>
        <w:rFonts w:ascii="Arial" w:eastAsia="Arial" w:hAnsi="Arial" w:cs="Arial"/>
        <w:i/>
        <w:iCs/>
      </w:rPr>
    </w:pPr>
    <w:r>
      <w:rPr>
        <w:rFonts w:ascii="Arial" w:eastAsia="Arial" w:hAnsi="Arial" w:cs="Arial"/>
        <w:i/>
        <w:iCs/>
        <w:noProof/>
        <w:sz w:val="24"/>
        <w:szCs w:val="24"/>
      </w:rPr>
      <w:drawing>
        <wp:inline distT="0" distB="0" distL="0" distR="0">
          <wp:extent cx="566738" cy="566738"/>
          <wp:effectExtent l="0" t="0" r="0" b="0"/>
          <wp:docPr id="1" name="image1.png" descr="24.Escudo - Gloria Inés Montaño 2014"/>
          <wp:cNvGraphicFramePr/>
          <a:graphic xmlns:a="http://schemas.openxmlformats.org/drawingml/2006/main">
            <a:graphicData uri="http://schemas.openxmlformats.org/drawingml/2006/picture">
              <pic:pic xmlns:pic="http://schemas.openxmlformats.org/drawingml/2006/picture">
                <pic:nvPicPr>
                  <pic:cNvPr id="0" name="image1.png" descr="24.Escudo - Gloria Inés Montaño 2014"/>
                  <pic:cNvPicPr preferRelativeResize="0"/>
                </pic:nvPicPr>
                <pic:blipFill>
                  <a:blip r:embed="rId1"/>
                  <a:srcRect/>
                  <a:stretch>
                    <a:fillRect/>
                  </a:stretch>
                </pic:blipFill>
                <pic:spPr>
                  <a:xfrm>
                    <a:off x="0" y="0"/>
                    <a:ext cx="566738" cy="566738"/>
                  </a:xfrm>
                  <a:prstGeom prst="rect">
                    <a:avLst/>
                  </a:prstGeom>
                  <a:ln/>
                </pic:spPr>
              </pic:pic>
            </a:graphicData>
          </a:graphic>
        </wp:inline>
      </w:drawing>
    </w:r>
  </w:p>
  <w:p w:rsidR="00D763E3" w:rsidRDefault="00D763E3">
    <w:pPr>
      <w:spacing w:after="0" w:line="240" w:lineRule="auto"/>
      <w:jc w:val="center"/>
      <w:rPr>
        <w:rFonts w:ascii="Arial" w:eastAsia="Arial" w:hAnsi="Arial" w:cs="Arial"/>
        <w:sz w:val="10"/>
        <w:szCs w:val="10"/>
      </w:rPr>
    </w:pPr>
  </w:p>
  <w:p w:rsidR="00D763E3" w:rsidRDefault="00CF0991">
    <w:pPr>
      <w:spacing w:after="0" w:line="240" w:lineRule="auto"/>
      <w:jc w:val="center"/>
      <w:rPr>
        <w:rFonts w:ascii="Arial" w:eastAsia="Arial" w:hAnsi="Arial" w:cs="Arial"/>
        <w:b/>
        <w:bCs/>
        <w:i/>
        <w:iCs/>
      </w:rPr>
    </w:pPr>
    <w:r>
      <w:rPr>
        <w:rFonts w:ascii="Arial" w:eastAsia="Arial" w:hAnsi="Arial" w:cs="Arial"/>
        <w:b/>
        <w:bCs/>
        <w:i/>
        <w:iCs/>
      </w:rPr>
      <w:t>Poder Ejecutivo</w:t>
    </w:r>
  </w:p>
  <w:p w:rsidR="00D763E3" w:rsidRDefault="00CF0991">
    <w:pPr>
      <w:spacing w:after="0" w:line="240" w:lineRule="auto"/>
      <w:jc w:val="center"/>
      <w:rPr>
        <w:rFonts w:ascii="Arial" w:eastAsia="Arial" w:hAnsi="Arial" w:cs="Arial"/>
        <w:b/>
        <w:bCs/>
        <w:i/>
        <w:iCs/>
      </w:rPr>
    </w:pPr>
    <w:r>
      <w:rPr>
        <w:rFonts w:ascii="Arial" w:eastAsia="Arial" w:hAnsi="Arial" w:cs="Arial"/>
        <w:b/>
        <w:bCs/>
        <w:i/>
        <w:iCs/>
      </w:rPr>
      <w:t>Dirección Nacional de Vigilancia Sanitaria</w:t>
    </w:r>
  </w:p>
  <w:p w:rsidR="00D763E3" w:rsidRDefault="00D763E3">
    <w:pPr>
      <w:spacing w:after="0" w:line="240" w:lineRule="auto"/>
      <w:jc w:val="center"/>
      <w:rPr>
        <w:rFonts w:ascii="Arial" w:eastAsia="Arial" w:hAnsi="Arial" w:cs="Arial"/>
        <w:b/>
        <w:bCs/>
        <w:i/>
        <w:iCs/>
      </w:rPr>
    </w:pPr>
  </w:p>
  <w:p w:rsidR="00D763E3" w:rsidRDefault="00CF0991">
    <w:pPr>
      <w:spacing w:after="0" w:line="240" w:lineRule="auto"/>
      <w:jc w:val="center"/>
      <w:rPr>
        <w:rFonts w:ascii="Arial" w:eastAsia="Arial" w:hAnsi="Arial" w:cs="Arial"/>
        <w:b/>
        <w:bCs/>
      </w:rPr>
    </w:pPr>
    <w:r>
      <w:rPr>
        <w:rFonts w:ascii="Arial" w:eastAsia="Arial" w:hAnsi="Arial" w:cs="Arial"/>
        <w:b/>
        <w:bCs/>
      </w:rPr>
      <w:t xml:space="preserve">Resolución DINAVISA </w:t>
    </w:r>
    <w:proofErr w:type="spellStart"/>
    <w:r>
      <w:rPr>
        <w:rFonts w:ascii="Arial" w:eastAsia="Arial" w:hAnsi="Arial" w:cs="Arial"/>
        <w:b/>
        <w:bCs/>
      </w:rPr>
      <w:t>N°</w:t>
    </w:r>
    <w:proofErr w:type="spellEnd"/>
    <w:r>
      <w:rPr>
        <w:rFonts w:ascii="Arial" w:eastAsia="Arial" w:hAnsi="Arial" w:cs="Arial"/>
        <w:b/>
        <w:bCs/>
      </w:rPr>
      <w:t xml:space="preserve"> XXX/2026</w:t>
    </w:r>
  </w:p>
  <w:p w:rsidR="00D763E3" w:rsidRDefault="00D763E3">
    <w:pPr>
      <w:spacing w:after="0" w:line="240" w:lineRule="auto"/>
      <w:jc w:val="both"/>
      <w:rPr>
        <w:rFonts w:ascii="Arial" w:eastAsia="Arial" w:hAnsi="Arial" w:cs="Arial"/>
        <w:b/>
        <w:bCs/>
      </w:rPr>
    </w:pPr>
  </w:p>
  <w:p w:rsidR="00D763E3" w:rsidRDefault="00CF0991">
    <w:pPr>
      <w:spacing w:after="0" w:line="240" w:lineRule="auto"/>
      <w:jc w:val="both"/>
      <w:rPr>
        <w:rFonts w:ascii="Arial" w:eastAsia="Arial" w:hAnsi="Arial" w:cs="Arial"/>
        <w:b/>
        <w:bCs/>
      </w:rPr>
    </w:pPr>
    <w:r>
      <w:rPr>
        <w:rFonts w:ascii="Arial" w:eastAsia="Arial" w:hAnsi="Arial" w:cs="Arial"/>
        <w:b/>
        <w:bCs/>
      </w:rPr>
      <w:t xml:space="preserve">POR LA CUAL SE MODIFICA EL ARTÍCULO 24 Y 25 DE LA RESOLUCIÓN DINAVISA </w:t>
    </w:r>
    <w:proofErr w:type="spellStart"/>
    <w:r>
      <w:rPr>
        <w:rFonts w:ascii="Arial" w:eastAsia="Arial" w:hAnsi="Arial" w:cs="Arial"/>
        <w:b/>
        <w:bCs/>
      </w:rPr>
      <w:t>N°</w:t>
    </w:r>
    <w:proofErr w:type="spellEnd"/>
    <w:r>
      <w:rPr>
        <w:rFonts w:ascii="Arial" w:eastAsia="Arial" w:hAnsi="Arial" w:cs="Arial"/>
        <w:b/>
        <w:bCs/>
      </w:rPr>
      <w:t xml:space="preserve"> 286/2023 “POR LA CUAL SE ESTABLECEN CRITERIOS PARA LA CONCESIÓN DE LA AUTORIZACIÓN AUTOMÁTICA Y FISCALIZACIÓN DE PUBLICIDAD DE ESPECIALIDADES FARMACÉUTICAS, MEDICAMENTOS FITOTERÁPICOS, HOMEOPÁTICOS Y SUPLEMENTOS DIETARIOS, DE LIBRE VENTA O LIBRE VENTA EN FARMACIAS”.</w:t>
    </w:r>
  </w:p>
  <w:p w:rsidR="00D763E3" w:rsidRDefault="00D763E3">
    <w:pPr>
      <w:spacing w:after="0" w:line="240" w:lineRule="auto"/>
      <w:jc w:val="right"/>
      <w:rPr>
        <w:rFonts w:ascii="Arial" w:eastAsia="Arial" w:hAnsi="Arial" w:cs="Arial"/>
        <w:b/>
        <w:bCs/>
      </w:rPr>
    </w:pPr>
  </w:p>
  <w:p w:rsidR="00D763E3" w:rsidRDefault="00CF0991">
    <w:pPr>
      <w:spacing w:after="0" w:line="240" w:lineRule="auto"/>
      <w:jc w:val="right"/>
      <w:rPr>
        <w:rFonts w:ascii="Arial" w:eastAsia="Arial" w:hAnsi="Arial" w:cs="Arial"/>
      </w:rPr>
    </w:pPr>
    <w:r>
      <w:rPr>
        <w:rFonts w:ascii="Arial" w:eastAsia="Arial" w:hAnsi="Arial" w:cs="Arial"/>
      </w:rPr>
      <w:t>Asunción, XX de XXXX de 2026</w:t>
    </w:r>
  </w:p>
  <w:p w:rsidR="00D763E3" w:rsidRDefault="00D763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729A5"/>
    <w:multiLevelType w:val="multilevel"/>
    <w:tmpl w:val="C9A0758C"/>
    <w:lvl w:ilvl="0">
      <w:start w:val="1"/>
      <w:numFmt w:val="decimal"/>
      <w:lvlText w:val="%1."/>
      <w:lvlJc w:val="left"/>
      <w:pPr>
        <w:ind w:left="5040" w:hanging="360"/>
      </w:pPr>
      <w:rPr>
        <w:u w:val="none"/>
      </w:rPr>
    </w:lvl>
    <w:lvl w:ilvl="1">
      <w:start w:val="1"/>
      <w:numFmt w:val="lowerLetter"/>
      <w:lvlText w:val="%2."/>
      <w:lvlJc w:val="left"/>
      <w:pPr>
        <w:ind w:left="5760" w:hanging="360"/>
      </w:pPr>
      <w:rPr>
        <w:u w:val="none"/>
      </w:rPr>
    </w:lvl>
    <w:lvl w:ilvl="2">
      <w:start w:val="1"/>
      <w:numFmt w:val="lowerRoman"/>
      <w:lvlText w:val="%3."/>
      <w:lvlJc w:val="right"/>
      <w:pPr>
        <w:ind w:left="6480" w:hanging="360"/>
      </w:pPr>
      <w:rPr>
        <w:u w:val="none"/>
      </w:rPr>
    </w:lvl>
    <w:lvl w:ilvl="3">
      <w:start w:val="1"/>
      <w:numFmt w:val="decimal"/>
      <w:lvlText w:val="%4."/>
      <w:lvlJc w:val="left"/>
      <w:pPr>
        <w:ind w:left="7200" w:hanging="360"/>
      </w:pPr>
      <w:rPr>
        <w:u w:val="none"/>
      </w:rPr>
    </w:lvl>
    <w:lvl w:ilvl="4">
      <w:start w:val="1"/>
      <w:numFmt w:val="lowerLetter"/>
      <w:lvlText w:val="%5."/>
      <w:lvlJc w:val="left"/>
      <w:pPr>
        <w:ind w:left="7920" w:hanging="360"/>
      </w:pPr>
      <w:rPr>
        <w:u w:val="none"/>
      </w:rPr>
    </w:lvl>
    <w:lvl w:ilvl="5">
      <w:start w:val="1"/>
      <w:numFmt w:val="lowerRoman"/>
      <w:lvlText w:val="%6."/>
      <w:lvlJc w:val="right"/>
      <w:pPr>
        <w:ind w:left="8640" w:hanging="360"/>
      </w:pPr>
      <w:rPr>
        <w:u w:val="none"/>
      </w:rPr>
    </w:lvl>
    <w:lvl w:ilvl="6">
      <w:start w:val="1"/>
      <w:numFmt w:val="decimal"/>
      <w:lvlText w:val="%7."/>
      <w:lvlJc w:val="left"/>
      <w:pPr>
        <w:ind w:left="9360" w:hanging="360"/>
      </w:pPr>
      <w:rPr>
        <w:u w:val="none"/>
      </w:rPr>
    </w:lvl>
    <w:lvl w:ilvl="7">
      <w:start w:val="1"/>
      <w:numFmt w:val="lowerLetter"/>
      <w:lvlText w:val="%8."/>
      <w:lvlJc w:val="left"/>
      <w:pPr>
        <w:ind w:left="10080" w:hanging="360"/>
      </w:pPr>
      <w:rPr>
        <w:u w:val="none"/>
      </w:rPr>
    </w:lvl>
    <w:lvl w:ilvl="8">
      <w:start w:val="1"/>
      <w:numFmt w:val="lowerRoman"/>
      <w:lvlText w:val="%9."/>
      <w:lvlJc w:val="right"/>
      <w:pPr>
        <w:ind w:left="10800" w:hanging="360"/>
      </w:pPr>
      <w:rPr>
        <w:u w:val="none"/>
      </w:rPr>
    </w:lvl>
  </w:abstractNum>
  <w:abstractNum w:abstractNumId="1" w15:restartNumberingAfterBreak="0">
    <w:nsid w:val="5CC42048"/>
    <w:multiLevelType w:val="multilevel"/>
    <w:tmpl w:val="569873FC"/>
    <w:lvl w:ilvl="0">
      <w:start w:val="1"/>
      <w:numFmt w:val="decimal"/>
      <w:lvlText w:val="%1."/>
      <w:lvlJc w:val="left"/>
      <w:pPr>
        <w:ind w:left="4320" w:hanging="360"/>
      </w:pPr>
      <w:rPr>
        <w:u w:val="none"/>
      </w:rPr>
    </w:lvl>
    <w:lvl w:ilvl="1">
      <w:start w:val="1"/>
      <w:numFmt w:val="lowerLetter"/>
      <w:lvlText w:val="%2."/>
      <w:lvlJc w:val="left"/>
      <w:pPr>
        <w:ind w:left="5040" w:hanging="360"/>
      </w:pPr>
      <w:rPr>
        <w:u w:val="none"/>
      </w:rPr>
    </w:lvl>
    <w:lvl w:ilvl="2">
      <w:start w:val="1"/>
      <w:numFmt w:val="lowerRoman"/>
      <w:lvlText w:val="%3."/>
      <w:lvlJc w:val="right"/>
      <w:pPr>
        <w:ind w:left="5760" w:hanging="360"/>
      </w:pPr>
      <w:rPr>
        <w:u w:val="none"/>
      </w:rPr>
    </w:lvl>
    <w:lvl w:ilvl="3">
      <w:start w:val="1"/>
      <w:numFmt w:val="decimal"/>
      <w:lvlText w:val="%4."/>
      <w:lvlJc w:val="left"/>
      <w:pPr>
        <w:ind w:left="6480" w:hanging="360"/>
      </w:pPr>
      <w:rPr>
        <w:u w:val="none"/>
      </w:rPr>
    </w:lvl>
    <w:lvl w:ilvl="4">
      <w:start w:val="1"/>
      <w:numFmt w:val="lowerLetter"/>
      <w:lvlText w:val="%5."/>
      <w:lvlJc w:val="left"/>
      <w:pPr>
        <w:ind w:left="7200" w:hanging="360"/>
      </w:pPr>
      <w:rPr>
        <w:u w:val="none"/>
      </w:rPr>
    </w:lvl>
    <w:lvl w:ilvl="5">
      <w:start w:val="1"/>
      <w:numFmt w:val="lowerRoman"/>
      <w:lvlText w:val="%6."/>
      <w:lvlJc w:val="right"/>
      <w:pPr>
        <w:ind w:left="7920" w:hanging="360"/>
      </w:pPr>
      <w:rPr>
        <w:u w:val="none"/>
      </w:rPr>
    </w:lvl>
    <w:lvl w:ilvl="6">
      <w:start w:val="1"/>
      <w:numFmt w:val="decimal"/>
      <w:lvlText w:val="%7."/>
      <w:lvlJc w:val="left"/>
      <w:pPr>
        <w:ind w:left="8640" w:hanging="360"/>
      </w:pPr>
      <w:rPr>
        <w:u w:val="none"/>
      </w:rPr>
    </w:lvl>
    <w:lvl w:ilvl="7">
      <w:start w:val="1"/>
      <w:numFmt w:val="lowerLetter"/>
      <w:lvlText w:val="%8."/>
      <w:lvlJc w:val="left"/>
      <w:pPr>
        <w:ind w:left="9360" w:hanging="360"/>
      </w:pPr>
      <w:rPr>
        <w:u w:val="none"/>
      </w:rPr>
    </w:lvl>
    <w:lvl w:ilvl="8">
      <w:start w:val="1"/>
      <w:numFmt w:val="lowerRoman"/>
      <w:lvlText w:val="%9."/>
      <w:lvlJc w:val="right"/>
      <w:pPr>
        <w:ind w:left="100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3E3"/>
    <w:rsid w:val="00930403"/>
    <w:rsid w:val="00B503CC"/>
    <w:rsid w:val="00CF0991"/>
    <w:rsid w:val="00D763E3"/>
    <w:rsid w:val="00EB3468"/>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B08B04-F6CD-46FA-B564-7854CE6E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PY" w:eastAsia="es-PY"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styleId="Textoennegrita">
    <w:name w:val="Strong"/>
    <w:basedOn w:val="Fuentedeprrafopredeter"/>
    <w:uiPriority w:val="22"/>
    <w:qFormat/>
    <w:rsid w:val="00EA6739"/>
    <w:rPr>
      <w:b/>
      <w:bCs/>
    </w:rPr>
  </w:style>
  <w:style w:type="paragraph" w:styleId="Prrafodelista">
    <w:name w:val="List Paragraph"/>
    <w:basedOn w:val="Normal"/>
    <w:uiPriority w:val="34"/>
    <w:qFormat/>
    <w:rsid w:val="005A2EAE"/>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B503C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503CC"/>
  </w:style>
  <w:style w:type="paragraph" w:styleId="Piedepgina">
    <w:name w:val="footer"/>
    <w:basedOn w:val="Normal"/>
    <w:link w:val="PiedepginaCar"/>
    <w:uiPriority w:val="99"/>
    <w:unhideWhenUsed/>
    <w:rsid w:val="00B503C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0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qeidJhzk3tsO/DbqDEGYcPZdNw==">CgMxLjAyDmguZnYzMnRrc2NzOTJvOABqKgoUc3VnZ2VzdC51M2RkNGp4dWszbm0SEkd1aWRvIEJlbnphIFJhZ2dpb2oqChRzdWdnZXN0Lms5cmxwdXVrd29zdxISR3VpZG8gQmVuemEgUmFnZ2lvaioKFHN1Z2dlc3QuN3YwcndqZ2Jjdnc4EhJHdWlkbyBCZW56YSBSYWdnaW9qKgoUc3VnZ2VzdC5taWd4Z2I2ZmNiZ3ISEkd1aWRvIEJlbnphIFJhZ2dpb2oqChRzdWdnZXN0LnN0Z3FlbWpyZWZpdBISR3VpZG8gQmVuemEgUmFnZ2lvaioKFHN1Z2dlc3QudjZka3NrbHc5YzcyEhJHdWlkbyBCZW56YSBSYWdnaW9yITFEUnNzY2EtM3VKSGxXRG1HQ2hVZkFEVmthejhLYm9H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1896</Words>
  <Characters>10432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2026-09-24T19:47:00Z</dcterms:created>
  <dcterms:modified xsi:type="dcterms:W3CDTF">2026-09-24T19:47:00Z</dcterms:modified>
</cp:coreProperties>
</file>